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5"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6" w:lineRule="exact"/>
        <w:rPr>
          <w:sz w:val="24"/>
          <w:szCs w:val="24"/>
          <w:color w:val="auto"/>
        </w:rPr>
      </w:pPr>
    </w:p>
    <w:p>
      <w:pPr>
        <w:ind w:left="3280"/>
        <w:spacing w:after="0"/>
        <w:rPr>
          <w:sz w:val="20"/>
          <w:szCs w:val="20"/>
          <w:color w:val="auto"/>
        </w:rPr>
      </w:pPr>
      <w:r>
        <w:rPr>
          <w:rFonts w:ascii="Arial" w:cs="Arial" w:eastAsia="Arial" w:hAnsi="Arial"/>
          <w:sz w:val="14"/>
          <w:szCs w:val="14"/>
          <w:b w:val="1"/>
          <w:bCs w:val="1"/>
          <w:color w:val="auto"/>
        </w:rPr>
        <w:t>_________________________________________________________________</w:t>
      </w:r>
    </w:p>
    <w:p>
      <w:pPr>
        <w:spacing w:after="0" w:line="3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gridSpan w:val="3"/>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auto"/>
                <w:w w:val="90"/>
              </w:rPr>
              <w:t>to</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Pr>
          <w:p>
            <w:pPr>
              <w:spacing w:after="0"/>
              <w:rPr>
                <w:sz w:val="14"/>
                <w:szCs w:val="14"/>
                <w:color w:val="auto"/>
              </w:rPr>
            </w:pPr>
          </w:p>
        </w:tc>
      </w:tr>
      <w:tr>
        <w:trPr>
          <w:trHeight w:val="182"/>
        </w:trPr>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60" w:type="dxa"/>
            <w:vAlign w:val="bottom"/>
            <w:gridSpan w:val="8"/>
          </w:tcPr>
          <w:p>
            <w:pPr>
              <w:jc w:val="center"/>
              <w:ind w:left="364"/>
              <w:spacing w:after="0"/>
              <w:rPr>
                <w:sz w:val="20"/>
                <w:szCs w:val="20"/>
                <w:color w:val="auto"/>
              </w:rPr>
            </w:pPr>
            <w:r>
              <w:rPr>
                <w:rFonts w:ascii="Arial" w:cs="Arial" w:eastAsia="Arial" w:hAnsi="Arial"/>
                <w:sz w:val="14"/>
                <w:szCs w:val="14"/>
                <w:b w:val="1"/>
                <w:bCs w:val="1"/>
                <w:color w:val="auto"/>
                <w:w w:val="93"/>
              </w:rPr>
              <w:t>Commission File Number 001-36189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08"/>
        </w:trPr>
        <w:tc>
          <w:tcPr>
            <w:tcW w:w="1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60" w:type="dxa"/>
            <w:vAlign w:val="bottom"/>
            <w:gridSpan w:val="10"/>
          </w:tcPr>
          <w:p>
            <w:pPr>
              <w:jc w:val="center"/>
              <w:ind w:left="64"/>
              <w:spacing w:after="0" w:line="109" w:lineRule="exact"/>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2660" w:type="dxa"/>
            <w:vAlign w:val="bottom"/>
          </w:tcPr>
          <w:p>
            <w:pPr>
              <w:spacing w:after="0"/>
              <w:rPr>
                <w:sz w:val="9"/>
                <w:szCs w:val="9"/>
                <w:color w:val="auto"/>
              </w:rPr>
            </w:pPr>
          </w:p>
        </w:tc>
      </w:tr>
      <w:tr>
        <w:trPr>
          <w:trHeight w:val="36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0"/>
          </w:tcPr>
          <w:p>
            <w:pPr>
              <w:jc w:val="center"/>
              <w:ind w:left="84"/>
              <w:spacing w:after="0"/>
              <w:rPr>
                <w:sz w:val="20"/>
                <w:szCs w:val="20"/>
                <w:color w:val="auto"/>
              </w:rPr>
            </w:pPr>
            <w:r>
              <w:rPr>
                <w:rFonts w:ascii="Arial" w:cs="Arial" w:eastAsia="Arial" w:hAnsi="Arial"/>
                <w:sz w:val="29"/>
                <w:szCs w:val="29"/>
                <w:b w:val="1"/>
                <w:bCs w:val="1"/>
                <w:color w:val="auto"/>
                <w:w w:val="90"/>
              </w:rPr>
              <w:t>Tandem Diabetes Care, Inc.</w:t>
            </w:r>
          </w:p>
        </w:tc>
        <w:tc>
          <w:tcPr>
            <w:tcW w:w="2660" w:type="dxa"/>
            <w:vAlign w:val="bottom"/>
          </w:tcPr>
          <w:p>
            <w:pPr>
              <w:spacing w:after="0"/>
              <w:rPr>
                <w:sz w:val="24"/>
                <w:szCs w:val="24"/>
                <w:color w:val="auto"/>
              </w:rPr>
            </w:pPr>
          </w:p>
        </w:tc>
      </w:tr>
      <w:tr>
        <w:trPr>
          <w:trHeight w:val="189"/>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320" w:type="dxa"/>
            <w:vAlign w:val="bottom"/>
            <w:gridSpan w:val="11"/>
          </w:tcPr>
          <w:p>
            <w:pPr>
              <w:jc w:val="center"/>
              <w:ind w:right="242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40"/>
        </w:trPr>
        <w:tc>
          <w:tcPr>
            <w:tcW w:w="1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1"/>
                <w:szCs w:val="11"/>
                <w:b w:val="1"/>
                <w:bCs w:val="1"/>
                <w:color w:val="auto"/>
                <w:w w:val="88"/>
              </w:rPr>
              <w:t>_________________________________________________________________</w:t>
            </w:r>
          </w:p>
        </w:tc>
        <w:tc>
          <w:tcPr>
            <w:tcW w:w="2660" w:type="dxa"/>
            <w:vAlign w:val="bottom"/>
          </w:tcPr>
          <w:p>
            <w:pPr>
              <w:spacing w:after="0"/>
              <w:rPr>
                <w:sz w:val="12"/>
                <w:szCs w:val="12"/>
                <w:color w:val="auto"/>
              </w:rPr>
            </w:pPr>
          </w:p>
        </w:tc>
      </w:tr>
      <w:tr>
        <w:trPr>
          <w:trHeight w:val="307"/>
        </w:trPr>
        <w:tc>
          <w:tcPr>
            <w:tcW w:w="1720" w:type="dxa"/>
            <w:vAlign w:val="bottom"/>
          </w:tcPr>
          <w:p>
            <w:pPr>
              <w:spacing w:after="0"/>
              <w:rPr>
                <w:sz w:val="24"/>
                <w:szCs w:val="2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Delaware</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jc w:val="right"/>
              <w:ind w:right="1288"/>
              <w:spacing w:after="0"/>
              <w:rPr>
                <w:sz w:val="20"/>
                <w:szCs w:val="20"/>
                <w:color w:val="auto"/>
              </w:rPr>
            </w:pPr>
            <w:r>
              <w:rPr>
                <w:rFonts w:ascii="Arial" w:cs="Arial" w:eastAsia="Arial" w:hAnsi="Arial"/>
                <w:sz w:val="14"/>
                <w:szCs w:val="14"/>
                <w:b w:val="1"/>
                <w:bCs w:val="1"/>
                <w:color w:val="auto"/>
              </w:rPr>
              <w:t>20-4327508</w:t>
            </w:r>
          </w:p>
        </w:tc>
      </w:tr>
      <w:tr>
        <w:trPr>
          <w:trHeight w:val="219"/>
        </w:trPr>
        <w:tc>
          <w:tcPr>
            <w:tcW w:w="1720" w:type="dxa"/>
            <w:vAlign w:val="bottom"/>
          </w:tcPr>
          <w:p>
            <w:pPr>
              <w:spacing w:after="0"/>
              <w:rPr>
                <w:sz w:val="19"/>
                <w:szCs w:val="19"/>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(State or other jurisdiction of</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jc w:val="center"/>
              <w:ind w:right="66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72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incorporation or organization)</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jc w:val="center"/>
              <w:ind w:right="688"/>
              <w:spacing w:after="0"/>
              <w:rPr>
                <w:sz w:val="20"/>
                <w:szCs w:val="20"/>
                <w:color w:val="auto"/>
              </w:rPr>
            </w:pPr>
            <w:r>
              <w:rPr>
                <w:rFonts w:ascii="Arial" w:cs="Arial" w:eastAsia="Arial" w:hAnsi="Arial"/>
                <w:sz w:val="14"/>
                <w:szCs w:val="14"/>
                <w:b w:val="1"/>
                <w:bCs w:val="1"/>
                <w:color w:val="auto"/>
                <w:w w:val="96"/>
              </w:rPr>
              <w:t>Identification No.)</w:t>
            </w:r>
          </w:p>
        </w:tc>
      </w:tr>
      <w:tr>
        <w:trPr>
          <w:trHeight w:val="229"/>
        </w:trPr>
        <w:tc>
          <w:tcPr>
            <w:tcW w:w="1720" w:type="dxa"/>
            <w:vAlign w:val="bottom"/>
          </w:tcPr>
          <w:p>
            <w:pPr>
              <w:spacing w:after="0"/>
              <w:rPr>
                <w:sz w:val="19"/>
                <w:szCs w:val="19"/>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11075 Roselle Street</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jc w:val="right"/>
              <w:ind w:right="1448"/>
              <w:spacing w:after="0"/>
              <w:rPr>
                <w:sz w:val="20"/>
                <w:szCs w:val="20"/>
                <w:color w:val="auto"/>
              </w:rPr>
            </w:pPr>
            <w:r>
              <w:rPr>
                <w:rFonts w:ascii="Arial" w:cs="Arial" w:eastAsia="Arial" w:hAnsi="Arial"/>
                <w:sz w:val="14"/>
                <w:szCs w:val="14"/>
                <w:b w:val="1"/>
                <w:bCs w:val="1"/>
                <w:color w:val="auto"/>
              </w:rPr>
              <w:t>92121</w:t>
            </w:r>
          </w:p>
        </w:tc>
      </w:tr>
      <w:tr>
        <w:trPr>
          <w:trHeight w:val="229"/>
        </w:trPr>
        <w:tc>
          <w:tcPr>
            <w:tcW w:w="1720" w:type="dxa"/>
            <w:vAlign w:val="bottom"/>
          </w:tcPr>
          <w:p>
            <w:pPr>
              <w:spacing w:after="0"/>
              <w:rPr>
                <w:sz w:val="19"/>
                <w:szCs w:val="19"/>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San Diego California</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jc w:val="center"/>
              <w:ind w:right="68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6480" w:type="dxa"/>
            <w:vAlign w:val="bottom"/>
            <w:gridSpan w:val="9"/>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86"/>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6"/>
          </w:tcPr>
          <w:p>
            <w:pPr>
              <w:jc w:val="center"/>
              <w:ind w:left="984"/>
              <w:spacing w:after="0"/>
              <w:rPr>
                <w:sz w:val="20"/>
                <w:szCs w:val="20"/>
                <w:color w:val="auto"/>
              </w:rPr>
            </w:pPr>
            <w:r>
              <w:rPr>
                <w:rFonts w:ascii="Arial" w:cs="Arial" w:eastAsia="Arial" w:hAnsi="Arial"/>
                <w:sz w:val="14"/>
                <w:szCs w:val="14"/>
                <w:b w:val="1"/>
                <w:bCs w:val="1"/>
                <w:color w:val="auto"/>
                <w:w w:val="93"/>
              </w:rPr>
              <w:t>(858) 366-6900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75"/>
        </w:trPr>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660" w:type="dxa"/>
            <w:vAlign w:val="bottom"/>
          </w:tcPr>
          <w:p>
            <w:pPr>
              <w:spacing w:after="0"/>
              <w:rPr>
                <w:sz w:val="15"/>
                <w:szCs w:val="15"/>
                <w:color w:val="auto"/>
              </w:rPr>
            </w:pPr>
          </w:p>
        </w:tc>
      </w:tr>
      <w:tr>
        <w:trPr>
          <w:trHeight w:val="186"/>
        </w:trPr>
        <w:tc>
          <w:tcPr>
            <w:tcW w:w="1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660" w:type="dxa"/>
            <w:vAlign w:val="bottom"/>
          </w:tcPr>
          <w:p>
            <w:pPr>
              <w:spacing w:after="0"/>
              <w:rPr>
                <w:sz w:val="16"/>
                <w:szCs w:val="16"/>
                <w:color w:val="auto"/>
              </w:rPr>
            </w:pPr>
          </w:p>
        </w:tc>
      </w:tr>
      <w:tr>
        <w:trPr>
          <w:trHeight w:val="282"/>
        </w:trPr>
        <w:tc>
          <w:tcPr>
            <w:tcW w:w="17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38"/>
        </w:trPr>
        <w:tc>
          <w:tcPr>
            <w:tcW w:w="372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2"/>
              </w:rPr>
              <w:t>Common Stock, par value $0.001 per share</w:t>
            </w:r>
          </w:p>
        </w:tc>
        <w:tc>
          <w:tcPr>
            <w:tcW w:w="1060" w:type="dxa"/>
            <w:vAlign w:val="bottom"/>
          </w:tcPr>
          <w:p>
            <w:pPr>
              <w:spacing w:after="0"/>
              <w:rPr>
                <w:sz w:val="20"/>
                <w:szCs w:val="20"/>
                <w:color w:val="auto"/>
              </w:rPr>
            </w:pPr>
          </w:p>
        </w:tc>
        <w:tc>
          <w:tcPr>
            <w:tcW w:w="17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TNDM</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Nasdaq Global Market</w:t>
            </w:r>
          </w:p>
        </w:tc>
      </w:tr>
      <w:tr>
        <w:trPr>
          <w:trHeight w:val="286"/>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gridSpan w:val="10"/>
          </w:tcPr>
          <w:p>
            <w:pPr>
              <w:jc w:val="center"/>
              <w:ind w:left="64"/>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660" w:type="dxa"/>
            <w:vAlign w:val="bottom"/>
          </w:tcPr>
          <w:p>
            <w:pPr>
              <w:spacing w:after="0"/>
              <w:rPr>
                <w:sz w:val="24"/>
                <w:szCs w:val="24"/>
                <w:color w:val="auto"/>
              </w:rPr>
            </w:pPr>
          </w:p>
        </w:tc>
      </w:tr>
      <w:tr>
        <w:trPr>
          <w:trHeight w:val="158"/>
        </w:trPr>
        <w:tc>
          <w:tcPr>
            <w:tcW w:w="1720" w:type="dxa"/>
            <w:vAlign w:val="bottom"/>
          </w:tcPr>
          <w:p>
            <w:pPr>
              <w:spacing w:after="0"/>
              <w:rPr>
                <w:sz w:val="13"/>
                <w:szCs w:val="13"/>
                <w:color w:val="auto"/>
              </w:rPr>
            </w:pPr>
          </w:p>
        </w:tc>
        <w:tc>
          <w:tcPr>
            <w:tcW w:w="8320" w:type="dxa"/>
            <w:vAlign w:val="bottom"/>
            <w:gridSpan w:val="13"/>
          </w:tcPr>
          <w:p>
            <w:pPr>
              <w:jc w:val="center"/>
              <w:ind w:right="428"/>
              <w:spacing w:after="0" w:line="158" w:lineRule="exact"/>
              <w:rPr>
                <w:sz w:val="20"/>
                <w:szCs w:val="20"/>
                <w:color w:val="auto"/>
              </w:rPr>
            </w:pPr>
            <w:r>
              <w:rPr>
                <w:rFonts w:ascii="Arial" w:cs="Arial" w:eastAsia="Arial" w:hAnsi="Arial"/>
                <w:sz w:val="14"/>
                <w:szCs w:val="14"/>
                <w:b w:val="1"/>
                <w:bCs w:val="1"/>
                <w:color w:val="auto"/>
                <w:w w:val="92"/>
              </w:rPr>
              <w:t>____________________________________________________None__________________________________________________</w:t>
            </w:r>
          </w:p>
        </w:tc>
      </w:tr>
      <w:tr>
        <w:trPr>
          <w:trHeight w:val="136"/>
        </w:trPr>
        <w:tc>
          <w:tcPr>
            <w:tcW w:w="5540" w:type="dxa"/>
            <w:vAlign w:val="bottom"/>
            <w:gridSpan w:val="5"/>
          </w:tcPr>
          <w:p>
            <w:pPr>
              <w:spacing w:after="0" w:line="137" w:lineRule="exact"/>
              <w:rPr>
                <w:sz w:val="20"/>
                <w:szCs w:val="20"/>
                <w:color w:val="auto"/>
              </w:rPr>
            </w:pPr>
            <w:r>
              <w:rPr>
                <w:rFonts w:ascii="Arial" w:cs="Arial" w:eastAsia="Arial" w:hAnsi="Arial"/>
                <w:sz w:val="14"/>
                <w:szCs w:val="14"/>
                <w:color w:val="auto"/>
                <w:w w:val="93"/>
              </w:rPr>
              <w:t>Indicate by check mark if the registrant is a well-known seasoned issuer, as defined in Rule 405</w:t>
            </w:r>
          </w:p>
        </w:tc>
        <w:tc>
          <w:tcPr>
            <w:tcW w:w="320" w:type="dxa"/>
            <w:vAlign w:val="bottom"/>
            <w:tcBorders>
              <w:top w:val="single" w:sz="8" w:color="auto"/>
            </w:tcBorders>
            <w:gridSpan w:val="2"/>
          </w:tcPr>
          <w:p>
            <w:pPr>
              <w:spacing w:after="0" w:line="137" w:lineRule="exact"/>
              <w:rPr>
                <w:sz w:val="20"/>
                <w:szCs w:val="20"/>
                <w:color w:val="auto"/>
              </w:rPr>
            </w:pPr>
            <w:r>
              <w:rPr>
                <w:rFonts w:ascii="Arial" w:cs="Arial" w:eastAsia="Arial" w:hAnsi="Arial"/>
                <w:sz w:val="14"/>
                <w:szCs w:val="14"/>
                <w:color w:val="auto"/>
                <w:w w:val="85"/>
              </w:rPr>
              <w:t>of the</w:t>
            </w:r>
          </w:p>
        </w:tc>
        <w:tc>
          <w:tcPr>
            <w:tcW w:w="1220" w:type="dxa"/>
            <w:vAlign w:val="bottom"/>
            <w:gridSpan w:val="4"/>
          </w:tcPr>
          <w:p>
            <w:pPr>
              <w:jc w:val="right"/>
              <w:ind w:right="40"/>
              <w:spacing w:after="0" w:line="137" w:lineRule="exact"/>
              <w:rPr>
                <w:sz w:val="20"/>
                <w:szCs w:val="20"/>
                <w:color w:val="auto"/>
              </w:rPr>
            </w:pPr>
            <w:r>
              <w:rPr>
                <w:rFonts w:ascii="Arial" w:cs="Arial" w:eastAsia="Arial" w:hAnsi="Arial"/>
                <w:sz w:val="14"/>
                <w:szCs w:val="14"/>
                <w:color w:val="auto"/>
                <w:w w:val="98"/>
              </w:rPr>
              <w:t>Securities Act. Yes</w:t>
            </w:r>
          </w:p>
        </w:tc>
        <w:tc>
          <w:tcPr>
            <w:tcW w:w="300" w:type="dxa"/>
            <w:vAlign w:val="bottom"/>
            <w:gridSpan w:val="2"/>
          </w:tcPr>
          <w:p>
            <w:pPr>
              <w:ind w:left="20"/>
              <w:spacing w:after="0" w:line="136" w:lineRule="exact"/>
              <w:rPr>
                <w:sz w:val="20"/>
                <w:szCs w:val="20"/>
                <w:color w:val="auto"/>
              </w:rPr>
            </w:pPr>
            <w:r>
              <w:rPr>
                <w:rFonts w:ascii="MS PGothic" w:cs="MS PGothic" w:eastAsia="MS PGothic" w:hAnsi="MS PGothic"/>
                <w:sz w:val="14"/>
                <w:szCs w:val="14"/>
                <w:color w:val="auto"/>
              </w:rPr>
              <w:t>☒</w:t>
            </w:r>
          </w:p>
        </w:tc>
        <w:tc>
          <w:tcPr>
            <w:tcW w:w="2660" w:type="dxa"/>
            <w:vAlign w:val="bottom"/>
          </w:tcPr>
          <w:p>
            <w:pPr>
              <w:spacing w:after="0" w:line="137"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15"/>
        </w:trPr>
        <w:tc>
          <w:tcPr>
            <w:tcW w:w="7080" w:type="dxa"/>
            <w:vAlign w:val="bottom"/>
            <w:gridSpan w:val="11"/>
          </w:tcPr>
          <w:p>
            <w:pPr>
              <w:jc w:val="right"/>
              <w:ind w:right="40"/>
              <w:spacing w:after="0" w:line="161" w:lineRule="exact"/>
              <w:rPr>
                <w:sz w:val="20"/>
                <w:szCs w:val="20"/>
                <w:color w:val="auto"/>
              </w:rPr>
            </w:pPr>
            <w:r>
              <w:rPr>
                <w:rFonts w:ascii="Arial" w:cs="Arial" w:eastAsia="Arial" w:hAnsi="Arial"/>
                <w:sz w:val="14"/>
                <w:szCs w:val="14"/>
                <w:color w:val="auto"/>
                <w:w w:val="94"/>
              </w:rPr>
              <w:t xml:space="preserve">Indicate by check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No</w:t>
            </w:r>
          </w:p>
        </w:tc>
        <w:tc>
          <w:tcPr>
            <w:tcW w:w="26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660"/>
              <w:spacing w:after="0"/>
              <w:rPr>
                <w:sz w:val="20"/>
                <w:szCs w:val="20"/>
                <w:color w:val="auto"/>
              </w:rPr>
            </w:pPr>
            <w:r>
              <w:rPr>
                <w:rFonts w:ascii="Arial" w:cs="Arial" w:eastAsia="Arial" w:hAnsi="Arial"/>
                <w:sz w:val="14"/>
                <w:szCs w:val="14"/>
                <w:color w:val="auto"/>
              </w:rPr>
              <w:t>x</w:t>
            </w:r>
          </w:p>
        </w:tc>
        <w:tc>
          <w:tcPr>
            <w:tcW w:w="4860" w:type="dxa"/>
            <w:vAlign w:val="bottom"/>
          </w:tcPr>
          <w:p>
            <w:pPr>
              <w:ind w:left="27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7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9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860" w:type="dxa"/>
            <w:vAlign w:val="bottom"/>
          </w:tcPr>
          <w:p>
            <w:pPr>
              <w:ind w:left="27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5" w:lineRule="exact"/>
        <w:rPr>
          <w:sz w:val="24"/>
          <w:szCs w:val="24"/>
          <w:color w:val="auto"/>
        </w:rPr>
      </w:pPr>
    </w:p>
    <w:p>
      <w:pPr>
        <w:ind w:right="54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w:t>
      </w:r>
    </w:p>
    <w:p>
      <w:pPr>
        <w:spacing w:after="0" w:line="41" w:lineRule="exact"/>
        <w:rPr>
          <w:sz w:val="24"/>
          <w:szCs w:val="24"/>
          <w:color w:val="auto"/>
        </w:rPr>
      </w:pPr>
    </w:p>
    <w:p>
      <w:pPr>
        <w:ind w:right="3300"/>
        <w:spacing w:after="0" w:line="202" w:lineRule="exact"/>
        <w:rPr>
          <w:sz w:val="20"/>
          <w:szCs w:val="20"/>
          <w:color w:val="auto"/>
        </w:rPr>
      </w:pPr>
      <w:r>
        <w:rPr>
          <w:rFonts w:ascii="Arial" w:cs="Arial" w:eastAsia="Arial" w:hAnsi="Arial"/>
          <w:sz w:val="14"/>
          <w:szCs w:val="14"/>
          <w:color w:val="auto"/>
        </w:rPr>
        <w:t xml:space="preserve">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66" w:lineRule="auto"/>
        <w:rPr>
          <w:sz w:val="20"/>
          <w:szCs w:val="20"/>
          <w:color w:val="auto"/>
        </w:rPr>
      </w:pPr>
      <w:r>
        <w:rPr>
          <w:rFonts w:ascii="Arial" w:cs="Arial" w:eastAsia="Arial" w:hAnsi="Arial"/>
          <w:sz w:val="14"/>
          <w:szCs w:val="14"/>
          <w:color w:val="auto"/>
        </w:rPr>
        <w:t>As of June 30, 2022, the aggregate market value of the registrant’s common stock held by non-affiliates was approximately $3.8 billion based on the closing price for the common stock of $59.19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 As of February 17, 2023, there were 64,528,059 shares of the registrant’s common stock outstanding.</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1" w:lineRule="exact"/>
        <w:rPr>
          <w:sz w:val="24"/>
          <w:szCs w:val="24"/>
          <w:color w:val="auto"/>
        </w:rPr>
      </w:pPr>
    </w:p>
    <w:p>
      <w:pPr>
        <w:ind w:right="40"/>
        <w:spacing w:after="0" w:line="248" w:lineRule="auto"/>
        <w:rPr>
          <w:sz w:val="20"/>
          <w:szCs w:val="20"/>
          <w:color w:val="auto"/>
        </w:rPr>
      </w:pPr>
      <w:r>
        <w:rPr>
          <w:rFonts w:ascii="Arial" w:cs="Arial" w:eastAsia="Arial" w:hAnsi="Arial"/>
          <w:sz w:val="14"/>
          <w:szCs w:val="14"/>
          <w:color w:val="auto"/>
        </w:rPr>
        <w:t>Portions of the registrant’s definitive Proxy Statement on Schedule 14A for the 2023 Annual Meeting of Stockholders, or of an amendment to this Form 10-K, to be filed with the Securities and Exchange Commission pursuant to Regulation 14A not later than 120 days after the end of the fiscal year covered by this Form 10-K, are incorporated by reference in Part III, Items 10-14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0"/>
                <w:szCs w:val="20"/>
                <w:color w:val="auto"/>
              </w:rPr>
            </w:pPr>
          </w:p>
        </w:tc>
      </w:tr>
      <w:tr>
        <w:trPr>
          <w:trHeight w:val="122"/>
        </w:trPr>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1</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Business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1A</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Risk Factors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1B</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Unresolved Staff Comments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2</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Properties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3</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Legal Proceedings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4</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Mine Safety Disclosures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43"/>
        </w:trPr>
        <w:tc>
          <w:tcPr>
            <w:tcW w:w="10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r>
      <w:tr>
        <w:trPr>
          <w:trHeight w:val="27"/>
        </w:trPr>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1"/>
            <w:shd w:val="clear" w:color="auto" w:fill="CCEEFF"/>
          </w:tcPr>
          <w:p>
            <w:pPr>
              <w:spacing w:after="0" w:line="202"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6</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[Reserved]</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8"/>
            <w:shd w:val="clear" w:color="auto" w:fill="CCEEFF"/>
          </w:tcPr>
          <w:p>
            <w:pPr>
              <w:spacing w:after="0" w:line="202"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560" w:type="dxa"/>
            <w:vAlign w:val="bottom"/>
            <w:tcBorders>
              <w:bottom w:val="single" w:sz="8" w:color="CCEEFF"/>
            </w:tcBorders>
            <w:gridSpan w:val="4"/>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7A</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Quantitative and Qualitative Disclosure About Market Risk</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8</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Consolidated Financial Statements and Supplementary Data</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9</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9A</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9"/>
          </w:tcPr>
          <w:p>
            <w:pPr>
              <w:spacing w:after="0" w:line="202" w:lineRule="exact"/>
              <w:rPr>
                <w:sz w:val="20"/>
                <w:szCs w:val="20"/>
                <w:color w:val="auto"/>
              </w:rPr>
            </w:pPr>
            <w:r>
              <w:rPr>
                <w:rFonts w:ascii="Arial" w:cs="Arial" w:eastAsia="Arial" w:hAnsi="Arial"/>
                <w:sz w:val="18"/>
                <w:szCs w:val="18"/>
                <w:color w:val="0000FF"/>
              </w:rPr>
              <w:t>Other Information</w:t>
            </w:r>
          </w:p>
        </w:tc>
        <w:tc>
          <w:tcPr>
            <w:tcW w:w="7260" w:type="dxa"/>
            <w:vAlign w:val="bottom"/>
            <w:tcBorders>
              <w:top w:val="single" w:sz="8" w:color="CCEEFF"/>
            </w:tcBorders>
            <w:gridSpan w:val="13"/>
          </w:tcPr>
          <w:p>
            <w:pPr>
              <w:spacing w:after="0"/>
              <w:rPr>
                <w:sz w:val="17"/>
                <w:szCs w:val="17"/>
                <w:color w:val="auto"/>
              </w:rPr>
            </w:pPr>
          </w:p>
        </w:tc>
        <w:tc>
          <w:tcPr>
            <w:tcW w:w="12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2"/>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10</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Directors, Executive Officers and Corporate Governance</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02"/>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11</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Executive Compensation</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48"/>
        </w:trPr>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02"/>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12</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13</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Principal Accountant Fees and Services</w:t>
            </w:r>
          </w:p>
        </w:tc>
        <w:tc>
          <w:tcPr>
            <w:tcW w:w="3580" w:type="dxa"/>
            <w:vAlign w:val="bottom"/>
            <w:tcBorders>
              <w:top w:val="single" w:sz="8" w:color="CCEEFF"/>
            </w:tcBorders>
            <w:gridSpan w:val="5"/>
          </w:tcPr>
          <w:p>
            <w:pPr>
              <w:spacing w:after="0"/>
              <w:rPr>
                <w:sz w:val="17"/>
                <w:szCs w:val="17"/>
                <w:color w:val="auto"/>
              </w:rPr>
            </w:pPr>
          </w:p>
        </w:tc>
        <w:tc>
          <w:tcPr>
            <w:tcW w:w="12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3"/>
        </w:trPr>
        <w:tc>
          <w:tcPr>
            <w:tcW w:w="1000" w:type="dxa"/>
            <w:vAlign w:val="bottom"/>
          </w:tcPr>
          <w:p>
            <w:pPr>
              <w:ind w:left="20"/>
              <w:spacing w:after="0" w:line="202" w:lineRule="exact"/>
              <w:rPr>
                <w:sz w:val="20"/>
                <w:szCs w:val="20"/>
                <w:color w:val="auto"/>
              </w:rPr>
            </w:pPr>
            <w:r>
              <w:rPr>
                <w:rFonts w:ascii="Arial" w:cs="Arial" w:eastAsia="Arial" w:hAnsi="Arial"/>
                <w:sz w:val="18"/>
                <w:szCs w:val="18"/>
                <w:color w:val="auto"/>
              </w:rPr>
              <w:t>Item 15</w:t>
            </w:r>
          </w:p>
        </w:tc>
        <w:tc>
          <w:tcPr>
            <w:tcW w:w="9020" w:type="dxa"/>
            <w:vAlign w:val="bottom"/>
            <w:gridSpan w:val="22"/>
          </w:tcPr>
          <w:p>
            <w:pPr>
              <w:spacing w:after="0" w:line="202" w:lineRule="exact"/>
              <w:rPr>
                <w:sz w:val="20"/>
                <w:szCs w:val="20"/>
                <w:color w:val="auto"/>
              </w:rPr>
            </w:pPr>
            <w:r>
              <w:rPr>
                <w:rFonts w:ascii="Arial" w:cs="Arial" w:eastAsia="Arial" w:hAnsi="Arial"/>
                <w:sz w:val="18"/>
                <w:szCs w:val="18"/>
                <w:color w:val="0000FF"/>
              </w:rPr>
              <w:t>Exhibits and Financial Statement Schedules</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48"/>
        </w:trPr>
        <w:tc>
          <w:tcPr>
            <w:tcW w:w="1000" w:type="dxa"/>
            <w:vAlign w:val="bottom"/>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Item 16</w:t>
            </w:r>
          </w:p>
        </w:tc>
        <w:tc>
          <w:tcPr>
            <w:tcW w:w="902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FF"/>
              </w:rPr>
              <w:t>Form 10-K Summary</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03"/>
        </w:trPr>
        <w:tc>
          <w:tcPr>
            <w:tcW w:w="1000" w:type="dxa"/>
            <w:vAlign w:val="bottom"/>
            <w:tcBorders>
              <w:top w:val="single" w:sz="8" w:color="CCEEFF"/>
            </w:tcBorders>
          </w:tcPr>
          <w:p>
            <w:pPr>
              <w:spacing w:after="0"/>
              <w:rPr>
                <w:sz w:val="17"/>
                <w:szCs w:val="17"/>
                <w:color w:val="auto"/>
              </w:rPr>
            </w:pPr>
          </w:p>
        </w:tc>
        <w:tc>
          <w:tcPr>
            <w:tcW w:w="760" w:type="dxa"/>
            <w:vAlign w:val="bottom"/>
            <w:tcBorders>
              <w:top w:val="single" w:sz="8" w:color="0000FF"/>
              <w:bottom w:val="single" w:sz="8" w:color="0000FF"/>
            </w:tcBorders>
            <w:gridSpan w:val="3"/>
          </w:tcPr>
          <w:p>
            <w:pPr>
              <w:spacing w:after="0" w:line="202" w:lineRule="exact"/>
              <w:rPr>
                <w:sz w:val="20"/>
                <w:szCs w:val="20"/>
                <w:color w:val="auto"/>
              </w:rPr>
            </w:pPr>
            <w:r>
              <w:rPr>
                <w:rFonts w:ascii="Arial" w:cs="Arial" w:eastAsia="Arial" w:hAnsi="Arial"/>
                <w:sz w:val="18"/>
                <w:szCs w:val="18"/>
                <w:color w:val="0000FF"/>
                <w:w w:val="85"/>
              </w:rPr>
              <w:t>Signatures</w:t>
            </w:r>
          </w:p>
        </w:tc>
        <w:tc>
          <w:tcPr>
            <w:tcW w:w="780" w:type="dxa"/>
            <w:vAlign w:val="bottom"/>
            <w:tcBorders>
              <w:top w:val="single" w:sz="8" w:color="0000FF"/>
            </w:tcBorders>
            <w:gridSpan w:val="5"/>
          </w:tcPr>
          <w:p>
            <w:pPr>
              <w:spacing w:after="0"/>
              <w:rPr>
                <w:sz w:val="17"/>
                <w:szCs w:val="17"/>
                <w:color w:val="auto"/>
              </w:rPr>
            </w:pPr>
          </w:p>
        </w:tc>
        <w:tc>
          <w:tcPr>
            <w:tcW w:w="7480" w:type="dxa"/>
            <w:vAlign w:val="bottom"/>
            <w:tcBorders>
              <w:top w:val="single" w:sz="8" w:color="CCEEFF"/>
            </w:tcBorders>
            <w:gridSpan w:val="14"/>
          </w:tcPr>
          <w:p>
            <w:pPr>
              <w:spacing w:after="0"/>
              <w:rPr>
                <w:sz w:val="17"/>
                <w:szCs w:val="17"/>
                <w:color w:val="auto"/>
              </w:rPr>
            </w:pPr>
          </w:p>
        </w:tc>
        <w:tc>
          <w:tcPr>
            <w:tcW w:w="122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ind w:firstLine="810"/>
        <w:spacing w:after="0" w:line="273" w:lineRule="auto"/>
        <w:rPr>
          <w:sz w:val="20"/>
          <w:szCs w:val="20"/>
          <w:color w:val="auto"/>
        </w:rPr>
      </w:pPr>
      <w:r>
        <w:rPr>
          <w:rFonts w:ascii="Arial" w:cs="Arial" w:eastAsia="Arial" w:hAnsi="Arial"/>
          <w:sz w:val="16"/>
          <w:szCs w:val="16"/>
          <w:i w:val="1"/>
          <w:iCs w:val="1"/>
          <w:color w:val="auto"/>
        </w:rPr>
        <w:t>This Annual Report on Form 10-K for the fiscal year ended December 31, 2022,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including the impacts of the COVID-19 global pandemic, business forecasts and plans, research and product development plans, manufacturing plans, strategic plans and objectives, capital needs and financing plans, product launches, regulatory approvals, the impact of changes in the competitive environment, cybersecurity threats, macroeconomic pressures or uncertainties and the application of accounting guidance. We caution you that the foregoing list may not include all of the forward-looking statements made in this Annual Report.</w:t>
      </w:r>
    </w:p>
    <w:p>
      <w:pPr>
        <w:spacing w:after="0" w:line="141"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38" w:lineRule="exact"/>
        <w:rPr>
          <w:sz w:val="20"/>
          <w:szCs w:val="20"/>
          <w:color w:val="auto"/>
        </w:rPr>
      </w:pPr>
    </w:p>
    <w:p>
      <w:pPr>
        <w:ind w:right="20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8"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2" w:lineRule="exact"/>
        <w:rPr>
          <w:sz w:val="20"/>
          <w:szCs w:val="20"/>
          <w:color w:val="auto"/>
        </w:rPr>
      </w:pPr>
    </w:p>
    <w:p>
      <w:pPr>
        <w:ind w:right="320" w:firstLine="810"/>
        <w:spacing w:after="0" w:line="277" w:lineRule="auto"/>
        <w:rPr>
          <w:sz w:val="20"/>
          <w:szCs w:val="20"/>
          <w:color w:val="auto"/>
        </w:rPr>
      </w:pPr>
      <w:r>
        <w:rPr>
          <w:rFonts w:ascii="Arial" w:cs="Arial" w:eastAsia="Arial" w:hAnsi="Arial"/>
          <w:sz w:val="18"/>
          <w:szCs w:val="18"/>
          <w:i w:val="1"/>
          <w:iCs w:val="1"/>
          <w:color w:val="auto"/>
        </w:rPr>
        <w:t>References within this Annual Report to “Tandem,” “we,” “our,” “us,” “management,” or the “Company” refer to Tandem Diabetes Care, Inc., together with its wholly-owned subsidiaries in the United States, Canada and the Netherlands.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40" w:firstLine="810"/>
        <w:spacing w:after="0" w:line="301" w:lineRule="auto"/>
        <w:rPr>
          <w:sz w:val="20"/>
          <w:szCs w:val="20"/>
          <w:color w:val="auto"/>
        </w:rPr>
      </w:pPr>
      <w:r>
        <w:rPr>
          <w:rFonts w:ascii="Arial" w:cs="Arial" w:eastAsia="Arial" w:hAnsi="Arial"/>
          <w:sz w:val="16"/>
          <w:szCs w:val="16"/>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robust ecosystem and portfolio of delivery devices, software, and data insight solutions to people living with diabetes, as well as their caregivers and healthcare providers.</w:t>
      </w:r>
    </w:p>
    <w:p>
      <w:pPr>
        <w:spacing w:after="0" w:line="130" w:lineRule="exact"/>
        <w:rPr>
          <w:sz w:val="20"/>
          <w:szCs w:val="20"/>
          <w:color w:val="auto"/>
        </w:rPr>
      </w:pPr>
    </w:p>
    <w:p>
      <w:pPr>
        <w:ind w:right="60" w:firstLine="810"/>
        <w:spacing w:after="0" w:line="274" w:lineRule="auto"/>
        <w:rPr>
          <w:sz w:val="20"/>
          <w:szCs w:val="20"/>
          <w:color w:val="auto"/>
        </w:rPr>
      </w:pPr>
      <w:r>
        <w:rPr>
          <w:rFonts w:ascii="Arial" w:cs="Arial" w:eastAsia="Arial" w:hAnsi="Arial"/>
          <w:sz w:val="17"/>
          <w:szCs w:val="17"/>
          <w:color w:val="auto"/>
        </w:rPr>
        <w:t>Since our initial commercial launch, we have rapidly innovated and brought more products to market than our competitors. Today, the t:slim X2 Insulin Delivery System (t:slim X2) is our flagship technology solution. In the four-year period ended December 31, 2022, we shipped</w:t>
      </w:r>
    </w:p>
    <w:p>
      <w:pPr>
        <w:ind w:right="320"/>
        <w:spacing w:after="0" w:line="277" w:lineRule="auto"/>
        <w:rPr>
          <w:sz w:val="20"/>
          <w:szCs w:val="20"/>
          <w:color w:val="auto"/>
        </w:rPr>
      </w:pPr>
      <w:r>
        <w:rPr>
          <w:rFonts w:ascii="Arial" w:cs="Arial" w:eastAsia="Arial" w:hAnsi="Arial"/>
          <w:sz w:val="17"/>
          <w:szCs w:val="17"/>
          <w:color w:val="auto"/>
        </w:rPr>
        <w:t>approximately 420,000 t:slim X2 insulin pumps, which is representative of our estimated global installed customer base, assuming the typical four-year reimbursement cycle. Approximately 290,000 of these pumps were shipped to customers in the United States and 130,000 were shipped to customers outside the United States. Our products are currently available in approximately 25 countries outside the United States.</w:t>
      </w:r>
    </w:p>
    <w:p>
      <w:pPr>
        <w:spacing w:after="0" w:line="13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The majority of our customers use the t:slim X2 with continuous glucose monitoring (CGM) integration. This allows the t:slim X2 to receive CGM sensor readings, which can then be used in our automated insulin dosing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U.S. Food and Drug Administration (FDA) to deliver automatic correction boluses in addition to adjusting insulin to help prevent high and low blood sugar.</w:t>
      </w:r>
    </w:p>
    <w:p>
      <w:pPr>
        <w:spacing w:after="0" w:line="151"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The t:slim X2 is unique in that it is the only pump on which remote software updates have been made commercially available in the United States. Now available in the countries we serve worldwide, our Tandem Device Updater (TDU) that has allowed approximately 200,000 people to update their t:slim X2 software from a personal computer. This offering is a competitive advantage that allows us to bring our customers clinical and lifestyle enhancements, such as new developments in our AID technology, CGM integrations and mobile app features. In July 2022, we launched a new pump software update through TDU to allow all t:slim X2 pump users in the United States to bolus insulin using our smartphone app that is available on compatible iOS and Android devices.</w:t>
      </w:r>
    </w:p>
    <w:p>
      <w:pPr>
        <w:spacing w:after="0" w:line="16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147"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We are focused on developing diabetes solutions that expand our portfolio of insulin pump offerings, provide even greater personalization to our AID algorithms, expand our AID indications, and that further improve the user experience with our diabetes management systems, data product offerings and services we provide.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and the Insulin Therapy Management Market</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Diabetes is a chronic, life-threatening disease for which there is no known cure.</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Diabetes is typically classified as either type 1 or type 2:</w:t>
      </w:r>
    </w:p>
    <w:p>
      <w:pPr>
        <w:spacing w:after="0" w:line="185" w:lineRule="exact"/>
        <w:rPr>
          <w:sz w:val="20"/>
          <w:szCs w:val="20"/>
          <w:color w:val="auto"/>
        </w:rPr>
      </w:pPr>
    </w:p>
    <w:p>
      <w:pPr>
        <w:ind w:left="1300" w:right="260" w:hanging="320"/>
        <w:spacing w:after="0" w:line="308"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Type 1 diabetes is characterized by the body’s nearly complete inability to produce insulin. It is frequently diagnosed as an acute event during childhood or adolescence. Individuals with type 1 diabetes require intensive insulin therapy to survive.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left="1300" w:right="300" w:hanging="320"/>
        <w:spacing w:after="0" w:line="263"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2 diabetes represents 90% to 95% of all individuals diagnosed with diabetes and is characterized by the body’s inability to either properly use insulin or produce enough insulin. It’s a progressive condition, and a person in the advanced stages of living with type 2 diabetes often requires intensive insulin therapy.</w:t>
      </w:r>
    </w:p>
    <w:p>
      <w:pPr>
        <w:spacing w:after="0" w:line="157"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color w:val="auto"/>
        </w:rPr>
        <w:t>We consider our addressable market to be people diagnosed with diabetes who are living with either type 1 diabetes, or with type 2 diabetes who require intensive insulin therapy. Throughout this Annual Report, we refer to these individuals as people with insulin-dependent diabetes.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2960" w:type="dxa"/>
            <w:vAlign w:val="bottom"/>
          </w:tcPr>
          <w:p>
            <w:pPr>
              <w:spacing w:after="0"/>
              <w:rPr>
                <w:sz w:val="24"/>
                <w:szCs w:val="24"/>
                <w:color w:val="auto"/>
              </w:rPr>
            </w:pPr>
          </w:p>
        </w:tc>
        <w:tc>
          <w:tcPr>
            <w:tcW w:w="5440" w:type="dxa"/>
            <w:vAlign w:val="bottom"/>
            <w:gridSpan w:val="3"/>
          </w:tcPr>
          <w:p>
            <w:pPr>
              <w:ind w:left="1000"/>
              <w:spacing w:after="0"/>
              <w:rPr>
                <w:sz w:val="20"/>
                <w:szCs w:val="20"/>
                <w:color w:val="auto"/>
              </w:rPr>
            </w:pPr>
            <w:r>
              <w:rPr>
                <w:rFonts w:ascii="Arial" w:cs="Arial" w:eastAsia="Arial" w:hAnsi="Arial"/>
                <w:sz w:val="18"/>
                <w:szCs w:val="18"/>
                <w:b w:val="1"/>
                <w:bCs w:val="1"/>
                <w:color w:val="auto"/>
              </w:rPr>
              <w:t>Estimated Diagnosed Diabetes Prevalence</w:t>
            </w:r>
            <w:r>
              <w:rPr>
                <w:rFonts w:ascii="Arial" w:cs="Arial" w:eastAsia="Arial" w:hAnsi="Arial"/>
                <w:sz w:val="23"/>
                <w:szCs w:val="23"/>
                <w:b w:val="1"/>
                <w:bCs w:val="1"/>
                <w:color w:val="auto"/>
                <w:vertAlign w:val="superscript"/>
              </w:rPr>
              <w:t>(1)</w:t>
            </w:r>
          </w:p>
        </w:tc>
        <w:tc>
          <w:tcPr>
            <w:tcW w:w="2840" w:type="dxa"/>
            <w:vAlign w:val="bottom"/>
          </w:tcPr>
          <w:p>
            <w:pPr>
              <w:spacing w:after="0"/>
              <w:rPr>
                <w:sz w:val="24"/>
                <w:szCs w:val="24"/>
                <w:color w:val="auto"/>
              </w:rPr>
            </w:pPr>
          </w:p>
        </w:tc>
      </w:tr>
      <w:tr>
        <w:trPr>
          <w:trHeight w:val="323"/>
        </w:trPr>
        <w:tc>
          <w:tcPr>
            <w:tcW w:w="29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Worldwide</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United States</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Type 1</w:t>
            </w:r>
          </w:p>
        </w:tc>
        <w:tc>
          <w:tcPr>
            <w:tcW w:w="25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30.9 million</w:t>
            </w:r>
          </w:p>
        </w:tc>
        <w:tc>
          <w:tcPr>
            <w:tcW w:w="10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1.8 million</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Type 2 (all therapies)</w:t>
            </w:r>
          </w:p>
        </w:tc>
        <w:tc>
          <w:tcPr>
            <w:tcW w:w="2520" w:type="dxa"/>
            <w:vAlign w:val="bottom"/>
          </w:tcPr>
          <w:p>
            <w:pPr>
              <w:spacing w:after="0"/>
              <w:rPr>
                <w:sz w:val="19"/>
                <w:szCs w:val="19"/>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267.3 million</w:t>
            </w:r>
          </w:p>
        </w:tc>
        <w:tc>
          <w:tcPr>
            <w:tcW w:w="2840" w:type="dxa"/>
            <w:vAlign w:val="bottom"/>
          </w:tcPr>
          <w:p>
            <w:pPr>
              <w:jc w:val="center"/>
              <w:spacing w:after="0"/>
              <w:rPr>
                <w:sz w:val="20"/>
                <w:szCs w:val="20"/>
                <w:color w:val="auto"/>
              </w:rPr>
            </w:pPr>
            <w:r>
              <w:rPr>
                <w:rFonts w:ascii="Arial" w:cs="Arial" w:eastAsia="Arial" w:hAnsi="Arial"/>
                <w:sz w:val="18"/>
                <w:szCs w:val="18"/>
                <w:color w:val="auto"/>
                <w:w w:val="96"/>
              </w:rPr>
              <w:t>26.9 million</w:t>
            </w: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Type 2 (insulin-dependent)</w:t>
            </w:r>
          </w:p>
        </w:tc>
        <w:tc>
          <w:tcPr>
            <w:tcW w:w="25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w w:val="97"/>
              </w:rPr>
              <w:t>10 million</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6"/>
              </w:rPr>
              <w:t>2 million</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Internal estimates based on data from the International Diabetes Federation and the Centers for Disease Control and Prevention (CDC)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Diabetes Management</w:t>
      </w:r>
    </w:p>
    <w:p>
      <w:pPr>
        <w:spacing w:after="0" w:line="239" w:lineRule="exact"/>
        <w:rPr>
          <w:sz w:val="20"/>
          <w:szCs w:val="20"/>
          <w:color w:val="auto"/>
        </w:rPr>
      </w:pPr>
    </w:p>
    <w:p>
      <w:pPr>
        <w:ind w:right="80" w:firstLine="810"/>
        <w:spacing w:after="0" w:line="243" w:lineRule="auto"/>
        <w:rPr>
          <w:sz w:val="20"/>
          <w:szCs w:val="20"/>
          <w:color w:val="auto"/>
        </w:rPr>
      </w:pPr>
      <w:r>
        <w:rPr>
          <w:rFonts w:ascii="Arial" w:cs="Arial" w:eastAsia="Arial" w:hAnsi="Arial"/>
          <w:sz w:val="18"/>
          <w:szCs w:val="18"/>
          <w:color w:val="auto"/>
        </w:rPr>
        <w:t>Diabetes can be difficult for patients to manage. Unlike most therapies, insulin requirements can vary greatly and can be affected by many factors, such as type or quantity of food eaten, illness, stress and exercise. Preventing and managing fluctuations in blood glucose levels between hypoglycemia, or low blood glucose levels, and hyperglycemia, or high blood glucose levels, is often time consuming and stressful to people with diabetes and their loved ones.</w:t>
      </w:r>
    </w:p>
    <w:p>
      <w:pPr>
        <w:spacing w:after="0" w:line="215" w:lineRule="exact"/>
        <w:rPr>
          <w:sz w:val="20"/>
          <w:szCs w:val="20"/>
          <w:color w:val="auto"/>
        </w:rPr>
      </w:pPr>
    </w:p>
    <w:p>
      <w:pPr>
        <w:ind w:right="120" w:firstLine="810"/>
        <w:spacing w:after="0" w:line="276" w:lineRule="auto"/>
        <w:rPr>
          <w:sz w:val="20"/>
          <w:szCs w:val="20"/>
          <w:color w:val="auto"/>
        </w:rPr>
      </w:pPr>
      <w:r>
        <w:rPr>
          <w:rFonts w:ascii="Arial" w:cs="Arial" w:eastAsia="Arial" w:hAnsi="Arial"/>
          <w:sz w:val="16"/>
          <w:szCs w:val="16"/>
          <w:color w:val="auto"/>
        </w:rPr>
        <w:t>There are two primary therapies used by people with insulin-dependent diabetes, Multiple Daily Injection (MDI) and insulin pumps. Insulin pumps are intended to more closely resemble the physiologic function of a healthy pancreas and use rapid-acting insulin to fulfill both mealtime (bolus) and background (basal) requirements. Insulin pump systems are most commonly comprised of a programmable, durable device, a disposable cartridge filled with insulin by the user, and a disposable infusion set to administer insulin into the person’s body. This system is typically known as a durable pump and the device itself is expected to last for multiple years. By comparison, there are also disposable pumps which combine the pump mechanism, battery and electronics with the cartridge and infusion set into a body-worn patch. These pumps are entirely disposed of by the user every 3-days.</w:t>
      </w:r>
    </w:p>
    <w:p>
      <w:pPr>
        <w:spacing w:after="0" w:line="188" w:lineRule="exact"/>
        <w:rPr>
          <w:sz w:val="20"/>
          <w:szCs w:val="20"/>
          <w:color w:val="auto"/>
        </w:rPr>
      </w:pPr>
    </w:p>
    <w:p>
      <w:pPr>
        <w:ind w:right="160" w:firstLine="810"/>
        <w:spacing w:after="0"/>
        <w:rPr>
          <w:sz w:val="20"/>
          <w:szCs w:val="20"/>
          <w:color w:val="auto"/>
        </w:rPr>
      </w:pPr>
      <w:r>
        <w:rPr>
          <w:rFonts w:ascii="Arial" w:cs="Arial" w:eastAsia="Arial" w:hAnsi="Arial"/>
          <w:sz w:val="18"/>
          <w:szCs w:val="18"/>
          <w:color w:val="auto"/>
        </w:rPr>
        <w:t>More than 1 million people worldwide are estimated to use an insulin pump to manage their diabetes. We estimate that 750,000 people in the United States use an insulin pump. In addition, we estimate that approximately 450,000 people use an insulin pump in approximately 25 countries outside the United States in which our insulin pump is available.</w:t>
      </w:r>
    </w:p>
    <w:p>
      <w:pPr>
        <w:spacing w:after="0" w:line="176" w:lineRule="exact"/>
        <w:rPr>
          <w:sz w:val="20"/>
          <w:szCs w:val="20"/>
          <w:color w:val="auto"/>
        </w:rPr>
      </w:pPr>
    </w:p>
    <w:p>
      <w:pPr>
        <w:ind w:right="200" w:firstLine="810"/>
        <w:spacing w:after="0" w:line="273" w:lineRule="auto"/>
        <w:rPr>
          <w:sz w:val="20"/>
          <w:szCs w:val="20"/>
          <w:color w:val="auto"/>
        </w:rPr>
      </w:pPr>
      <w:r>
        <w:rPr>
          <w:rFonts w:ascii="Arial" w:cs="Arial" w:eastAsia="Arial" w:hAnsi="Arial"/>
          <w:sz w:val="17"/>
          <w:szCs w:val="17"/>
          <w:color w:val="auto"/>
        </w:rPr>
        <w:t>Insulin pump therapy can provide benefit to a person with insulin-dependent diabetes when used independently or in conjunction with CGM, which is a therapy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hyperglycemic and/or hypoglycemic events. Insulin pumps may also feature connectivity with mobile apps and data management applications, which are used by the pump user, their caregivers and their healthcare providers, to quickly and easily identify meaningful insights and trends, allowing them to refine therapy and lifestyle choices for better management of their diabetes.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Improving the Lives of People with Insulin-Dependent Diabetes</w:t>
      </w:r>
    </w:p>
    <w:p>
      <w:pPr>
        <w:spacing w:after="0" w:line="189"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meet the specific demands of people living with diabetes. This multi-step approach has resulted in products that provide users with the distinct features and functionality they seek and in a manner that makes the features usable and intuitive.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5" w:name="page6"/>
    <w:bookmarkEnd w:id="5"/>
    <w:p>
      <w:pPr>
        <w:ind w:right="600" w:firstLine="810"/>
        <w:spacing w:after="0" w:line="277" w:lineRule="auto"/>
        <w:rPr>
          <w:sz w:val="20"/>
          <w:szCs w:val="20"/>
          <w:color w:val="auto"/>
        </w:rPr>
      </w:pPr>
      <w:r>
        <w:rPr>
          <w:rFonts w:ascii="Arial" w:cs="Arial" w:eastAsia="Arial" w:hAnsi="Arial"/>
          <w:sz w:val="18"/>
          <w:szCs w:val="18"/>
          <w:color w:val="auto"/>
        </w:rPr>
        <w:t>Since our initial commercial launch, we have been able to rapidly innovate and bring more products to market than our competitors. The following table provides information regarding the commercial availability of our insulin pump products: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Commercial Availability</w:t>
            </w:r>
          </w:p>
        </w:tc>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Outside U.S. Commercial Availability</w:t>
            </w: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t:slim</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2012 - October 2016</w:t>
            </w:r>
          </w:p>
        </w:tc>
        <w:tc>
          <w:tcPr>
            <w:tcW w:w="100" w:type="dxa"/>
            <w:vAlign w:val="bottom"/>
            <w:tcBorders>
              <w:top w:val="single" w:sz="8" w:color="CCEEFF"/>
            </w:tcBorders>
            <w:shd w:val="clear" w:color="auto" w:fill="CCEEFF"/>
          </w:tcPr>
          <w:p>
            <w:pPr>
              <w:spacing w:after="0"/>
              <w:rPr>
                <w:sz w:val="19"/>
                <w:szCs w:val="19"/>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t:flex</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2015 - June 2018</w:t>
            </w:r>
          </w:p>
        </w:tc>
        <w:tc>
          <w:tcPr>
            <w:tcW w:w="3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G4</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2015 - August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t:slim X2</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2016 - September 2017</w:t>
            </w:r>
          </w:p>
        </w:tc>
        <w:tc>
          <w:tcPr>
            <w:tcW w:w="32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X2 with G5</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September 2017 - August 2018</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2018 - May 2021</w:t>
            </w: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t:slim X2 with Basal-IQ technology</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August 2018 - present</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September 2019* - present</w:t>
            </w: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t:slim X2 with Control-IQ technology</w:t>
            </w:r>
          </w:p>
        </w:tc>
        <w:tc>
          <w:tcPr>
            <w:tcW w:w="3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January 2020 - present</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2020* - present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*Scaled launch based on the timing of regulatory approvals and other factors.</w:t>
      </w:r>
    </w:p>
    <w:p>
      <w:pPr>
        <w:spacing w:after="0" w:line="185" w:lineRule="exact"/>
        <w:rPr>
          <w:sz w:val="20"/>
          <w:szCs w:val="20"/>
          <w:color w:val="auto"/>
        </w:rPr>
      </w:pPr>
    </w:p>
    <w:p>
      <w:pPr>
        <w:ind w:right="320" w:firstLine="810"/>
        <w:spacing w:after="0" w:line="342" w:lineRule="auto"/>
        <w:rPr>
          <w:sz w:val="20"/>
          <w:szCs w:val="20"/>
          <w:color w:val="auto"/>
        </w:rPr>
      </w:pPr>
      <w:r>
        <w:rPr>
          <w:rFonts w:ascii="Arial" w:cs="Arial" w:eastAsia="Arial" w:hAnsi="Arial"/>
          <w:sz w:val="16"/>
          <w:szCs w:val="16"/>
          <w:color w:val="auto"/>
        </w:rPr>
        <w:t>Today, our commercial efforts exclusively focus on the manufacturing, sale and support of our flagship pump platform, the t:slim X2 insulin delivery system. The t:slim X2 insulin delivery system is comprised of a t:slim X2 pump, its 300-unit disposable insulin cartridge and an infusion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198755</wp:posOffset>
            </wp:positionV>
            <wp:extent cx="3429000" cy="2288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t:slim X2 Insulin Pump Form Factor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Insulin Pump</w:t>
      </w:r>
    </w:p>
    <w:p>
      <w:pPr>
        <w:spacing w:after="0" w:line="185" w:lineRule="exact"/>
        <w:rPr>
          <w:sz w:val="20"/>
          <w:szCs w:val="20"/>
          <w:color w:val="auto"/>
        </w:rPr>
      </w:pPr>
    </w:p>
    <w:p>
      <w:pPr>
        <w:ind w:right="560" w:firstLine="810"/>
        <w:spacing w:after="0" w:line="277" w:lineRule="auto"/>
        <w:rPr>
          <w:sz w:val="20"/>
          <w:szCs w:val="20"/>
          <w:color w:val="auto"/>
        </w:rPr>
      </w:pPr>
      <w:r>
        <w:rPr>
          <w:rFonts w:ascii="Arial" w:cs="Arial" w:eastAsia="Arial" w:hAnsi="Arial"/>
          <w:sz w:val="18"/>
          <w:szCs w:val="18"/>
          <w:color w:val="auto"/>
        </w:rPr>
        <w:t>Our t:slim X2 was designed to offer greater ease of use and look more like other modern consumer technology, such as a smart phone, as compared to other traditional insulin pumps. Key features include:</w:t>
      </w:r>
    </w:p>
    <w:p>
      <w:pPr>
        <w:spacing w:after="0" w:line="143" w:lineRule="exact"/>
        <w:rPr>
          <w:sz w:val="20"/>
          <w:szCs w:val="20"/>
          <w:color w:val="auto"/>
        </w:rPr>
      </w:pPr>
    </w:p>
    <w:p>
      <w:pPr>
        <w:ind w:left="660" w:right="4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Color touchscreen - The large color touchscreen is easy to read, simple to learn, and intuitive to use for anyone familiar with a smartphone or tablet.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Small and discreet - The t:slim X2 pump is up to 38% smaller than other durable pumps, yet the device can hold up to 300-units of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90805</wp:posOffset>
            </wp:positionV>
            <wp:extent cx="216027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2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t:slim X2 Profile (Actual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ind w:left="660" w:right="2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Control-IQ advanced hybrid-closed loop technology: This AID feature is designed to help increase a user's time in targeted glycemic range (70-180 mg/dL), and is used by the majority of our customers worldwide. Control-IQ was the first AID algorithm cleared by the FDA to deliver automatic correction boluses in addition to adjusting basal insulin to help prevent high and low blood sugar. Control-IQ technology offers optional settings for sleep and exercise activities that adjust the algorithm parameters to better match the different physiological needs during these activities. Results from two independent pivotal studies using Control-IQ technology were published in the New England Journal of Medicine in October 2019 and August 2020.</w:t>
      </w:r>
    </w:p>
    <w:p>
      <w:pPr>
        <w:spacing w:after="0" w:line="165"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Connectivity - The t:slim X2 includes a Bluetooth radio for communicating with multiple external devices simultaneously and allows for uploading pump and CGM therapy data to the Tandem cloud via the t:connect mobile app. The t:slim X2 also includes a micro-USB port that supports charging the lithium-polymer battery, software updates and therapy data uploads.</w:t>
      </w:r>
    </w:p>
    <w:p>
      <w:pPr>
        <w:spacing w:after="0" w:line="102" w:lineRule="exact"/>
        <w:rPr>
          <w:rFonts w:ascii="Arial" w:cs="Arial" w:eastAsia="Arial" w:hAnsi="Arial"/>
          <w:sz w:val="18"/>
          <w:szCs w:val="18"/>
          <w:i w:val="1"/>
          <w:iCs w:val="1"/>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Mobile Control </w:t>
      </w:r>
      <w:r>
        <w:rPr>
          <w:rFonts w:ascii="Arial" w:cs="Arial" w:eastAsia="Arial" w:hAnsi="Arial"/>
          <w:sz w:val="18"/>
          <w:szCs w:val="18"/>
          <w:i w:val="1"/>
          <w:iCs w:val="1"/>
          <w:color w:val="auto"/>
        </w:rPr>
        <w:t>-</w:t>
      </w:r>
      <w:r>
        <w:rPr>
          <w:rFonts w:ascii="Arial" w:cs="Arial" w:eastAsia="Arial" w:hAnsi="Arial"/>
          <w:sz w:val="18"/>
          <w:szCs w:val="18"/>
          <w:color w:val="auto"/>
        </w:rPr>
        <w:t xml:space="preserve"> In the first quarter of 2022, we received FDA clearance for our mobile bolus feature that allows t:slim X2 users to control a bolus of insulin through our t:connect mobile app using their personal smartphone. It is the first-ever FDA-cleared smartphone application capable of initiating insulin delivery on both iOS and Android operating systems. Our mobile app provides users with convenient and discreet data display and alerts, and functions as a pipeline for getting pump data to the cloud.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Tandem Device Updater</w:t>
      </w:r>
    </w:p>
    <w:p>
      <w:pPr>
        <w:spacing w:after="0" w:line="185"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This tool allows pump users to update their pump software quickly and easily from a personal computer. It is PC- and Mac- compatible and designed to work with the t:slim X2 in a manner similar to software updates on a smartphone. We have used this technology to offer t:slim X2 customers in the United States multiple different software updates for no-cost. Outside the United States we began offering no-cost software updates for Basal-IQ technology in the third quarter of 2019 and Control-IQ technology updates in the third quarter of 2020.</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t:connect</w:t>
      </w:r>
    </w:p>
    <w:p>
      <w:pPr>
        <w:spacing w:after="0" w:line="198"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web-based data management application provides users, their caregivers and their healthcare providers with a fast, easy and visual way to display diabetes therapy management data from our pumps, integrated CGMs and supported blood glucose meters. It also provides us with valuable data that we can analyze computationally to reveal patterns, trends and associations that can be used in continuous product improvements and in the analysis of clinical outcomes data. In the third quarter of 2020, we launched the t:connect mobile application that features the wireless upload of pump data to t:connect, allows the user to receive notification of pump alerts and alarms, and provide a discrete, secondary display of glucose and insulin data. The t:connect mobile application is compatible with multiple versions of iOS and Android operating systems, and as of the end of 2022, there were approximately 300,000 downloads of our t:connect mobile app. We believe t:connect (web data management and mobile app) can serve as key components of additional health applications and services that are currently under development.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Sugarmate</w:t>
      </w:r>
    </w:p>
    <w:p>
      <w:pPr>
        <w:spacing w:after="0" w:line="185" w:lineRule="exact"/>
        <w:rPr>
          <w:sz w:val="20"/>
          <w:szCs w:val="20"/>
          <w:color w:val="auto"/>
        </w:rPr>
      </w:pPr>
    </w:p>
    <w:p>
      <w:pPr>
        <w:ind w:right="420" w:firstLine="810"/>
        <w:spacing w:after="0" w:line="308" w:lineRule="auto"/>
        <w:rPr>
          <w:sz w:val="20"/>
          <w:szCs w:val="20"/>
          <w:color w:val="auto"/>
        </w:rPr>
      </w:pPr>
      <w:r>
        <w:rPr>
          <w:rFonts w:ascii="Arial" w:cs="Arial" w:eastAsia="Arial" w:hAnsi="Arial"/>
          <w:sz w:val="17"/>
          <w:szCs w:val="17"/>
          <w:color w:val="auto"/>
        </w:rPr>
        <w:t>Sugarmate is a popular mobile app that is designed to help people visualize diabetes therapy data in innovative ways. It allows users to log glucose data and health and nutrition information, and can provide notifications and alerts to users, their family, and their caregivers.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&amp; Products Under Development</w:t>
      </w:r>
    </w:p>
    <w:p>
      <w:pPr>
        <w:spacing w:after="0" w:line="189" w:lineRule="exact"/>
        <w:rPr>
          <w:sz w:val="20"/>
          <w:szCs w:val="20"/>
          <w:color w:val="auto"/>
        </w:rPr>
      </w:pPr>
    </w:p>
    <w:p>
      <w:pPr>
        <w:ind w:right="60" w:firstLine="810"/>
        <w:spacing w:after="0" w:line="285" w:lineRule="auto"/>
        <w:rPr>
          <w:sz w:val="20"/>
          <w:szCs w:val="20"/>
          <w:color w:val="auto"/>
        </w:rPr>
      </w:pPr>
      <w:r>
        <w:rPr>
          <w:rFonts w:ascii="Arial" w:cs="Arial" w:eastAsia="Arial" w:hAnsi="Arial"/>
          <w:sz w:val="16"/>
          <w:szCs w:val="16"/>
          <w:color w:val="auto"/>
        </w:rPr>
        <w:t>Diabetes management can vary greatly from person-to-person, creating multiple market segments based on clinical needs and personal preferences. Our goal is to lead in insulin therapy management across multiple market segments by providing a portfolio of delivery devices, software, and data insight solutions to people living with diabetes, as well as their caregivers and healthcare providers. We believe our positively different approach to diabetes management uniquely positions us to significantly expand and further penetrate the varying segments of the intensive insulin using diabetes market by focusing on the needs of our customers and their caregivers, and by supporting healthcare providers and payors with real world insights.</w:t>
      </w:r>
    </w:p>
    <w:p>
      <w:pPr>
        <w:spacing w:after="0" w:line="2" w:lineRule="exact"/>
        <w:rPr>
          <w:sz w:val="20"/>
          <w:szCs w:val="20"/>
          <w:color w:val="auto"/>
        </w:rPr>
      </w:pPr>
    </w:p>
    <w:p>
      <w:pPr>
        <w:ind w:right="420" w:firstLine="810"/>
        <w:spacing w:after="0" w:line="260" w:lineRule="auto"/>
        <w:rPr>
          <w:sz w:val="20"/>
          <w:szCs w:val="20"/>
          <w:color w:val="auto"/>
        </w:rPr>
      </w:pPr>
      <w:r>
        <w:rPr>
          <w:rFonts w:ascii="Arial" w:cs="Arial" w:eastAsia="Arial" w:hAnsi="Arial"/>
          <w:sz w:val="18"/>
          <w:szCs w:val="18"/>
          <w:color w:val="auto"/>
        </w:rPr>
        <w:t>In support of this strategy, our product development efforts fall into three pillars of innovation: delivery devices, device software including algorithms, and data and insights.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198"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w:t>
      </w:r>
    </w:p>
    <w:p>
      <w:pPr>
        <w:spacing w:after="0" w:line="239" w:lineRule="exact"/>
        <w:rPr>
          <w:sz w:val="20"/>
          <w:szCs w:val="20"/>
          <w:color w:val="auto"/>
        </w:rPr>
      </w:pPr>
    </w:p>
    <w:p>
      <w:pPr>
        <w:ind w:right="280" w:firstLine="810"/>
        <w:spacing w:after="0" w:line="248" w:lineRule="auto"/>
        <w:rPr>
          <w:sz w:val="20"/>
          <w:szCs w:val="20"/>
          <w:color w:val="auto"/>
        </w:rPr>
      </w:pPr>
      <w:r>
        <w:rPr>
          <w:rFonts w:ascii="Arial" w:cs="Arial" w:eastAsia="Arial" w:hAnsi="Arial"/>
          <w:sz w:val="18"/>
          <w:szCs w:val="18"/>
          <w:color w:val="auto"/>
        </w:rPr>
        <w:t>The Tandem Mobi is approximately half the size of our t:slim X2 pump, and is designed for people who seek even greater discretion and flexibility with the use of their insulin pump. Its features include full pump-control from our mobile application, a 200-unit cartridge, an on-pump bolus button, inductive charging, and an AID algorithm.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t:slim X3</w:t>
      </w:r>
    </w:p>
    <w:p>
      <w:pPr>
        <w:spacing w:after="0" w:line="18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 Tubeless</w:t>
      </w:r>
    </w:p>
    <w:p>
      <w:pPr>
        <w:spacing w:after="0" w:line="239"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This offering is being developed to provide an alternative tubeless infusion site option for Mobi pump users. It will allow a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Sigi</w:t>
      </w:r>
    </w:p>
    <w:p>
      <w:pPr>
        <w:spacing w:after="0" w:line="185"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This ergonomic, rechargeable patch pump is being designed to reduce the burden of managing diabetes through its use of pre-filled insulin cartridges and compatibility with AID technology. This replaces our early-stage development of a disposable tubeless solution that was previously under development.</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Extended Wear Infusion Sets</w:t>
      </w:r>
    </w:p>
    <w:p>
      <w:pPr>
        <w:spacing w:after="0" w:line="185"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Infusion sets provide additional choice and flexibility to people living with diabetes. Our goals for infusion set innovations focus on solutions that extend wear time and enhance user experience, while reducing occlusions, body burden and waste. In support of this effort, we are currently developing unique extended wear infusion set technology.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9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Control-IQ Advancements</w:t>
      </w:r>
    </w:p>
    <w:p>
      <w:pPr>
        <w:spacing w:after="0" w:line="185" w:lineRule="exact"/>
        <w:rPr>
          <w:sz w:val="20"/>
          <w:szCs w:val="20"/>
          <w:color w:val="auto"/>
        </w:rPr>
      </w:pPr>
    </w:p>
    <w:p>
      <w:pPr>
        <w:jc w:val="both"/>
        <w:ind w:right="280" w:firstLine="810"/>
        <w:spacing w:after="0" w:line="301" w:lineRule="auto"/>
        <w:rPr>
          <w:sz w:val="20"/>
          <w:szCs w:val="20"/>
          <w:color w:val="auto"/>
        </w:rPr>
      </w:pPr>
      <w:r>
        <w:rPr>
          <w:rFonts w:ascii="Arial" w:cs="Arial" w:eastAsia="Arial" w:hAnsi="Arial"/>
          <w:sz w:val="16"/>
          <w:szCs w:val="16"/>
          <w:color w:val="auto"/>
        </w:rPr>
        <w:t>We are continuing to drive innovation in our algorithms, emphasizing automation, personalization and simplification to continue to improve therapeutic outcomes and provide a positive patient experience. We have recently completed clinical studies to support expanding the indications of our Control-IQ technology to include people with type 1 diabetes ages 2 to 5 years old. Additionally, we are initiating a pivotal study to support expanding indications to include people living with type 2 diabetes. We are also researching the use of different insulins with our Control-IQ technology.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Control</w:t>
      </w:r>
    </w:p>
    <w:p>
      <w:pPr>
        <w:spacing w:after="0" w:line="185"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Integration</w:t>
      </w:r>
    </w:p>
    <w:p>
      <w:pPr>
        <w:spacing w:after="0" w:line="198"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ectPr>
          <w:pgSz w:w="11900" w:h="16838" w:orient="portrait"/>
          <w:cols w:equalWidth="0" w:num="1">
            <w:col w:w="11220"/>
          </w:cols>
          <w:pgMar w:left="320" w:top="1070"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type w:val="continuous"/>
        </w:sectPr>
      </w:pPr>
    </w:p>
    <w:bookmarkStart w:id="8" w:name="page9"/>
    <w:bookmarkEnd w:id="8"/>
    <w:p>
      <w:pPr>
        <w:ind w:left="820"/>
        <w:spacing w:after="0"/>
        <w:rPr>
          <w:sz w:val="20"/>
          <w:szCs w:val="20"/>
          <w:color w:val="auto"/>
        </w:rPr>
      </w:pPr>
      <w:r>
        <w:rPr>
          <w:rFonts w:ascii="Arial" w:cs="Arial" w:eastAsia="Arial" w:hAnsi="Arial"/>
          <w:sz w:val="17"/>
          <w:szCs w:val="17"/>
          <w:color w:val="auto"/>
        </w:rPr>
        <w:t>Dexcom CGM: We have agreements with Dexcom to extend our current collaboration to include integration with their G7 CGM technology.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Following integrated product development work, this will be the fourth generation of Dexcom CGM that we intend to integrate with our devices.</w:t>
      </w:r>
    </w:p>
    <w:p>
      <w:pPr>
        <w:spacing w:after="0" w:line="195"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Abbott CGM: We have an agreement with Abbott Laboratories (Abbott), to develop and commercialize integrated diabetes solutions that combine Abbott’s FreeStyle Libre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18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Our key objectives include making these insights easy to understand, making the data available in real time, and providing the information in a flexible format with mobile or web apps. In addition, we are working to integrate health-related information from third-party sources and to use our data to support current and future products under development.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Tandem Source</w:t>
      </w:r>
    </w:p>
    <w:p>
      <w:pPr>
        <w:spacing w:after="0" w:line="185" w:lineRule="exact"/>
        <w:rPr>
          <w:sz w:val="20"/>
          <w:szCs w:val="20"/>
          <w:color w:val="auto"/>
        </w:rPr>
      </w:pPr>
    </w:p>
    <w:p>
      <w:pPr>
        <w:ind w:right="320" w:firstLine="810"/>
        <w:spacing w:after="0" w:line="301" w:lineRule="auto"/>
        <w:rPr>
          <w:sz w:val="20"/>
          <w:szCs w:val="20"/>
          <w:color w:val="auto"/>
        </w:rPr>
      </w:pPr>
      <w:r>
        <w:rPr>
          <w:rFonts w:ascii="Arial" w:cs="Arial" w:eastAsia="Arial" w:hAnsi="Arial"/>
          <w:sz w:val="16"/>
          <w:szCs w:val="16"/>
          <w:color w:val="auto"/>
        </w:rPr>
        <w:t>Expanding the capabilities of our t:connect data management application available for customers in the United States, Tandem Source is our second-generation web-based data management application that is being designed to be deployed globally. This application enhances clinical data visualization, and provides added interface customization for users to personalize how they engage with their data and for healthcare providers to better manage their care. We continue to develop and test new features for Tandem Source in anticipation of a future commercial release of the product.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Settings Automation</w:t>
      </w:r>
    </w:p>
    <w:p>
      <w:pPr>
        <w:spacing w:after="0" w:line="198"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Distribution Methods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t:slim X2 insulin delivery system is now available in approximately 25 countries worldwide. In the United States and Canada, we employ a</w:t>
      </w:r>
    </w:p>
    <w:p>
      <w:pPr>
        <w:spacing w:after="0" w:line="59"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direct sales and clinical organization. This organization is augmented by individuals in our internal customer sales support organization, who follow up with existing customers who are approaching their insurance renewal date to aid in the renewal process and on leads generated through promotional activities. Outside the United States, we have contracted with distributors who have substantial responsibility for sales, marketing and customer support efforts.</w:t>
      </w:r>
    </w:p>
    <w:p>
      <w:pPr>
        <w:spacing w:after="0" w:line="161" w:lineRule="exact"/>
        <w:rPr>
          <w:sz w:val="20"/>
          <w:szCs w:val="20"/>
          <w:color w:val="auto"/>
        </w:rPr>
      </w:pPr>
    </w:p>
    <w:p>
      <w:pPr>
        <w:ind w:firstLine="810"/>
        <w:spacing w:after="0" w:line="308" w:lineRule="auto"/>
        <w:rPr>
          <w:sz w:val="20"/>
          <w:szCs w:val="20"/>
          <w:color w:val="auto"/>
        </w:rPr>
      </w:pPr>
      <w:r>
        <w:rPr>
          <w:rFonts w:ascii="Arial" w:cs="Arial" w:eastAsia="Arial" w:hAnsi="Arial"/>
          <w:sz w:val="16"/>
          <w:szCs w:val="16"/>
          <w:b w:val="1"/>
          <w:bCs w:val="1"/>
          <w:i w:val="1"/>
          <w:iCs w:val="1"/>
          <w:color w:val="auto"/>
        </w:rPr>
        <w:t xml:space="preserve">Revenue Concentrations and Significant Customers. </w:t>
      </w:r>
      <w:r>
        <w:rPr>
          <w:rFonts w:ascii="Arial" w:cs="Arial" w:eastAsia="Arial" w:hAnsi="Arial"/>
          <w:sz w:val="16"/>
          <w:szCs w:val="16"/>
          <w:color w:val="auto"/>
        </w:rPr>
        <w:t>A small number of independent distributors in the United States have historically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a significant portion of our revenues. Generally, our five largest distributors account for approximately 40% of consolidated sales. We believe</w:t>
      </w:r>
    </w:p>
    <w:p>
      <w:pPr>
        <w:ind w:right="460"/>
        <w:spacing w:after="0" w:line="277" w:lineRule="auto"/>
        <w:rPr>
          <w:sz w:val="20"/>
          <w:szCs w:val="20"/>
          <w:color w:val="auto"/>
        </w:rPr>
      </w:pPr>
      <w:r>
        <w:rPr>
          <w:rFonts w:ascii="Arial" w:cs="Arial" w:eastAsia="Arial" w:hAnsi="Arial"/>
          <w:sz w:val="18"/>
          <w:szCs w:val="18"/>
          <w:color w:val="auto"/>
        </w:rPr>
        <w:t>our distributors in the United States carry minimal inventory at any given time. Outside the United States, there may be variability in inventory levels among our distributors, particularly when they first commence product sales or surrounding the launch of new products.</w:t>
      </w:r>
    </w:p>
    <w:p>
      <w:pPr>
        <w:spacing w:after="0" w:line="130" w:lineRule="exact"/>
        <w:rPr>
          <w:sz w:val="20"/>
          <w:szCs w:val="20"/>
          <w:color w:val="auto"/>
        </w:rPr>
      </w:pPr>
    </w:p>
    <w:p>
      <w:pPr>
        <w:ind w:right="340" w:firstLine="810"/>
        <w:spacing w:after="0" w:line="263" w:lineRule="auto"/>
        <w:rPr>
          <w:sz w:val="20"/>
          <w:szCs w:val="20"/>
          <w:color w:val="auto"/>
        </w:rPr>
      </w:pPr>
      <w:r>
        <w:rPr>
          <w:rFonts w:ascii="Arial" w:cs="Arial" w:eastAsia="Arial" w:hAnsi="Arial"/>
          <w:sz w:val="18"/>
          <w:szCs w:val="18"/>
          <w:b w:val="1"/>
          <w:bCs w:val="1"/>
          <w:i w:val="1"/>
          <w:iCs w:val="1"/>
          <w:color w:val="auto"/>
        </w:rPr>
        <w:t>Training and Customer Care</w:t>
      </w:r>
      <w:r>
        <w:rPr>
          <w:rFonts w:ascii="Arial" w:cs="Arial" w:eastAsia="Arial" w:hAnsi="Arial"/>
          <w:sz w:val="18"/>
          <w:szCs w:val="18"/>
          <w:color w:val="auto"/>
        </w:rPr>
        <w:t>. In the United States and Canada, our customer care infrastructure consists of specialists focused on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training, pump and supply order processing and 24/7/365 technical services. We also provide training and technical services to our distribution partners who fulfill their customer care responsibilities outside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89" w:lineRule="exact"/>
        <w:rPr>
          <w:sz w:val="20"/>
          <w:szCs w:val="20"/>
          <w:color w:val="auto"/>
        </w:rPr>
      </w:pPr>
    </w:p>
    <w:p>
      <w:pPr>
        <w:jc w:val="both"/>
        <w:ind w:right="120" w:firstLine="810"/>
        <w:spacing w:after="0" w:line="259" w:lineRule="auto"/>
        <w:rPr>
          <w:sz w:val="20"/>
          <w:szCs w:val="20"/>
          <w:color w:val="auto"/>
        </w:rPr>
      </w:pPr>
      <w:r>
        <w:rPr>
          <w:rFonts w:ascii="Arial" w:cs="Arial" w:eastAsia="Arial" w:hAnsi="Arial"/>
          <w:sz w:val="18"/>
          <w:szCs w:val="18"/>
          <w:color w:val="auto"/>
        </w:rPr>
        <w:t>In the United States, customer orders are typically fulfilled by billing third-party payors on behalf of our customers, or by using our network of distributors who then bill third-party payors on our customers’ behalf. Typically, customers are eligible for insurance reimbursement for the purchase of a new insulin pump once every four years. However, some plans may be limited to once every five years or have additional restrictions or requirements. Insurance reimbursement processes outside the United States vary by geography.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 w:name="page10"/>
    <w:bookmarkEnd w:id="9"/>
    <w:p>
      <w:pPr>
        <w:ind w:right="60" w:firstLine="810"/>
        <w:spacing w:after="0" w:line="273" w:lineRule="auto"/>
        <w:rPr>
          <w:sz w:val="20"/>
          <w:szCs w:val="20"/>
          <w:color w:val="auto"/>
        </w:rPr>
      </w:pPr>
      <w:r>
        <w:rPr>
          <w:rFonts w:ascii="Arial" w:cs="Arial" w:eastAsia="Arial" w:hAnsi="Arial"/>
          <w:sz w:val="17"/>
          <w:szCs w:val="17"/>
          <w:color w:val="auto"/>
        </w:rPr>
        <w:t>We are accredited by the Community Health Accreditation Program and are an approved Medicare provider. We enter into contracts with national and regional third-party payors to establish reimbursement for our insulin pump products, disposable insulin cartridges and other related supplies. If we are not contracted with a prospective customer’s third-party payor and in-network status cannot be otherwise obtained, then to the extent possible we use distribution channels so our customers’ orders can be serviced. While we have been working to increase our sales in the United States through our direct third-party payor contracts, the percentage is currently less than half of total sales. Outside of the United States and Canada, our distribution partners are responsible for all reimbursement, tender application and fulfillment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189"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Our pump products are currently assembled, tested and packaged at our facilities in San Diego, California. Over the course of the last two years, we have been transitioning our t:slim cartridge manufacturing to an experienced third-party contract manufacturer to provide us additional flexibility in scaling our business while creating additional leverage. We also use external third parties to sterilize our finished cartridges. All finished cartridges are packaged for sale at our facilities in San Diego.</w:t>
      </w:r>
    </w:p>
    <w:p>
      <w:pPr>
        <w:spacing w:after="0" w:line="146"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Outside suppliers are the source for components and some sub-assemblies in the production of our insulin pumps and cartridges. In addition, we purchase all of our currently marketed infusion sets from a third-party supplier, Unomedical A/S, a subsidiary of ConvaTec Group. Unomedical is responsible for all manufacturing, testing, sterilization and packaging of the infusion sets under our brands. Any sole and single source supplier is managed through our supplier management program that is focused on reducing supply chain risk. Our suppliers are evaluated, approved and monitored periodically by our quality department to ensure conformity with the specifications, policies and procedures applicable to our devices. Members of our quality department also inspect our devices at various steps during the manufacturing cycle to facilitate compliance with our devices’ stringent specifications.</w:t>
      </w:r>
    </w:p>
    <w:p>
      <w:pPr>
        <w:spacing w:after="0" w:line="137"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We have received certification from BSI Group, a Notified Body to the International Standards Organization (ISO), of our quality system.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100" w:firstLine="810"/>
        <w:spacing w:after="0" w:line="308" w:lineRule="auto"/>
        <w:rPr>
          <w:sz w:val="20"/>
          <w:szCs w:val="20"/>
          <w:color w:val="auto"/>
        </w:rPr>
      </w:pPr>
      <w:r>
        <w:rPr>
          <w:rFonts w:ascii="Arial" w:cs="Arial" w:eastAsia="Arial" w:hAnsi="Arial"/>
          <w:sz w:val="17"/>
          <w:szCs w:val="17"/>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19"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As of December 31, 2022, our patent portfolio includes numerous issued patents and pending patent applications in the U.S. and other countries, which in the aggregate, we believe to be important to our business. Patents are generally effective for 20 years from the date the earliest application was filed, and in some cases may be extended. Our issued patents as of December 31, 2022 are set to expire over a range of years, from 2024 to 2041, subject to any extensions. We also have various registered U.S. trademarks, registered European Community trademarks, and other trademark registrations and pending trademark applications in other countries and regions of the world. In addition, we have entered into exclusive and non-exclusive licenses in the ordinary course of business relating to a wide array of technologies or other intellectual property rights or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or other market activities of industry participants. We compete in markets worldwide with two primary companies that manufacture insulin delivery devices. There are also a number of other companies developing and marketing their own insulin delivery systems and/or related software applications for launch in the U.S. market, including insulin pumps and Bluetooth-enabled insulin pens to support MDI therapy. Additionally, several other companies currently market insulin pump products in markets outside the U.S.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Our products are medical devices subject to extensive regulation by the FDA in the United States, corresponding state regulatory authorities and other regulatory bodies in other countries. Each new or significantly modified medical device we seek to commercially distribute in the United States will require either a pre-market notification under Section 510(k) of the U.S. Federal Food, Drug and Cosmetic Act (FDCA), also referred to as a 510(k) clearance, or approval from the FDA through the premarket approval (PMA) process. We have obtained clearance on multiple devices in both Class II and Class III, including Control IQ and the tslim:X2.</w:t>
      </w:r>
    </w:p>
    <w:p>
      <w:pPr>
        <w:spacing w:after="0" w:line="215"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i w:val="1"/>
          <w:iCs w:val="1"/>
          <w:color w:val="auto"/>
        </w:rPr>
        <w:t>510(k) Clearance</w:t>
      </w:r>
      <w:r>
        <w:rPr>
          <w:rFonts w:ascii="Arial" w:cs="Arial" w:eastAsia="Arial" w:hAnsi="Arial"/>
          <w:sz w:val="16"/>
          <w:szCs w:val="16"/>
          <w:color w:val="auto"/>
        </w:rPr>
        <w:t>. To obtain 510(k) clearance for any of our potential future devices (or for certain modifications to devices that have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510(k) clearance), we must submit a pre-market notification demonstrating that the proposed device is substantially equivalent to a previously cleared 510(k) device. The FDA’s 510(k) clearance pathway generally takes three to 12 months from the date the application is completed but can take significantly longer. A 510(k) application must be supported by extensive data, including technical information, labeling, human factors data and potentially clinical data to meet any Special Controls. After a medical device receives 510(k) clearance, any modification that could significantly affect its safety or effectiveness, or that would constitute a significant change in its intended use, requires a new 510(k) clearance or, depending on the modification, could require a PMA application. The FDA requires each manufacturer to make this determination initially, but if the FDA disagrees with a manufacturer’s determination, the FDA can require the manufacturer to cease marketing and/or recall the modified device until 510(k) clearance or PMA is obtained and assess significant regulatory fines or penalties for failure to submit the requisite 510(k) or PMA application(s).</w:t>
      </w:r>
    </w:p>
    <w:p>
      <w:pPr>
        <w:spacing w:after="0" w:line="180" w:lineRule="exact"/>
        <w:rPr>
          <w:sz w:val="20"/>
          <w:szCs w:val="20"/>
          <w:color w:val="auto"/>
        </w:rPr>
      </w:pPr>
    </w:p>
    <w:p>
      <w:pPr>
        <w:ind w:right="40" w:firstLine="810"/>
        <w:spacing w:after="0" w:line="251" w:lineRule="auto"/>
        <w:rPr>
          <w:sz w:val="20"/>
          <w:szCs w:val="20"/>
          <w:color w:val="auto"/>
        </w:rPr>
      </w:pPr>
      <w:r>
        <w:rPr>
          <w:rFonts w:ascii="Arial" w:cs="Arial" w:eastAsia="Arial" w:hAnsi="Arial"/>
          <w:sz w:val="17"/>
          <w:szCs w:val="17"/>
          <w:color w:val="auto"/>
        </w:rPr>
        <w:t>There are three Class II categories classified by the FDA for the interoperability of devices as a complete AID system that are intended to help support continued rapid innovation by streamlining the regulatory pathway for integrated products approved by the FDA. In June 2018, our t:slim X2 was the first insulin pump designated by the FDA as compatible with integrated continuous glucose monitoring (iCGM) devices. In February 2019, we received FDA approval of our de novo application to classify the t:slim X2 to a Class II device, under the new insulin pump classification referred to as Alternate Controller Enabled Infusion Pumps (ACE pumps). In December 2019, we received FDA approval of our de novo application to classify our Control-IQ technology as the first automated insulin dosing software in a new interoperable automated glycemic controller (iAGC) category that automatically adjusts insulin delivery to a person with diabetes by connecting to an ACE pump and iCGM. In connection with the de novo applications for both the ACE pump and the iAGC category, the FDA established certain special controls that we will need to continue to satisfy. In March 2020, our Basal-IQ technology was also cleared as an iAGC. If we are not able to satisfy those special controls, we would be required to seek approval for those products under the traditional PMA submission process.</w:t>
      </w:r>
    </w:p>
    <w:p>
      <w:pPr>
        <w:spacing w:after="0" w:line="17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PMA Application: For Class III devices a PMA application must be supported by valid scientific evidence that typically includes extensive technical, pre-clinical, clinical, manufacturing and labeling data to demonstrate to the FDA’s satisfaction the safety and efficacy of the device.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FDA review of a PMA application generally takes approximately one year but may take significantly longer.</w:t>
      </w:r>
    </w:p>
    <w:p>
      <w:pPr>
        <w:spacing w:after="0" w:line="185"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51" w:lineRule="exact"/>
        <w:rPr>
          <w:sz w:val="20"/>
          <w:szCs w:val="20"/>
          <w:color w:val="auto"/>
        </w:rPr>
      </w:pPr>
    </w:p>
    <w:p>
      <w:pPr>
        <w:ind w:right="140" w:firstLine="810"/>
        <w:spacing w:after="0" w:line="301" w:lineRule="auto"/>
        <w:rPr>
          <w:sz w:val="20"/>
          <w:szCs w:val="20"/>
          <w:color w:val="auto"/>
        </w:rPr>
      </w:pPr>
      <w:r>
        <w:rPr>
          <w:rFonts w:ascii="Arial" w:cs="Arial" w:eastAsia="Arial" w:hAnsi="Arial"/>
          <w:sz w:val="16"/>
          <w:szCs w:val="16"/>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 w:name="page12"/>
    <w:bookmarkEnd w:id="11"/>
    <w:p>
      <w:pPr>
        <w:ind w:right="20" w:firstLine="810"/>
        <w:spacing w:after="0" w:line="271" w:lineRule="auto"/>
        <w:rPr>
          <w:sz w:val="20"/>
          <w:szCs w:val="20"/>
          <w:color w:val="auto"/>
        </w:rPr>
      </w:pPr>
      <w:r>
        <w:rPr>
          <w:rFonts w:ascii="Arial" w:cs="Arial" w:eastAsia="Arial" w:hAnsi="Arial"/>
          <w:sz w:val="17"/>
          <w:szCs w:val="17"/>
          <w:color w:val="auto"/>
        </w:rPr>
        <w:t>Clinical trials are typically required to support a PMA application and are sometimes required for a 510(k) clearance. We anticipate that most of our future AID offerings will require supporting clinical data, either from clinical trials or potentially from evidence that we are able to collect through real-world use of our products. These trials generally require submission of an application for an Investigational Device Exemption (IDE), to the FDA.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are currently sponsoring or supporting several clinical trials that are intended to support future enhancements to our AID products.</w:t>
      </w:r>
    </w:p>
    <w:p>
      <w:pPr>
        <w:spacing w:after="0" w:line="196" w:lineRule="exact"/>
        <w:rPr>
          <w:sz w:val="20"/>
          <w:szCs w:val="20"/>
          <w:color w:val="auto"/>
        </w:rPr>
      </w:pPr>
    </w:p>
    <w:p>
      <w:pPr>
        <w:ind w:right="620" w:firstLine="810"/>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requirements apply. These include:</w:t>
      </w:r>
    </w:p>
    <w:p>
      <w:pPr>
        <w:spacing w:after="0" w:line="130"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198" w:lineRule="exact"/>
        <w:rPr>
          <w:rFonts w:ascii="Arial" w:cs="Arial" w:eastAsia="Arial" w:hAnsi="Arial"/>
          <w:sz w:val="18"/>
          <w:szCs w:val="18"/>
          <w:color w:val="auto"/>
        </w:rPr>
      </w:pPr>
    </w:p>
    <w:p>
      <w:pPr>
        <w:jc w:val="both"/>
        <w:ind w:left="1140" w:right="80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43" w:lineRule="exact"/>
        <w:rPr>
          <w:rFonts w:ascii="Arial" w:cs="Arial" w:eastAsia="Arial" w:hAnsi="Arial"/>
          <w:sz w:val="18"/>
          <w:szCs w:val="18"/>
          <w:color w:val="auto"/>
        </w:rPr>
      </w:pPr>
    </w:p>
    <w:p>
      <w:pPr>
        <w:ind w:left="1140" w:right="12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29" w:lineRule="exact"/>
        <w:rPr>
          <w:rFonts w:ascii="Arial" w:cs="Arial" w:eastAsia="Arial" w:hAnsi="Arial"/>
          <w:sz w:val="18"/>
          <w:szCs w:val="18"/>
          <w:color w:val="auto"/>
        </w:rPr>
      </w:pPr>
    </w:p>
    <w:p>
      <w:pPr>
        <w:ind w:left="114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56"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184" w:lineRule="exact"/>
        <w:rPr>
          <w:rFonts w:ascii="Arial" w:cs="Arial" w:eastAsia="Arial" w:hAnsi="Arial"/>
          <w:sz w:val="18"/>
          <w:szCs w:val="18"/>
          <w:color w:val="auto"/>
        </w:rPr>
      </w:pPr>
    </w:p>
    <w:p>
      <w:pPr>
        <w:ind w:left="1140" w:hanging="484"/>
        <w:spacing w:after="0" w:line="342" w:lineRule="auto"/>
        <w:tabs>
          <w:tab w:leader="none" w:pos="1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83" w:lineRule="exact"/>
        <w:rPr>
          <w:sz w:val="20"/>
          <w:szCs w:val="20"/>
          <w:color w:val="auto"/>
        </w:rPr>
      </w:pPr>
    </w:p>
    <w:p>
      <w:pPr>
        <w:jc w:val="both"/>
        <w:ind w:right="60" w:firstLine="810"/>
        <w:spacing w:after="0" w:line="286" w:lineRule="auto"/>
        <w:rPr>
          <w:sz w:val="20"/>
          <w:szCs w:val="20"/>
          <w:color w:val="auto"/>
        </w:rPr>
      </w:pPr>
      <w:r>
        <w:rPr>
          <w:rFonts w:ascii="Arial" w:cs="Arial" w:eastAsia="Arial" w:hAnsi="Arial"/>
          <w:sz w:val="17"/>
          <w:szCs w:val="17"/>
          <w:color w:val="auto"/>
        </w:rPr>
        <w:t>Also, the FDA may require us to conduct post-market surveillance studies or establish and maintain a system for tracking our products through the chain of distribution to the patient level. We are currently conducting a post-market surveillance study for our t:slim X2 with Control-IQ technology for users with type 1 diabetes age six and above. We may elect to pursue additional post-market surveillance studies in the future.</w:t>
      </w:r>
    </w:p>
    <w:p>
      <w:pPr>
        <w:spacing w:after="0" w:line="138" w:lineRule="exact"/>
        <w:rPr>
          <w:sz w:val="20"/>
          <w:szCs w:val="20"/>
          <w:color w:val="auto"/>
        </w:rPr>
      </w:pPr>
    </w:p>
    <w:p>
      <w:pPr>
        <w:ind w:right="540" w:firstLine="810"/>
        <w:spacing w:after="0" w:line="342" w:lineRule="auto"/>
        <w:rPr>
          <w:sz w:val="20"/>
          <w:szCs w:val="20"/>
          <w:color w:val="auto"/>
        </w:rPr>
      </w:pPr>
      <w:r>
        <w:rPr>
          <w:rFonts w:ascii="Arial" w:cs="Arial" w:eastAsia="Arial" w:hAnsi="Arial"/>
          <w:sz w:val="16"/>
          <w:szCs w:val="16"/>
          <w:color w:val="auto"/>
        </w:rPr>
        <w:t>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83"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b w:val="1"/>
          <w:bCs w:val="1"/>
          <w:i w:val="1"/>
          <w:iCs w:val="1"/>
          <w:color w:val="auto"/>
        </w:rPr>
        <w:t xml:space="preserve">Licensure. </w:t>
      </w:r>
      <w:r>
        <w:rPr>
          <w:rFonts w:ascii="Arial" w:cs="Arial" w:eastAsia="Arial" w:hAnsi="Arial"/>
          <w:sz w:val="16"/>
          <w:szCs w:val="16"/>
          <w:color w:val="auto"/>
        </w:rPr>
        <w:t>In the United States, several states require that durable medical equipment (DME) providers be licensed to sell products to patients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2" w:name="page13"/>
    <w:bookmarkEnd w:id="12"/>
    <w:p>
      <w:pPr>
        <w:ind w:firstLine="810"/>
        <w:spacing w:after="0" w:line="275"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the federal Anti-Kickback Statute and the Physician Self-Referral Law (the Stark Law), the federal civil False Claims Act,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Health Administration programs.</w:t>
      </w:r>
    </w:p>
    <w:p>
      <w:pPr>
        <w:spacing w:after="0" w:line="149" w:lineRule="exact"/>
        <w:rPr>
          <w:sz w:val="20"/>
          <w:szCs w:val="20"/>
          <w:color w:val="auto"/>
        </w:rPr>
      </w:pPr>
    </w:p>
    <w:p>
      <w:pPr>
        <w:ind w:right="80" w:firstLine="810"/>
        <w:spacing w:after="0" w:line="311" w:lineRule="auto"/>
        <w:rPr>
          <w:sz w:val="20"/>
          <w:szCs w:val="20"/>
          <w:color w:val="auto"/>
        </w:rPr>
      </w:pPr>
      <w:r>
        <w:rPr>
          <w:rFonts w:ascii="Arial" w:cs="Arial" w:eastAsia="Arial" w:hAnsi="Arial"/>
          <w:sz w:val="16"/>
          <w:szCs w:val="16"/>
          <w:b w:val="1"/>
          <w:bCs w:val="1"/>
          <w:i w:val="1"/>
          <w:iCs w:val="1"/>
          <w:color w:val="auto"/>
        </w:rPr>
        <w:t xml:space="preserve">Federal Anti-Kickback Statute. </w:t>
      </w:r>
      <w:r>
        <w:rPr>
          <w:rFonts w:ascii="Arial" w:cs="Arial" w:eastAsia="Arial" w:hAnsi="Arial"/>
          <w:sz w:val="16"/>
          <w:szCs w:val="16"/>
          <w:color w:val="auto"/>
        </w:rPr>
        <w:t>The federal Anti-Kickback Statute prohibits persons from knowingly and willfully soliciting, receiving,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or 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spacing w:after="0" w:line="108" w:lineRule="exact"/>
        <w:rPr>
          <w:sz w:val="20"/>
          <w:szCs w:val="20"/>
          <w:color w:val="auto"/>
        </w:rPr>
      </w:pPr>
    </w:p>
    <w:p>
      <w:pPr>
        <w:ind w:right="160" w:firstLine="810"/>
        <w:spacing w:after="0" w:line="273" w:lineRule="auto"/>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37"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b w:val="1"/>
          <w:bCs w:val="1"/>
          <w:i w:val="1"/>
          <w:iCs w:val="1"/>
          <w:color w:val="auto"/>
        </w:rPr>
        <w:t>Physician Self-Referral Law</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Stark Law prohibits a physician from referring Medicare or Medicaid patients to an entity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health services,” including a company that furnishes durable medical equipment, if the physician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37" w:lineRule="exact"/>
        <w:rPr>
          <w:sz w:val="20"/>
          <w:szCs w:val="20"/>
          <w:color w:val="auto"/>
        </w:rPr>
      </w:pPr>
    </w:p>
    <w:p>
      <w:pPr>
        <w:ind w:right="180" w:firstLine="810"/>
        <w:spacing w:after="0" w:line="273" w:lineRule="auto"/>
        <w:rPr>
          <w:sz w:val="20"/>
          <w:szCs w:val="20"/>
          <w:color w:val="auto"/>
        </w:rPr>
      </w:pPr>
      <w:r>
        <w:rPr>
          <w:rFonts w:ascii="Arial" w:cs="Arial" w:eastAsia="Arial" w:hAnsi="Arial"/>
          <w:sz w:val="17"/>
          <w:szCs w:val="17"/>
          <w:b w:val="1"/>
          <w:bCs w:val="1"/>
          <w:i w:val="1"/>
          <w:iCs w:val="1"/>
          <w:color w:val="auto"/>
        </w:rPr>
        <w:t xml:space="preserve">Federal False Claims Act. </w:t>
      </w:r>
      <w:r>
        <w:rPr>
          <w:rFonts w:ascii="Arial" w:cs="Arial" w:eastAsia="Arial" w:hAnsi="Arial"/>
          <w:sz w:val="17"/>
          <w:szCs w:val="17"/>
          <w:color w:val="auto"/>
        </w:rPr>
        <w:t>The federal False Claims Act provides, in part, that the federal government may bring a lawsuit against any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37"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154"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b w:val="1"/>
          <w:bCs w:val="1"/>
          <w:i w:val="1"/>
          <w:iCs w:val="1"/>
          <w:color w:val="auto"/>
        </w:rPr>
        <w:t xml:space="preserve">Federal Health Care Fraud Statutes. </w:t>
      </w:r>
      <w:r>
        <w:rPr>
          <w:rFonts w:ascii="Arial" w:cs="Arial" w:eastAsia="Arial" w:hAnsi="Arial"/>
          <w:sz w:val="18"/>
          <w:szCs w:val="18"/>
          <w:color w:val="auto"/>
        </w:rPr>
        <w:t>We are also subject to a federal health care fraud statute that, among other things, imposes criminal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civil liability for executing a scheme to defraud any health care benefit program including non-governmental programs, and prohibits knowingly and willfully falsifying, concealing or covering up a material fact or making any materially false or fraudulent statement or representation, or making or using any false writing or document with knowledge that it contains a materially false or fraudulent statement in connection with the delivery of or payment for health care benefits, items or services.</w:t>
      </w:r>
    </w:p>
    <w:p>
      <w:pPr>
        <w:spacing w:after="0" w:line="161" w:lineRule="exact"/>
        <w:rPr>
          <w:sz w:val="20"/>
          <w:szCs w:val="20"/>
          <w:color w:val="auto"/>
        </w:rPr>
      </w:pPr>
    </w:p>
    <w:p>
      <w:pPr>
        <w:jc w:val="both"/>
        <w:ind w:right="120" w:firstLine="810"/>
        <w:spacing w:after="0" w:line="263"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false claims acts.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we are in material conformance to such laws. Nevertheless, a determination of liability under such laws could result in fines and penalties and restrictions on our ability to operate in these jurisdictions.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3" w:name="page14"/>
    <w:bookmarkEnd w:id="13"/>
    <w:p>
      <w:pPr>
        <w:ind w:right="140" w:firstLine="810"/>
        <w:spacing w:after="0" w:line="289" w:lineRule="auto"/>
        <w:rPr>
          <w:sz w:val="20"/>
          <w:szCs w:val="20"/>
          <w:color w:val="auto"/>
        </w:rPr>
      </w:pPr>
      <w:r>
        <w:rPr>
          <w:rFonts w:ascii="Arial" w:cs="Arial" w:eastAsia="Arial" w:hAnsi="Arial"/>
          <w:sz w:val="16"/>
          <w:szCs w:val="16"/>
          <w:b w:val="1"/>
          <w:bCs w:val="1"/>
          <w:i w:val="1"/>
          <w:iCs w:val="1"/>
          <w:color w:val="auto"/>
        </w:rPr>
        <w:t xml:space="preserve">Data Privacy and Information Security Laws and Regulations. </w:t>
      </w:r>
      <w:r>
        <w:rPr>
          <w:rFonts w:ascii="Arial" w:cs="Arial" w:eastAsia="Arial" w:hAnsi="Arial"/>
          <w:sz w:val="16"/>
          <w:szCs w:val="16"/>
          <w:color w:val="auto"/>
        </w:rPr>
        <w:t>t:connect data is hosted on secure servers and our use of t:connect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internal policies and procedures that are designed to comply with the federal U.S. Health Insurance Portability and Accountability Act of 1996 (HIPAA), as well as applicable U.S state privacy laws (including, but not limited to, the California Consumer Privacy Act). Although t:connect and t:connect HCP are not currently generally available to users or healthcare providers outside the United States, we are also mindful of requirements under Canada’s Personal Information Protection and Electronic Documents Act, referred to as PIPEDA, and similar provincial laws, and the E.U. General Data Protection Regulation, commonly known as GDPR, and similar E.U. member state laws. Collectively, these laws and regulations set standards for safeguarding the confidentiality, integrity, and availability of the personal information we collect and use from customers and healthcare providers. These laws also require, among other things, that we are transparent about how we collect and share personal data and that we give t:connect users the ability to know what data we are collecting about them, to obtain a copy of that data, to correct or amend that data, and to request we restrict use of that data.</w:t>
      </w:r>
    </w:p>
    <w:p>
      <w:pPr>
        <w:spacing w:after="0" w:line="135" w:lineRule="exact"/>
        <w:rPr>
          <w:sz w:val="20"/>
          <w:szCs w:val="20"/>
          <w:color w:val="auto"/>
        </w:rPr>
      </w:pPr>
    </w:p>
    <w:p>
      <w:pPr>
        <w:ind w:right="80" w:firstLine="810"/>
        <w:spacing w:after="0" w:line="294" w:lineRule="auto"/>
        <w:rPr>
          <w:sz w:val="20"/>
          <w:szCs w:val="20"/>
          <w:color w:val="auto"/>
        </w:rPr>
      </w:pPr>
      <w:r>
        <w:rPr>
          <w:rFonts w:ascii="Arial" w:cs="Arial" w:eastAsia="Arial" w:hAnsi="Arial"/>
          <w:sz w:val="16"/>
          <w:szCs w:val="16"/>
          <w:b w:val="1"/>
          <w:bCs w:val="1"/>
          <w:i w:val="1"/>
          <w:iCs w:val="1"/>
          <w:color w:val="auto"/>
        </w:rPr>
        <w:t>Healthcare Fraud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information security and data privacy obligations, HIPAA also created two new federal crimes: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19" w:lineRule="exact"/>
        <w:rPr>
          <w:sz w:val="20"/>
          <w:szCs w:val="20"/>
          <w:color w:val="auto"/>
        </w:rPr>
      </w:pPr>
    </w:p>
    <w:p>
      <w:pPr>
        <w:ind w:firstLine="810"/>
        <w:spacing w:after="0" w:line="256" w:lineRule="auto"/>
        <w:rPr>
          <w:sz w:val="20"/>
          <w:szCs w:val="20"/>
          <w:color w:val="auto"/>
        </w:rPr>
      </w:pPr>
      <w:r>
        <w:rPr>
          <w:rFonts w:ascii="Arial" w:cs="Arial" w:eastAsia="Arial" w:hAnsi="Arial"/>
          <w:sz w:val="18"/>
          <w:szCs w:val="18"/>
          <w:b w:val="1"/>
          <w:bCs w:val="1"/>
          <w:i w:val="1"/>
          <w:iCs w:val="1"/>
          <w:color w:val="auto"/>
        </w:rPr>
        <w:t>Physician Payments Sunshine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Physician Payments Sunshine Act requires certain manufacturers, including medical device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to 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 to date. However, the reporting requirements were meaningfully expanded beginning in 2021 and we implemented additional processes and controls in order to comply with these new tracking and disclosure obligations.</w:t>
      </w:r>
    </w:p>
    <w:p>
      <w:pPr>
        <w:spacing w:after="0" w:line="151"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b w:val="1"/>
          <w:bCs w:val="1"/>
          <w:i w:val="1"/>
          <w:iCs w:val="1"/>
          <w:color w:val="auto"/>
        </w:rPr>
        <w:t xml:space="preserve">Anti-Bribery and Anti-Corruption Laws. </w:t>
      </w:r>
      <w:r>
        <w:rPr>
          <w:rFonts w:ascii="Arial" w:cs="Arial" w:eastAsia="Arial" w:hAnsi="Arial"/>
          <w:sz w:val="16"/>
          <w:szCs w:val="16"/>
          <w:color w:val="auto"/>
        </w:rPr>
        <w:t>The U.S. Foreign Corrupt Practices Act (FCPA), and similar laws in foreign jurisdictions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prohibit U.S. corporations and their representatives from offering, promising, authorizing or making improper payments, gifts or transfers to any foreign government official to obtain or retain business. The scope of the FCPA would include interactions with certain healthcare professionals and hospital administrators in many countries. We believe we are in substantial compliance with the FCPA and similar foreign 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189" w:lineRule="exact"/>
        <w:rPr>
          <w:sz w:val="20"/>
          <w:szCs w:val="20"/>
          <w:color w:val="auto"/>
        </w:rPr>
      </w:pPr>
    </w:p>
    <w:p>
      <w:pPr>
        <w:jc w:val="both"/>
        <w:ind w:right="180" w:firstLine="810"/>
        <w:spacing w:after="0" w:line="311" w:lineRule="auto"/>
        <w:rPr>
          <w:sz w:val="20"/>
          <w:szCs w:val="20"/>
          <w:color w:val="auto"/>
        </w:rPr>
      </w:pPr>
      <w:r>
        <w:rPr>
          <w:rFonts w:ascii="Arial" w:cs="Arial" w:eastAsia="Arial" w:hAnsi="Arial"/>
          <w:sz w:val="16"/>
          <w:szCs w:val="16"/>
          <w:color w:val="auto"/>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108" w:lineRule="exact"/>
        <w:rPr>
          <w:sz w:val="20"/>
          <w:szCs w:val="20"/>
          <w:color w:val="auto"/>
        </w:rPr>
      </w:pPr>
    </w:p>
    <w:p>
      <w:pPr>
        <w:ind w:right="40" w:firstLine="810"/>
        <w:spacing w:after="0" w:line="268" w:lineRule="auto"/>
        <w:rPr>
          <w:sz w:val="20"/>
          <w:szCs w:val="20"/>
          <w:color w:val="auto"/>
        </w:rPr>
      </w:pPr>
      <w:r>
        <w:rPr>
          <w:rFonts w:ascii="Arial" w:cs="Arial" w:eastAsia="Arial" w:hAnsi="Arial"/>
          <w:sz w:val="17"/>
          <w:szCs w:val="17"/>
          <w:color w:val="auto"/>
        </w:rPr>
        <w:t>The primary regulatory body in Europe is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 These directives are in the process of being replaced by the Medical Device Regulation. Devices that comply with the requirements of a relevant directive or regulation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 We have obtained the right to affix the CE Mark to the t:slim X2 Insulin Delivery System, which allows us to distribute this product throughout the European Union and in other countries that recognize the CE Mark. In addition, we have Health Canada approval to sell the t:slim X2 in Canada.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4" w:name="page15"/>
    <w:bookmarkEnd w:id="14"/>
    <w:p>
      <w:pPr>
        <w:ind w:right="20" w:firstLine="810"/>
        <w:spacing w:after="0" w:line="262" w:lineRule="auto"/>
        <w:rPr>
          <w:sz w:val="20"/>
          <w:szCs w:val="20"/>
          <w:color w:val="auto"/>
        </w:rPr>
      </w:pPr>
      <w:r>
        <w:rPr>
          <w:rFonts w:ascii="Arial" w:cs="Arial" w:eastAsia="Arial" w:hAnsi="Arial"/>
          <w:sz w:val="17"/>
          <w:szCs w:val="17"/>
          <w:color w:val="auto"/>
        </w:rPr>
        <w:t>A range of anti-bribery and anti-corruption laws, as well as industry specific laws and codes of conduct, apply to the medical device industry and interactions with government officials and entities and healthcare professionals. These laws include the U.K. Bribery Act and similar antibribery laws in other jurisdictions in which we operate. Such laws generally prohibit U.S.-based companies and their intermediaries from making improper payments for the purpose of obtaining or retaining business to foreign officials, or in the case of the U.K. Bribery Act, to any person.</w:t>
      </w:r>
    </w:p>
    <w:p>
      <w:pPr>
        <w:spacing w:after="0" w:line="213" w:lineRule="exact"/>
        <w:rPr>
          <w:sz w:val="20"/>
          <w:szCs w:val="20"/>
          <w:color w:val="auto"/>
        </w:rPr>
      </w:pPr>
    </w:p>
    <w:p>
      <w:pPr>
        <w:ind w:right="320" w:firstLine="810"/>
        <w:spacing w:after="0" w:line="245" w:lineRule="auto"/>
        <w:rPr>
          <w:sz w:val="20"/>
          <w:szCs w:val="20"/>
          <w:color w:val="auto"/>
        </w:rPr>
      </w:pPr>
      <w:r>
        <w:rPr>
          <w:rFonts w:ascii="Arial" w:cs="Arial" w:eastAsia="Arial" w:hAnsi="Arial"/>
          <w:sz w:val="18"/>
          <w:szCs w:val="18"/>
          <w:b w:val="1"/>
          <w:bCs w:val="1"/>
          <w:i w:val="1"/>
          <w:iCs w:val="1"/>
          <w:color w:val="auto"/>
        </w:rPr>
        <w:t xml:space="preserve">General Data Protection Regulation. </w:t>
      </w:r>
      <w:r>
        <w:rPr>
          <w:rFonts w:ascii="Arial" w:cs="Arial" w:eastAsia="Arial" w:hAnsi="Arial"/>
          <w:sz w:val="18"/>
          <w:szCs w:val="18"/>
          <w:color w:val="auto"/>
        </w:rPr>
        <w:t>The General Data Protection Regulation (“GDPR”) is a comprehensive update to the data protection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 in the European Economic Area that imposes requirements relating to, among other things, consent to process personal data of individuals, the information provided to individuals regarding the processing of their personal data, the security and confidentiality of personal data, notifications in the event of data breaches and use of third-party processors. If we fail to comply with these standards, we could be subject to criminal penalties and civil sanctions, including fines and penalties for noncompliance.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Social and Governance</w:t>
      </w:r>
    </w:p>
    <w:p>
      <w:pPr>
        <w:spacing w:after="0" w:line="189" w:lineRule="exact"/>
        <w:rPr>
          <w:sz w:val="20"/>
          <w:szCs w:val="20"/>
          <w:color w:val="auto"/>
        </w:rPr>
      </w:pPr>
    </w:p>
    <w:p>
      <w:pPr>
        <w:jc w:val="both"/>
        <w:ind w:right="180" w:firstLine="810"/>
        <w:spacing w:after="0" w:line="303" w:lineRule="auto"/>
        <w:rPr>
          <w:sz w:val="20"/>
          <w:szCs w:val="20"/>
          <w:color w:val="auto"/>
        </w:rPr>
      </w:pPr>
      <w:r>
        <w:rPr>
          <w:rFonts w:ascii="Arial" w:cs="Arial" w:eastAsia="Arial" w:hAnsi="Arial"/>
          <w:sz w:val="16"/>
          <w:szCs w:val="16"/>
          <w:color w:val="auto"/>
        </w:rPr>
        <w:t>We have a focused effort on understanding the environmental impact of our business, both the direct impact as an employer and manufacturer, as well as the impact resulting from consumer use of the products we offer. We have metrics and initiatives across the business in support of these efforts, and our company goals include driving economic efficiencies and process improvement, with environmental impact in mind.</w:t>
      </w:r>
    </w:p>
    <w:p>
      <w:pPr>
        <w:spacing w:after="0" w:line="100" w:lineRule="exact"/>
        <w:rPr>
          <w:sz w:val="20"/>
          <w:szCs w:val="20"/>
          <w:color w:val="auto"/>
        </w:rPr>
      </w:pPr>
    </w:p>
    <w:p>
      <w:pPr>
        <w:ind w:right="20" w:firstLine="810"/>
        <w:spacing w:after="0" w:line="256" w:lineRule="auto"/>
        <w:rPr>
          <w:sz w:val="20"/>
          <w:szCs w:val="20"/>
          <w:color w:val="auto"/>
        </w:rPr>
      </w:pPr>
      <w:r>
        <w:rPr>
          <w:rFonts w:ascii="Arial" w:cs="Arial" w:eastAsia="Arial" w:hAnsi="Arial"/>
          <w:sz w:val="18"/>
          <w:szCs w:val="18"/>
          <w:color w:val="auto"/>
        </w:rPr>
        <w:t>Additional information about our Environmental, Social and Governance practices can be found on our website within the “Investor Center” section. The information contained on or accessed through our website does not constitute part of this Annual Report, and references to our website address in this Annual Report are inactive textual references only.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are committed to creating and maintaining a safe, diverse, and inclusive community for all employees while we serve our customers and fulfill our mission to improve the lives of people with diabetes. As of December 31, 2022, we had approximately 2,600 regular full-time employees, who primarily work in the United States, Canada, or Europe. The term “employees” in this Annual Report means our regular full-time employees. Our headquarters are in San Diego, CA, where our primary research and development and administrative headquarters are located, and where we also operate a manufacturing facility and a warehousing facility. None of our employees are represented by a collective bargaining agreement, and we have never experienced any work stoppage. We believe we have good relations with our employees.</w:t>
      </w:r>
    </w:p>
    <w:p>
      <w:pPr>
        <w:spacing w:after="0" w:line="13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Culture</w:t>
      </w:r>
    </w:p>
    <w:p>
      <w:pPr>
        <w:spacing w:after="0" w:line="198"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 xml:space="preserve">Fostering and maintaining a strong, healthy culture is a key strategic focus. Our core values statement was created by our employees in a bottom-up, cross-functional process that we revisit and refresh on a periodic basis. Our </w:t>
      </w:r>
      <w:r>
        <w:rPr>
          <w:rFonts w:ascii="Arial" w:cs="Arial" w:eastAsia="Arial" w:hAnsi="Arial"/>
          <w:sz w:val="18"/>
          <w:szCs w:val="18"/>
          <w:i w:val="1"/>
          <w:iCs w:val="1"/>
          <w:color w:val="auto"/>
        </w:rPr>
        <w:t>Words We Live By</w:t>
      </w:r>
      <w:r>
        <w:rPr>
          <w:rFonts w:ascii="Arial" w:cs="Arial" w:eastAsia="Arial" w:hAnsi="Arial"/>
          <w:sz w:val="18"/>
          <w:szCs w:val="18"/>
          <w:color w:val="auto"/>
        </w:rPr>
        <w:t xml:space="preserve"> describe our core values and reflect who we are and the way our employees interact with one another, our customers, partners and stockholders.</w:t>
      </w:r>
    </w:p>
    <w:p>
      <w:pPr>
        <w:spacing w:after="0" w:line="143"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In both 2021 and 2022, we conducted employee engagement surveys through Gallup, a leading global consulting firm on employee engagement. More than 90% of our employees participated in both years, and the results demonstrated that our overall engagement levels exceed Gallup’s averages worldwide, in the United States, and in life sciences. The results also reflected that we are a mission-driven company with employees’ response on our strength of purpose far exceeding Gallup’s measurement for world class.</w:t>
      </w:r>
    </w:p>
    <w:p>
      <w:pPr>
        <w:spacing w:after="0" w:line="146" w:lineRule="exact"/>
        <w:rPr>
          <w:sz w:val="20"/>
          <w:szCs w:val="20"/>
          <w:color w:val="auto"/>
        </w:rPr>
      </w:pPr>
    </w:p>
    <w:p>
      <w:pPr>
        <w:jc w:val="both"/>
        <w:ind w:right="40" w:firstLine="810"/>
        <w:spacing w:after="0" w:line="311" w:lineRule="auto"/>
        <w:rPr>
          <w:sz w:val="20"/>
          <w:szCs w:val="20"/>
          <w:color w:val="auto"/>
        </w:rPr>
      </w:pPr>
      <w:r>
        <w:rPr>
          <w:rFonts w:ascii="Arial" w:cs="Arial" w:eastAsia="Arial" w:hAnsi="Arial"/>
          <w:sz w:val="16"/>
          <w:szCs w:val="16"/>
          <w:color w:val="auto"/>
        </w:rPr>
        <w:t>In 2022, we earned the Great Place to Work Certification, a prestigious award based entirely on results from in-depth employee surveys around their experience working at the Company. This certification is the most definitive “employer-of-choice” recognition that companies aspire to achieve and is recognized worldwide by employees and employers alike and is the global benchmark for identifying and recognizing outstanding employee experience.</w:t>
      </w:r>
    </w:p>
    <w:p>
      <w:pPr>
        <w:spacing w:after="0" w:line="12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8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Our diversity, equity and inclusion (DE&amp;I) goals focus on cultivating and encouraging an inclusive and equitable culture where diversity of thought is represented and can thrive throughout our organization. More than half of our employees are female, including 40% of our employees at the Vice President level or higher, and approximately half of our employees are from an underrepresented ethnic community. We believe that bringing together different perspectives and experiences is fundamental to innovation and continuing to raise the bar in the field of diabetes technology.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ind w:right="80" w:firstLine="810"/>
        <w:spacing w:after="0" w:line="273" w:lineRule="auto"/>
        <w:rPr>
          <w:sz w:val="20"/>
          <w:szCs w:val="20"/>
          <w:color w:val="auto"/>
        </w:rPr>
      </w:pPr>
      <w:r>
        <w:rPr>
          <w:rFonts w:ascii="Arial" w:cs="Arial" w:eastAsia="Arial" w:hAnsi="Arial"/>
          <w:sz w:val="17"/>
          <w:szCs w:val="17"/>
          <w:color w:val="auto"/>
        </w:rPr>
        <w:t>2021 was our first full year of having a DE&amp;I Council, which we continued and expanded during 2022. This Council is sponsored by executive management and we provide regular updates to our Board of Directors on its initiatives and progress. It is staffed by employees with diverse backgrounds, experiences or characteristics who share a common interest in professional development, improving corporate culture and delivering sustained business results. Our DE&amp;I efforts are focused on diabetes representation and access, representation in leadership, representation in technology roles and pro-inclusion. In addition, we are focused on cultivating and supporting our internal culture through diversity of thought, support and advocacy within the diabetes community and continuing to build and maintain a diverse and inclusive workforce.</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Organizational Development</w:t>
      </w:r>
    </w:p>
    <w:p>
      <w:pPr>
        <w:spacing w:after="0" w:line="185"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 xml:space="preserve">Attracting, developing and retaining employees is critical to our longer-term success. We have established a comprehensive training program to develop employees throughout the organization. </w:t>
      </w:r>
      <w:r>
        <w:rPr>
          <w:rFonts w:ascii="Arial" w:cs="Arial" w:eastAsia="Arial" w:hAnsi="Arial"/>
          <w:sz w:val="17"/>
          <w:szCs w:val="17"/>
          <w:i w:val="1"/>
          <w:iCs w:val="1"/>
          <w:color w:val="auto"/>
        </w:rPr>
        <w:t>Emerging Leaders</w:t>
      </w:r>
      <w:r>
        <w:rPr>
          <w:rFonts w:ascii="Arial" w:cs="Arial" w:eastAsia="Arial" w:hAnsi="Arial"/>
          <w:sz w:val="17"/>
          <w:szCs w:val="17"/>
          <w:color w:val="auto"/>
        </w:rPr>
        <w:t xml:space="preserve"> and </w:t>
      </w:r>
      <w:r>
        <w:rPr>
          <w:rFonts w:ascii="Arial" w:cs="Arial" w:eastAsia="Arial" w:hAnsi="Arial"/>
          <w:sz w:val="17"/>
          <w:szCs w:val="17"/>
          <w:i w:val="1"/>
          <w:iCs w:val="1"/>
          <w:color w:val="auto"/>
        </w:rPr>
        <w:t>Leading in Tandem</w:t>
      </w:r>
      <w:r>
        <w:rPr>
          <w:rFonts w:ascii="Arial" w:cs="Arial" w:eastAsia="Arial" w:hAnsi="Arial"/>
          <w:sz w:val="17"/>
          <w:szCs w:val="17"/>
          <w:color w:val="auto"/>
        </w:rPr>
        <w:t xml:space="preserve"> are examples of internal programs intended for high performing individual contributors, and newly hired and promoted supervisors and managers, respectively. More than 95% of employees participating in these programs remain employed at Tandem and approximately one-third have been promoted or have had a significant change in scope of responsibility. In 2022, more than 450 employees participated in our leadership development programs.</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Competitive Total Rewards</w:t>
      </w:r>
    </w:p>
    <w:p>
      <w:pPr>
        <w:spacing w:after="0" w:line="239" w:lineRule="exact"/>
        <w:rPr>
          <w:sz w:val="20"/>
          <w:szCs w:val="20"/>
          <w:color w:val="auto"/>
        </w:rPr>
      </w:pPr>
    </w:p>
    <w:p>
      <w:pPr>
        <w:ind w:right="60" w:firstLine="810"/>
        <w:spacing w:after="0" w:line="248" w:lineRule="auto"/>
        <w:rPr>
          <w:sz w:val="20"/>
          <w:szCs w:val="20"/>
          <w:color w:val="auto"/>
        </w:rPr>
      </w:pPr>
      <w:r>
        <w:rPr>
          <w:rFonts w:ascii="Arial" w:cs="Arial" w:eastAsia="Arial" w:hAnsi="Arial"/>
          <w:sz w:val="18"/>
          <w:szCs w:val="18"/>
          <w:color w:val="auto"/>
        </w:rPr>
        <w:t>Our compensation program is designed to align employee compensation with our performance and to provide the proper incentives to attract, retain, and motivate employees to achieve superior results. The structure of our compensation program balances incentive earnings for both short-term and long-term performance.</w:t>
      </w:r>
    </w:p>
    <w:p>
      <w:pPr>
        <w:spacing w:after="0" w:line="209" w:lineRule="exact"/>
        <w:rPr>
          <w:sz w:val="20"/>
          <w:szCs w:val="20"/>
          <w:color w:val="auto"/>
        </w:rPr>
      </w:pPr>
    </w:p>
    <w:p>
      <w:pPr>
        <w:ind w:left="1460" w:right="380" w:hanging="318"/>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provide employee wages that are competitive and consistent with employee positions, skill levels, experience, knowledge, and geographic location.</w:t>
      </w:r>
    </w:p>
    <w:p>
      <w:pPr>
        <w:spacing w:after="0" w:line="197" w:lineRule="exact"/>
        <w:rPr>
          <w:rFonts w:ascii="Arial" w:cs="Arial" w:eastAsia="Arial" w:hAnsi="Arial"/>
          <w:sz w:val="18"/>
          <w:szCs w:val="18"/>
          <w:color w:val="auto"/>
        </w:rPr>
      </w:pPr>
    </w:p>
    <w:p>
      <w:pPr>
        <w:ind w:left="1460" w:right="160" w:hanging="318"/>
        <w:spacing w:after="0" w:line="261" w:lineRule="auto"/>
        <w:tabs>
          <w:tab w:leader="none" w:pos="1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engage internationally recognized outside compensation and benefits consulting firms to independently evaluate the effectiveness of our executive compensation and benefit programs and to provide benchmarking.</w:t>
      </w:r>
    </w:p>
    <w:p>
      <w:pPr>
        <w:spacing w:after="0" w:line="184" w:lineRule="exact"/>
        <w:rPr>
          <w:rFonts w:ascii="Arial" w:cs="Arial" w:eastAsia="Arial" w:hAnsi="Arial"/>
          <w:sz w:val="18"/>
          <w:szCs w:val="18"/>
          <w:color w:val="auto"/>
        </w:rPr>
      </w:pPr>
    </w:p>
    <w:p>
      <w:pPr>
        <w:ind w:left="1460" w:hanging="318"/>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align our executives’ long-term equity compensation with our stockholders’ interests.</w:t>
      </w:r>
    </w:p>
    <w:p>
      <w:pPr>
        <w:spacing w:after="0" w:line="238" w:lineRule="exact"/>
        <w:rPr>
          <w:rFonts w:ascii="Arial" w:cs="Arial" w:eastAsia="Arial" w:hAnsi="Arial"/>
          <w:sz w:val="18"/>
          <w:szCs w:val="18"/>
          <w:color w:val="auto"/>
        </w:rPr>
      </w:pPr>
    </w:p>
    <w:p>
      <w:pPr>
        <w:ind w:left="1460" w:right="380" w:hanging="318"/>
        <w:spacing w:after="0" w:line="291" w:lineRule="auto"/>
        <w:tabs>
          <w:tab w:leader="none" w:pos="14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Annual increases and incentive compensation are based on our performance as well as each individual’s contribution to the results achieved and are documented through our talent management process as part of our annual review process.</w:t>
      </w:r>
    </w:p>
    <w:p>
      <w:pPr>
        <w:spacing w:after="0" w:line="133"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To foster a stronger sense of ownership and align the interests of partners with stockholders, stock options and/or restricted stock units are provided to a substantial proportion of our employees under our broad-based stock incentive programs. Also, our employees are able to participate in our employee stock purchase program. Furthermore, we offer comprehensive, locally relevant and innovative benefits to all eligible employees, including health insurance, paid time off, paid and unpaid leaves, a retirement plan, health savings accounts, flexible spending accounts, life and disability coverage, voluntary accident, critical illness, legal and identity theft coverage, employee discount program, and an employee loaner pump program.</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185" w:lineRule="exact"/>
        <w:rPr>
          <w:sz w:val="20"/>
          <w:szCs w:val="20"/>
          <w:color w:val="auto"/>
        </w:rPr>
      </w:pPr>
    </w:p>
    <w:p>
      <w:pPr>
        <w:ind w:right="120" w:firstLine="810"/>
        <w:spacing w:after="0" w:line="296" w:lineRule="auto"/>
        <w:rPr>
          <w:sz w:val="20"/>
          <w:szCs w:val="20"/>
          <w:color w:val="auto"/>
        </w:rPr>
      </w:pPr>
      <w:r>
        <w:rPr>
          <w:rFonts w:ascii="Arial" w:cs="Arial" w:eastAsia="Arial" w:hAnsi="Arial"/>
          <w:sz w:val="16"/>
          <w:szCs w:val="16"/>
          <w:color w:val="auto"/>
        </w:rPr>
        <w:t>The health and safety of our employees is our highest priority, and this is consistent with our operating philosophy. We have integrated our employee health and safety efforts with our human resources functions to create a corporate culture with a shared commitment to the well-being of our professionals. Our employee assistance and wellness programs offer a range of benefits and services. For example, as a benefit to our employees and their eligible dependents, we provide access to personal and job-related counseling and assistance resources for addressing concerns such as emotional well-being, family and relationships, legal and financial matters, healthy lifestyles, mental health, substance abuse, and work and life transitions.</w:t>
      </w:r>
    </w:p>
    <w:p>
      <w:pPr>
        <w:spacing w:after="0" w:line="121"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We have comprehensive safety training programs that ensure our employees know how to do their jobs safely and in compliance with laws and regulations. We operate in modern, efficient, and safe facilities, and have had minimal accident and injury rates company-wide. Despite this success, however, our goal remains the same: zero accidents.</w:t>
      </w:r>
    </w:p>
    <w:p>
      <w:pPr>
        <w:spacing w:after="0" w:line="157"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Throughout the COVID-19 global pandemic, we were deemed an essential healthcare business under applicable governmental orders, and our manufacturing and warehousing sites continued operating during the COVID-19 pandemic. As such, we invested in creating physically safe work environments for our employees through the implementation of new protocols, trainings and communications.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45"/>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Name</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Age</w:t>
            </w:r>
          </w:p>
        </w:tc>
        <w:tc>
          <w:tcPr>
            <w:tcW w:w="6280" w:type="dxa"/>
            <w:vAlign w:val="bottom"/>
          </w:tcPr>
          <w:p>
            <w:pPr>
              <w:ind w:left="2960"/>
              <w:spacing w:after="0"/>
              <w:rPr>
                <w:sz w:val="20"/>
                <w:szCs w:val="20"/>
                <w:color w:val="auto"/>
              </w:rPr>
            </w:pPr>
            <w:r>
              <w:rPr>
                <w:rFonts w:ascii="Arial" w:cs="Arial" w:eastAsia="Arial" w:hAnsi="Arial"/>
                <w:sz w:val="18"/>
                <w:szCs w:val="18"/>
                <w:b w:val="1"/>
                <w:bCs w:val="1"/>
                <w:color w:val="auto"/>
              </w:rPr>
              <w:t>Title</w:t>
            </w:r>
          </w:p>
        </w:tc>
      </w:tr>
      <w:tr>
        <w:trPr>
          <w:trHeight w:val="223"/>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F. Sheridan</w:t>
            </w:r>
          </w:p>
        </w:tc>
        <w:tc>
          <w:tcPr>
            <w:tcW w:w="2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280" w:type="dxa"/>
            <w:vAlign w:val="bottom"/>
            <w:tcBorders>
              <w:top w:val="single" w:sz="8" w:color="CCEEFF"/>
            </w:tcBorders>
            <w:shd w:val="clear" w:color="auto" w:fill="CCEEFF"/>
          </w:tcPr>
          <w:p>
            <w:pPr>
              <w:spacing w:after="0"/>
              <w:rPr>
                <w:sz w:val="19"/>
                <w:szCs w:val="19"/>
                <w:color w:val="auto"/>
              </w:rPr>
            </w:pPr>
          </w:p>
        </w:tc>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David B. Berger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8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EVP and Chief Operating Officer</w:t>
            </w: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Rick A. Carpenter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8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Technical Officer</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Elizabeth A. Gasser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8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EVP and Chief Strategy Officer</w:t>
            </w: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B. Hansen</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8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EVP and Chief Commercial Officer</w:t>
            </w: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Shannon M. Hansen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8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SVP, General Counsel, Chief Compliance Officer and Secretary</w:t>
            </w: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Leal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8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SVP, Operations</w:t>
            </w: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Susan M. Morrison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8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EVP and Chief Administrative Officer</w:t>
            </w:r>
          </w:p>
        </w:tc>
      </w:tr>
      <w:tr>
        <w:trPr>
          <w:trHeight w:val="23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Leigh A. Vosseller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8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EVP, Chief Financial Officer, and Treasurer</w:t>
            </w:r>
          </w:p>
        </w:tc>
      </w:tr>
    </w:tbl>
    <w:p>
      <w:pPr>
        <w:spacing w:after="0" w:line="256"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Further detailed information about our executive officers not referenced or set forth above, is provided in our definitive Proxy Statement for our 2022 Annual Meeting of Stockholders and will be included in our definitive Proxy Statement for our 2023 Annual Meeting of Stockholders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9"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Mr. Sheridan, our President and Chief Executive Officer, and Ms. Vosseller, our Executive Vice President, Chief Financial Officer and Treasurer, are involved in a personal relationship and share a primary residence. Ms. Vosseller reports directly to Mr. Sheridan. Our board of directors is informed of the relationship and due to the direct reporting arrangement, we have taken appropriate actions to ensure compliance with Company policies and procedures. Mr. Sheridan and Ms. Vosseller will not be involved in setting compensation or benefits for one another, which will continue to be determined by our Compensation Committee. In addition, our Audit Committee of the Board of Directors considered whether additional internal disclosure controls and procedures are appropriate in light of the circumstances and, as a result, certain additional internal controls were implemented during the year ended December 31, 2019.</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Except as described above, there are no family relationships between any of our directors and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u w:val="single" w:color="auto"/>
          <w:color w:val="auto"/>
        </w:rPr>
        <w:t>www.tandemdiabetes.com</w:t>
      </w:r>
      <w:r>
        <w:rPr>
          <w:rFonts w:ascii="Arial" w:cs="Arial" w:eastAsia="Arial" w:hAnsi="Arial"/>
          <w:sz w:val="18"/>
          <w:szCs w:val="18"/>
          <w:color w:val="auto"/>
        </w:rPr>
        <w:t>. Copies of our filings with the SEC are available free of charge on our website within the “Investor Center” section as soon as reasonably practicable after having been electronically filed with or furnished to the SEC. The information contained on or accessed through our website does not constitute part of this Annual Report, and references to our website address in this Annual Report are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Item 2, Management’s Discussion and Analysis of Financial Condition and Results of Operations of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i w:val="1"/>
          <w:iCs w:val="1"/>
          <w:color w:val="auto"/>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after this summary.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and may not achieve sustained profitability.</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sales of insulin pump products to generate a significant portion of our revenue, and any factors that negatively impact sales of these products may adversely affect us.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grow our revenue depends in part on attracting and retaining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 our business partners’ failure to successfully compete may negatively affect our financial condition.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products or technologies may render our products obsolete or less desirable.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to achieve market acceptance could negatively impact our business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secure or retain adequate coverage or reimbursement for our products by third-party payors could adversely affect our business.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regarding the safety or efficacy of our products could limit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maintain or expand our network of independent distributors, our sales may be negatively affected.</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successfully complete clinical trials and development-stage testing could prevent us from obtaining regulatory approvals for or commercializing our products.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a limited number of third-party suppliers for certain components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attract or retain key personnel could adversely affect our ability to execute our business strategy.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6" w:lineRule="exact"/>
        <w:rPr>
          <w:sz w:val="20"/>
          <w:szCs w:val="20"/>
          <w:color w:val="auto"/>
        </w:rPr>
      </w:pPr>
    </w:p>
    <w:p>
      <w:pPr>
        <w:ind w:left="660" w:right="640" w:hanging="328"/>
        <w:spacing w:after="0" w:line="24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our products internationally may result in a variety of risks associated with international operations that could materially adversely affect our business.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regulatory authorization in foreign jurisdictions will prevent us from marketing our products internationally.</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sales and profits are subject to decline in response to foreign currency exchange rate fluctuation.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Macroeconomic Conditions and External Factors</w:t>
      </w:r>
    </w:p>
    <w:p>
      <w:pPr>
        <w:spacing w:after="0" w:line="27" w:lineRule="exact"/>
        <w:rPr>
          <w:sz w:val="20"/>
          <w:szCs w:val="20"/>
          <w:color w:val="auto"/>
        </w:rPr>
      </w:pPr>
    </w:p>
    <w:p>
      <w:pPr>
        <w:ind w:left="660" w:right="54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in current global economic and political conditions could adversely affect our ability to predict product demand and impact our financial results.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threats, such as the COVID-19 global pandemic, could materially impact our operations and the global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Climate change or other extreme weather conditions and related regulations may have a long-term impact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need to raise additional funds in the future and funds may not be available on commercially reasonable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from quarter to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and Security</w:t>
      </w:r>
    </w:p>
    <w:p>
      <w:pPr>
        <w:spacing w:after="0" w:line="27" w:lineRule="exact"/>
        <w:rPr>
          <w:sz w:val="20"/>
          <w:szCs w:val="20"/>
          <w:color w:val="auto"/>
        </w:rPr>
      </w:pPr>
    </w:p>
    <w:p>
      <w:pPr>
        <w:ind w:left="660" w:right="5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security breach or disruption to our information technology systems could damage our relationships, expose us to litigation or regulatory proceedings, or harm our reputation.</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violation of privacy or security laws could subject us to penalties and harm our reputation or business.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Risks Related to Legal and Intellectual Property</w:t>
      </w:r>
    </w:p>
    <w:p>
      <w:pPr>
        <w:spacing w:after="0" w:line="2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comprehensively protect our intellectual property and proprietary technology is uncertain.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Patent litigation is not uncommon in the medical device industry, and we may be subject to such litigation.</w:t>
      </w:r>
    </w:p>
    <w:p>
      <w:pPr>
        <w:spacing w:after="0" w:line="9" w:lineRule="exact"/>
        <w:rPr>
          <w:rFonts w:ascii="Arial" w:cs="Arial" w:eastAsia="Arial" w:hAnsi="Arial"/>
          <w:sz w:val="18"/>
          <w:szCs w:val="18"/>
          <w:color w:val="auto"/>
        </w:rPr>
      </w:pPr>
    </w:p>
    <w:p>
      <w:pPr>
        <w:ind w:left="660" w:right="12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damages resulting from claims that we have wrongfully used or disclosed patient health information, personal information, or trade secrets, or are in breach of non-competition or non-solicitation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7" w:lineRule="exact"/>
        <w:rPr>
          <w:sz w:val="20"/>
          <w:szCs w:val="20"/>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products and operations are subject to extensive governmental regulation, and failure to comply with requirements could cause our business to suffer.</w:t>
      </w:r>
    </w:p>
    <w:p>
      <w:pPr>
        <w:ind w:left="660" w:right="80" w:hanging="328"/>
        <w:spacing w:after="0" w:line="24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products or modifications to our existing products may require new regulatory approvals, or require us to cease marketing or recall modified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recall or suspension of our products could have a significant negative impact on us.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our common stock may continue to fluctuate significantly.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certain other tax attributes may be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maintain an effective system of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7" w:lineRule="exact"/>
        <w:rPr>
          <w:sz w:val="20"/>
          <w:szCs w:val="20"/>
          <w:color w:val="auto"/>
        </w:rPr>
      </w:pPr>
    </w:p>
    <w:p>
      <w:pPr>
        <w:ind w:left="660" w:right="14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a significant amount of indebtedness and the agreements governing such indebtedness may restrict our financial flexibility and affect our ability to operate our business.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1.50% Convertible Senior Notes due 2025 could adversely affect our financial condition.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have sufficient cash flow from our business to service the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take actions which could limit our ability to make payments on the Notes.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18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Since our inception in January 2006, we have incurred a significant net loss. As of December 31, 2022, we had an accumulated deficit of $729.2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57"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current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97" w:lineRule="exact"/>
        <w:rPr>
          <w:sz w:val="20"/>
          <w:szCs w:val="20"/>
          <w:color w:val="auto"/>
        </w:rPr>
      </w:pPr>
    </w:p>
    <w:p>
      <w:pPr>
        <w:ind w:right="40" w:firstLine="810"/>
        <w:spacing w:after="0" w:line="262" w:lineRule="auto"/>
        <w:rPr>
          <w:sz w:val="20"/>
          <w:szCs w:val="20"/>
          <w:color w:val="auto"/>
        </w:rPr>
      </w:pPr>
      <w:r>
        <w:rPr>
          <w:rFonts w:ascii="Arial" w:cs="Arial" w:eastAsia="Arial" w:hAnsi="Arial"/>
          <w:sz w:val="17"/>
          <w:szCs w:val="17"/>
          <w:color w:val="auto"/>
        </w:rPr>
        <w:t>Since the first quarter of 2013, we have been able to manufacture and sell our insulin pump products at a cost and in volumes sufficient to allow us to achieve a positive overall gross margin. For the years ended December 31, 2021 and 2020, our gross profit was $376.2 million and $260.5 million, respectively. Although we have achieved a positive overall gross margin and generated net income on an annual basis for the first time for the year ended December 31, 2021, we may still operate at a net loss from time to time due to fluctuations in our business.</w:t>
      </w:r>
    </w:p>
    <w:p>
      <w:pPr>
        <w:spacing w:after="0" w:line="186" w:lineRule="exact"/>
        <w:rPr>
          <w:sz w:val="20"/>
          <w:szCs w:val="20"/>
          <w:color w:val="auto"/>
        </w:rPr>
      </w:pPr>
    </w:p>
    <w:p>
      <w:pPr>
        <w:jc w:val="both"/>
        <w:ind w:right="100"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products currently under development both in the United States and the more than 25 countries outside the United States in which our insulin pump is available.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9" w:name="page20"/>
    <w:bookmarkEnd w:id="19"/>
    <w:p>
      <w:pPr>
        <w:ind w:right="20" w:firstLine="810"/>
        <w:spacing w:after="0" w:line="255" w:lineRule="auto"/>
        <w:rPr>
          <w:sz w:val="20"/>
          <w:szCs w:val="20"/>
          <w:color w:val="auto"/>
        </w:rPr>
      </w:pPr>
      <w:r>
        <w:rPr>
          <w:rFonts w:ascii="Arial" w:cs="Arial" w:eastAsia="Arial" w:hAnsi="Arial"/>
          <w:sz w:val="18"/>
          <w:szCs w:val="18"/>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the actual efficiencies gained in our manufacturing processes, general economic conditions, and the scope and duration of the impacts caused by the COVID-19 global pandemic. Any additional operating losses will have an adverse effect on our stockholders’ equity, and we cannot assure you that we will be able to sustain profitability.</w:t>
      </w:r>
    </w:p>
    <w:p>
      <w:pPr>
        <w:spacing w:after="0" w:line="1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4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right="140" w:hanging="656"/>
        <w:spacing w:after="0" w:line="342" w:lineRule="auto"/>
        <w:tabs>
          <w:tab w:leader="none" w:pos="19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23" w:lineRule="exact"/>
        <w:rPr>
          <w:rFonts w:ascii="Arial" w:cs="Arial" w:eastAsia="Arial" w:hAnsi="Arial"/>
          <w:sz w:val="16"/>
          <w:szCs w:val="16"/>
          <w:color w:val="auto"/>
        </w:rPr>
      </w:pPr>
    </w:p>
    <w:p>
      <w:pPr>
        <w:ind w:left="1960" w:right="40" w:hanging="656"/>
        <w:spacing w:after="0" w:line="277"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180" w:firstLine="810"/>
        <w:spacing w:after="0" w:line="272" w:lineRule="auto"/>
        <w:rPr>
          <w:sz w:val="20"/>
          <w:szCs w:val="20"/>
          <w:color w:val="auto"/>
        </w:rPr>
      </w:pPr>
      <w:r>
        <w:rPr>
          <w:rFonts w:ascii="Arial" w:cs="Arial" w:eastAsia="Arial" w:hAnsi="Arial"/>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77"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Because we currently rely on sales of our t:slim X2 insulin pump and related products to generate a significant majority of our revenue, any factors that negatively impact sales of these products (or negatively impact the products or components integrated with these products), or result in sales of these products increasing at a lower rate than expected, could adversely affect our business, financial condition and operating results. We believe the COVID-19 global pandemic has had, and that it may continue to have, an adverse impact on sales of our products.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20" w:name="page21"/>
    <w:bookmarkEnd w:id="20"/>
    <w:p>
      <w:pPr>
        <w:ind w:right="160"/>
        <w:spacing w:after="0" w:line="261" w:lineRule="auto"/>
        <w:rPr>
          <w:sz w:val="20"/>
          <w:szCs w:val="20"/>
          <w:color w:val="auto"/>
        </w:rPr>
      </w:pPr>
      <w:r>
        <w:rPr>
          <w:rFonts w:ascii="Arial" w:cs="Arial" w:eastAsia="Arial" w:hAnsi="Arial"/>
          <w:sz w:val="18"/>
          <w:szCs w:val="18"/>
          <w:b w:val="1"/>
          <w:bCs w:val="1"/>
          <w:i w:val="1"/>
          <w:iCs w:val="1"/>
          <w:color w:val="auto"/>
        </w:rPr>
        <w:t>Uncertainty in current global economic and political conditions could adversely affect our ability to predict product demand and impact our financial results.</w:t>
      </w:r>
    </w:p>
    <w:p>
      <w:pPr>
        <w:spacing w:after="0" w:line="171" w:lineRule="exact"/>
        <w:rPr>
          <w:sz w:val="20"/>
          <w:szCs w:val="20"/>
          <w:color w:val="auto"/>
        </w:rPr>
      </w:pPr>
    </w:p>
    <w:p>
      <w:pPr>
        <w:ind w:right="20" w:firstLine="810"/>
        <w:spacing w:after="0" w:line="251" w:lineRule="auto"/>
        <w:rPr>
          <w:sz w:val="20"/>
          <w:szCs w:val="20"/>
          <w:color w:val="auto"/>
        </w:rPr>
      </w:pPr>
      <w:r>
        <w:rPr>
          <w:rFonts w:ascii="Arial" w:cs="Arial" w:eastAsia="Arial" w:hAnsi="Arial"/>
          <w:sz w:val="17"/>
          <w:szCs w:val="17"/>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The overall scope of the COVID-19 global pandemic and its impacts continue to fluctuate, and in some instances worsen, in various regions worldwide. Although the overall negative impact from the COVID-19 global pandemic on our business is difficult to estimate, our sales and operating results have been adversely impacted, and we anticipate that they will continue to be impacted and subject to unpredictable variability in future periods. Further, certain development activities, such as human factors studies associated with our product development efforts, activities to support the manufacturing scale-up for new products and the recruitment of participants in ongoing clinical studies, were modified or delayed due to impacts of the COVID-19 global pandemic, which has and continues to impact our development timelines and regulatory strategies and also could have a negative impact on our product commercialization efforts and the future demand for our products.</w:t>
      </w:r>
    </w:p>
    <w:p>
      <w:pPr>
        <w:spacing w:after="0" w:line="210" w:lineRule="exact"/>
        <w:rPr>
          <w:sz w:val="20"/>
          <w:szCs w:val="20"/>
          <w:color w:val="auto"/>
        </w:rPr>
      </w:pPr>
    </w:p>
    <w:p>
      <w:pPr>
        <w:ind w:right="140" w:firstLine="810"/>
        <w:spacing w:after="0" w:line="253" w:lineRule="auto"/>
        <w:rPr>
          <w:sz w:val="20"/>
          <w:szCs w:val="20"/>
          <w:color w:val="auto"/>
        </w:rPr>
      </w:pPr>
      <w:r>
        <w:rPr>
          <w:rFonts w:ascii="Arial" w:cs="Arial" w:eastAsia="Arial" w:hAnsi="Arial"/>
          <w:sz w:val="17"/>
          <w:szCs w:val="17"/>
          <w:color w:val="auto"/>
        </w:rPr>
        <w:t>The COVID-19 global pandemic, or other similar outbreaks or epidemics, may have an adverse effect on the overall productivity of our workforce, and we expect to continue to take appropriate measures to protect the health and safety of our employees and our business partners and reduce the risk of disruptions to our operations. We temporarily increased our staffing in certain operations in order to mitigate potential risks associated with increases in unplanned employee absences or illness. Our adoption of these preventive measures has resulted in incremental costs that have negatively impacted our gross margin, and could impact future periods. In addition, for the duration of the COVID-19 global pandemic, some of our employees may be required to continue to operate within a remote work environment for extended periods of time due to illness, travel restrictions, government-imposed orders, school closures or for other reasons, any of which could result in reduced productivity of our workforce. As the COVID-19 global pandemic improves, we anticipate adapting to a hybrid work model, and we may experience additional costs as our employees return to work, or as we respond to general labor shortages and heightened competition for employees with specialized skills.</w:t>
      </w:r>
    </w:p>
    <w:p>
      <w:pPr>
        <w:spacing w:after="0" w:line="157" w:lineRule="exact"/>
        <w:rPr>
          <w:sz w:val="20"/>
          <w:szCs w:val="20"/>
          <w:color w:val="auto"/>
        </w:rPr>
      </w:pPr>
    </w:p>
    <w:p>
      <w:pPr>
        <w:ind w:right="40" w:firstLine="810"/>
        <w:spacing w:after="0" w:line="288"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COVID-19 global pandemic has and could continue to have a material adverse impact on the operations of one or more of our suppliers. These adverse impacts on our suppliers could prevent them from delivering products to us or supporting our requirements for manufacturing-related equipment on a timely basis, or at all.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1" w:name="page22"/>
    <w:bookmarkEnd w:id="21"/>
    <w:p>
      <w:pPr>
        <w:ind w:firstLine="810"/>
        <w:spacing w:after="0" w:line="255"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pandemic and any resulting changes to general economic conditions in the countries in which we operate and sell our products. Further spread or escalation of the COVID-19 global pandemic, a resurgence of the pandemic in the United States, or even the threat or perception that this could occur, or any protracted duration of decreased economic activity or increase in inflation, could have a material adverse impact on our business, operations and financial results and could negatively impact or disrupt our plans to have employees return to our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39" w:lineRule="exact"/>
        <w:rPr>
          <w:sz w:val="20"/>
          <w:szCs w:val="20"/>
          <w:color w:val="auto"/>
        </w:rPr>
      </w:pPr>
    </w:p>
    <w:p>
      <w:pPr>
        <w:ind w:right="160" w:firstLine="810"/>
        <w:spacing w:after="0" w:line="251"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224" w:lineRule="exact"/>
        <w:rPr>
          <w:sz w:val="20"/>
          <w:szCs w:val="20"/>
          <w:color w:val="auto"/>
        </w:rPr>
      </w:pPr>
    </w:p>
    <w:p>
      <w:pPr>
        <w:ind w:right="140" w:firstLine="810"/>
        <w:spacing w:after="0" w:line="272" w:lineRule="auto"/>
        <w:rPr>
          <w:sz w:val="20"/>
          <w:szCs w:val="20"/>
          <w:color w:val="auto"/>
        </w:rPr>
      </w:pPr>
      <w:r>
        <w:rPr>
          <w:rFonts w:ascii="Arial" w:cs="Arial" w:eastAsia="Arial" w:hAnsi="Arial"/>
          <w:sz w:val="17"/>
          <w:szCs w:val="17"/>
          <w:color w:val="auto"/>
        </w:rPr>
        <w:t>Further, the COVID-19 global pandemic has resulted in substantial restrictions on our engagement efforts with customers and healthcare providers, including the cancellation or postponement of company-sponsored educational events, as well as third-party conferences, trade shows and similar events. The impact continues even as some third-party conferences, trade shows and events are being held remotely from time to time, which restricts our engagement with customers and healthcare providers. In addition, varying COVID-19 case rates can limit our in-person access to healthcare provider offices and also result in staffing shortages in the practices we serve. Collectively, these restrictions have negatively impacted, and are likely to continue negatively impacting, our ability to promote our new products and features to customers and healthcare providers, which could adversely impact our product sales and customer retention rates, as well as the strength of our brand.</w:t>
      </w:r>
    </w:p>
    <w:p>
      <w:pPr>
        <w:spacing w:after="0" w:line="177" w:lineRule="exact"/>
        <w:rPr>
          <w:sz w:val="20"/>
          <w:szCs w:val="20"/>
          <w:color w:val="auto"/>
        </w:rPr>
      </w:pPr>
    </w:p>
    <w:p>
      <w:pPr>
        <w:ind w:right="58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4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46" w:lineRule="exact"/>
        <w:rPr>
          <w:sz w:val="20"/>
          <w:szCs w:val="20"/>
          <w:color w:val="auto"/>
        </w:rPr>
      </w:pPr>
    </w:p>
    <w:p>
      <w:pPr>
        <w:jc w:val="both"/>
        <w:ind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62" w:lineRule="exact"/>
        <w:rPr>
          <w:sz w:val="20"/>
          <w:szCs w:val="20"/>
          <w:color w:val="auto"/>
        </w:rPr>
      </w:pPr>
    </w:p>
    <w:p>
      <w:pPr>
        <w:ind w:right="20" w:firstLine="810"/>
        <w:spacing w:after="0" w:line="253" w:lineRule="auto"/>
        <w:rPr>
          <w:sz w:val="20"/>
          <w:szCs w:val="20"/>
          <w:color w:val="auto"/>
        </w:rPr>
      </w:pPr>
      <w:r>
        <w:rPr>
          <w:rFonts w:ascii="Arial" w:cs="Arial" w:eastAsia="Arial" w:hAnsi="Arial"/>
          <w:sz w:val="17"/>
          <w:szCs w:val="17"/>
          <w:color w:val="auto"/>
        </w:rPr>
        <w:t>Our primary competitors are major medical device companies that are publicly traded companies or divisions or subsidiaries of publicly traded companies, including Insulet and Medtronic. In addition, Becton Dickinson and Company recently completed the spin off its diabetes care business as a separate publicly-traded company, Embecta.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95" w:lineRule="exact"/>
        <w:rPr>
          <w:sz w:val="20"/>
          <w:szCs w:val="20"/>
          <w:color w:val="auto"/>
        </w:rPr>
      </w:pPr>
    </w:p>
    <w:p>
      <w:pPr>
        <w:ind w:left="1940" w:hanging="636"/>
        <w:spacing w:after="0"/>
        <w:tabs>
          <w:tab w:leader="none" w:pos="1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left="1960" w:right="200" w:hanging="656"/>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39" w:lineRule="exact"/>
        <w:rPr>
          <w:sz w:val="20"/>
          <w:szCs w:val="20"/>
          <w:color w:val="auto"/>
        </w:rPr>
      </w:pPr>
    </w:p>
    <w:p>
      <w:pPr>
        <w:ind w:right="260" w:firstLine="810"/>
        <w:spacing w:after="0" w:line="248"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 and Medtronic is selling a connected insulin pen delivery device. Additionally, Medtronic offers an infusion set that can be worn for up to seven days.</w:t>
      </w:r>
    </w:p>
    <w:p>
      <w:pPr>
        <w:spacing w:after="0" w:line="222"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as well as the impacts and disruptions associated with the COVID-19 global pandemic, could negatively impact the financial condition of our business partners and impact their ability to fulfill contractual obligations to us, which could negatively impact our product sales, result in delays in obtaining regulatory approvals for new products, harm our reputation, and result in harm to our financial condition and operating results.</w:t>
      </w:r>
    </w:p>
    <w:p>
      <w:pPr>
        <w:spacing w:after="0" w:line="166"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these and other reasons, we may not be able to compete successfully against our current or potential future competitors, which could have a material adverse impact on our financial condition and operating results.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30" w:lineRule="exact"/>
        <w:rPr>
          <w:sz w:val="20"/>
          <w:szCs w:val="20"/>
          <w:color w:val="auto"/>
        </w:rPr>
      </w:pPr>
    </w:p>
    <w:p>
      <w:pPr>
        <w:ind w:right="200" w:firstLine="810"/>
        <w:spacing w:after="0" w:line="290" w:lineRule="auto"/>
        <w:rPr>
          <w:sz w:val="20"/>
          <w:szCs w:val="20"/>
          <w:color w:val="auto"/>
        </w:rPr>
      </w:pPr>
      <w:r>
        <w:rPr>
          <w:rFonts w:ascii="Arial" w:cs="Arial" w:eastAsia="Arial" w:hAnsi="Arial"/>
          <w:sz w:val="16"/>
          <w:szCs w:val="16"/>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65" w:lineRule="exact"/>
        <w:rPr>
          <w:sz w:val="20"/>
          <w:szCs w:val="20"/>
          <w:color w:val="auto"/>
        </w:rPr>
      </w:pPr>
    </w:p>
    <w:p>
      <w:pPr>
        <w:ind w:right="10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ind w:right="40" w:firstLine="810"/>
        <w:spacing w:after="0" w:line="255" w:lineRule="auto"/>
        <w:rPr>
          <w:sz w:val="20"/>
          <w:szCs w:val="20"/>
          <w:color w:val="auto"/>
        </w:rPr>
      </w:pPr>
      <w:r>
        <w:rPr>
          <w:rFonts w:ascii="Arial" w:cs="Arial" w:eastAsia="Arial" w:hAnsi="Arial"/>
          <w:sz w:val="18"/>
          <w:szCs w:val="18"/>
          <w:color w:val="auto"/>
        </w:rPr>
        <w:t>Moreover, we have designed our hardware products to resemble modern consumer electronic devices to address certain embarrassment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52"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Our current business and growth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600" w:hanging="656"/>
        <w:spacing w:after="0" w:line="342" w:lineRule="auto"/>
        <w:tabs>
          <w:tab w:leader="none" w:pos="19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10"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continue to delay their purchasing decisions, or physicians may continue to pause prescriptions of our products, as a result of the COVID-19 global pandemic or unfavorable changes in general economic conditions.</w:t>
      </w:r>
    </w:p>
    <w:p>
      <w:pPr>
        <w:spacing w:after="0" w:line="161"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4" w:name="page25"/>
    <w:bookmarkEnd w:id="24"/>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71"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in the United States and the more than 25 countries outside the United States in which our insulin pump is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79"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320" w:firstLine="810"/>
        <w:spacing w:after="0" w:line="263"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w:t>
      </w:r>
    </w:p>
    <w:p>
      <w:pPr>
        <w:spacing w:after="0" w:line="184"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addition, due to the current COVID-19 global pandemic, starting in the first quarter of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governmental authorities or expert agencies, as well as by the health systems and professional organizations with which we interact. The scope and duration of these restrictions on our field-based employees remains highly uncertain, and it is difficult to predict the extent of any adverse impacts on the demand for our products resulting from these restrictions.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5" w:name="page26"/>
    <w:bookmarkEnd w:id="25"/>
    <w:p>
      <w:pPr>
        <w:ind w:right="8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now than in the past due to current general labor shortages in the United States.</w:t>
      </w:r>
    </w:p>
    <w:p>
      <w:pPr>
        <w:spacing w:after="0" w:line="168"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which may be compounded as we manage remote employees during the COVID-19 global pandemic and as we work towards returning personnel to our facilities.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19"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in the United States have been required to sell our products exclusively and each of them may freely sell the products of our competitors. If we are unable to maintain or expand our network of independent distributors, our sales may be negatively affected.</w:t>
      </w:r>
    </w:p>
    <w:p>
      <w:pPr>
        <w:spacing w:after="0" w:line="138"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For the year ended December 31, 2022, our two largest independent distributors in the United States collectively comprised approximately 20% of our worldwide sales, and our three largest independent distributors outside of the United States collectively comprised approximately 50% of our total sales outside the United States.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43"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are increasingly dependent on clinical investigators and clinical sites to enroll participants in our current and anticipated clinical trials and human factors studies, and the failure to successfully complete those trials and studies could prevent us from obtaining regulatory approvals for or commercializing our products.</w:t>
      </w:r>
    </w:p>
    <w:p>
      <w:pPr>
        <w:spacing w:after="0" w:line="184" w:lineRule="exact"/>
        <w:rPr>
          <w:sz w:val="20"/>
          <w:szCs w:val="20"/>
          <w:color w:val="auto"/>
        </w:rPr>
      </w:pPr>
    </w:p>
    <w:p>
      <w:pPr>
        <w:ind w:right="60" w:firstLine="810"/>
        <w:spacing w:after="0" w:line="293" w:lineRule="auto"/>
        <w:rPr>
          <w:sz w:val="20"/>
          <w:szCs w:val="20"/>
          <w:color w:val="auto"/>
        </w:rPr>
      </w:pPr>
      <w:r>
        <w:rPr>
          <w:rFonts w:ascii="Arial" w:cs="Arial" w:eastAsia="Arial" w:hAnsi="Arial"/>
          <w:sz w:val="16"/>
          <w:szCs w:val="16"/>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approvals for our products and commercializing our products, which would have an adverse impact on our business.</w:t>
      </w:r>
    </w:p>
    <w:p>
      <w:pPr>
        <w:spacing w:after="0" w:line="12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1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Further, our view is that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7" w:name="page28"/>
    <w:bookmarkEnd w:id="27"/>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has made, and may continue to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12" w:lineRule="exact"/>
        <w:rPr>
          <w:sz w:val="20"/>
          <w:szCs w:val="20"/>
          <w:color w:val="auto"/>
        </w:rPr>
      </w:pPr>
    </w:p>
    <w:p>
      <w:pPr>
        <w:ind w:left="1300" w:right="200"/>
        <w:spacing w:after="0" w:line="243" w:lineRule="auto"/>
        <w:rPr>
          <w:sz w:val="20"/>
          <w:szCs w:val="20"/>
          <w:color w:val="auto"/>
        </w:rPr>
      </w:pPr>
      <w:r>
        <w:rPr>
          <w:rFonts w:ascii="Arial" w:cs="Arial" w:eastAsia="Arial" w:hAnsi="Arial"/>
          <w:sz w:val="18"/>
          <w:szCs w:val="18"/>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99" w:lineRule="exact"/>
        <w:rPr>
          <w:sz w:val="20"/>
          <w:szCs w:val="20"/>
          <w:color w:val="auto"/>
        </w:rPr>
      </w:pPr>
    </w:p>
    <w:p>
      <w:pPr>
        <w:ind w:left="1960" w:right="50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enhance our existing products and develop proposed products;</w:t>
      </w:r>
    </w:p>
    <w:p>
      <w:pPr>
        <w:spacing w:after="0" w:line="225" w:lineRule="exact"/>
        <w:rPr>
          <w:sz w:val="20"/>
          <w:szCs w:val="20"/>
          <w:color w:val="auto"/>
        </w:rPr>
      </w:pPr>
    </w:p>
    <w:p>
      <w:pPr>
        <w:ind w:left="1960" w:right="40" w:hanging="656"/>
        <w:spacing w:after="0" w:line="277" w:lineRule="auto"/>
        <w:tabs>
          <w:tab w:leader="none" w:pos="1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cybersecurity and other technological risks associated with our expanding portfolio of digital health products, and align these products to a dynamic threat landscape.</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clinical trials and other studies with respect to our existing products and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sectPr>
      </w:pPr>
    </w:p>
    <w:bookmarkStart w:id="28" w:name="page29"/>
    <w:bookmarkEnd w:id="28"/>
    <w:p>
      <w:pPr>
        <w:ind w:firstLine="810"/>
        <w:spacing w:after="0" w:line="269"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and we are implementing safety measures and protocols as employees transition back into our facilities. We also temporarily increased our staffing in certain operations in order to mitigate potential risks associated with increases in unplanned employee absences or illness. In addition, due to shortages of specific components, we have had to qualify alternative components or source components from alternative distributors.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8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320" w:firstLine="810"/>
        <w:spacing w:after="0" w:line="271" w:lineRule="auto"/>
        <w:rPr>
          <w:sz w:val="20"/>
          <w:szCs w:val="20"/>
          <w:color w:val="auto"/>
        </w:rPr>
      </w:pPr>
      <w:r>
        <w:rPr>
          <w:rFonts w:ascii="Arial" w:cs="Arial" w:eastAsia="Arial" w:hAnsi="Arial"/>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jc w:val="both"/>
        <w:ind w:right="160"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secure product components in a timely manner due to shipping delays at ports of entry or exit, the impact of the COVID-19 global pandemic, or other issues, in sufficient quantities and on commercially reasonable terms;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government-mandated or voluntary closures of, or operational limitations impacting, our manufacturing facilities;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ind w:right="6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51"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At various times, our primary infusion set manufacturer experienced certain inventory constraints which resulted in us requesting some customers to accept substitutions of similar products to prevent delays in order fulfillment. Additionally, at various times our cartridge inventory was below our targeted stocking levels and our inventory of certain pump and cartridge components are currently below our targeted stocking levels. 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78" w:lineRule="exact"/>
        <w:rPr>
          <w:sz w:val="20"/>
          <w:szCs w:val="20"/>
          <w:color w:val="auto"/>
        </w:rPr>
      </w:pPr>
    </w:p>
    <w:p>
      <w:pPr>
        <w:jc w:val="both"/>
        <w:ind w:right="340" w:firstLine="810"/>
        <w:spacing w:after="0" w:line="263"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3"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37"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For instance, we are currently subject to allocation limits for certain semiconductor components.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0" w:name="page31"/>
    <w:bookmarkEnd w:id="30"/>
    <w:p>
      <w:pPr>
        <w:ind w:right="40" w:firstLine="810"/>
        <w:spacing w:after="0" w:line="286"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71"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19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at one of our facilities could adversely affect our business and operating results.</w:t>
      </w:r>
    </w:p>
    <w:p>
      <w:pPr>
        <w:spacing w:after="0" w:line="225" w:lineRule="exact"/>
        <w:rPr>
          <w:sz w:val="20"/>
          <w:szCs w:val="20"/>
          <w:color w:val="auto"/>
        </w:rPr>
      </w:pPr>
    </w:p>
    <w:p>
      <w:pPr>
        <w:ind w:right="60" w:firstLine="810"/>
        <w:spacing w:after="0" w:line="287" w:lineRule="auto"/>
        <w:rPr>
          <w:sz w:val="20"/>
          <w:szCs w:val="20"/>
          <w:color w:val="auto"/>
        </w:rPr>
      </w:pPr>
      <w:r>
        <w:rPr>
          <w:rFonts w:ascii="Arial" w:cs="Arial" w:eastAsia="Arial" w:hAnsi="Arial"/>
          <w:sz w:val="16"/>
          <w:szCs w:val="16"/>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Over the past two years we substantially expanded various quality and customer and technical support activities in Boise, Idaho.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of our manufacturing and warehousing operations.</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We continue to scale our business operations and add manufacturing requirements for products currently under development. We have outsourced the majority of our t:slim cartridge manufacturing demand to an experienced third-party contract manufacturer.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66"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5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20" w:hanging="656"/>
        <w:spacing w:after="0" w:line="308"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2" w:name="page33"/>
    <w:bookmarkEnd w:id="32"/>
    <w:p>
      <w:pPr>
        <w:ind w:right="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We have also recently experienced delays in the regulatory review and approval process, including due to the impacts of the current global pandemic.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ind w:firstLine="810"/>
        <w:spacing w:after="0" w:line="284"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other than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97" w:lineRule="exact"/>
        <w:rPr>
          <w:sz w:val="20"/>
          <w:szCs w:val="20"/>
          <w:color w:val="auto"/>
        </w:rPr>
      </w:pPr>
    </w:p>
    <w:p>
      <w:pPr>
        <w:ind w:firstLine="810"/>
        <w:spacing w:after="0" w:line="286" w:lineRule="auto"/>
        <w:rPr>
          <w:sz w:val="20"/>
          <w:szCs w:val="20"/>
          <w:color w:val="auto"/>
        </w:rPr>
      </w:pPr>
      <w:r>
        <w:rPr>
          <w:rFonts w:ascii="Arial" w:cs="Arial" w:eastAsia="Arial" w:hAnsi="Arial"/>
          <w:sz w:val="16"/>
          <w:szCs w:val="16"/>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and benefits in order to attract and retain our personnel, which would increase our expenses.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4" w:name="page35"/>
    <w:bookmarkEnd w:id="34"/>
    <w:p>
      <w:pPr>
        <w:ind w:right="76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6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84" w:lineRule="exact"/>
        <w:rPr>
          <w:sz w:val="20"/>
          <w:szCs w:val="20"/>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assimilating, maintaining or operating the acquired products or technologies;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costs, impairment charges or write-offs associated with acquisitions or investments;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ectPr>
          <w:pgSz w:w="11900" w:h="16838" w:orient="portrait"/>
          <w:cols w:equalWidth="0" w:num="1">
            <w:col w:w="11180"/>
          </w:cols>
          <w:pgMar w:left="320" w:top="1070"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0" w:right="399" w:bottom="1440" w:gutter="0" w:footer="0" w:header="0"/>
          <w:type w:val="continuous"/>
        </w:sectPr>
      </w:pPr>
    </w:p>
    <w:bookmarkStart w:id="35" w:name="page36"/>
    <w:bookmarkEnd w:id="35"/>
    <w:p>
      <w:pPr>
        <w:ind w:left="1940" w:hanging="636"/>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120" w:hanging="656"/>
        <w:spacing w:after="0" w:line="277"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30" w:lineRule="exact"/>
        <w:rPr>
          <w:sz w:val="20"/>
          <w:szCs w:val="20"/>
          <w:color w:val="auto"/>
        </w:rPr>
      </w:pPr>
    </w:p>
    <w:p>
      <w:pPr>
        <w:ind w:right="40" w:firstLine="810"/>
        <w:spacing w:after="0" w:line="299" w:lineRule="auto"/>
        <w:rPr>
          <w:sz w:val="20"/>
          <w:szCs w:val="20"/>
          <w:color w:val="auto"/>
        </w:rPr>
      </w:pPr>
      <w:r>
        <w:rPr>
          <w:rFonts w:ascii="Arial" w:cs="Arial" w:eastAsia="Arial" w:hAnsi="Arial"/>
          <w:sz w:val="16"/>
          <w:szCs w:val="16"/>
          <w:color w:val="auto"/>
        </w:rPr>
        <w:t>We have experienced and may continue to experience one or more of these risks in connection with our acquisition of Sugarmate, which was completed in 2020. For example, as a result of an update to Dexcom’s data systems in October 2021, Sugarmate users in all geographies were unable to receive Dexcom CGM data in the Sugarmate app. Connections for users in the United States were restored in December 2021 and in June 2022 for users in</w:t>
      </w:r>
    </w:p>
    <w:p>
      <w:pPr>
        <w:spacing w:after="0" w:line="1"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all geographies except Australia and New Zealand, though we continue to work towards restoring service for users in those geographies. These service disruptions, or other problems utilizing the mobile app or other assets acquired from Sugarmate, could adversely affect our ability to realize the expected benefits from the Sugarmate acquisition. Further, it is possible that we could experience a loss of Sugarmate customers or reputational harm arising from this service outage or similar events, which could adversely affect our business, results of operations, and financial condition.</w:t>
      </w:r>
    </w:p>
    <w:p>
      <w:pPr>
        <w:spacing w:after="0" w:line="152" w:lineRule="exact"/>
        <w:rPr>
          <w:sz w:val="20"/>
          <w:szCs w:val="20"/>
          <w:color w:val="auto"/>
        </w:rPr>
      </w:pPr>
    </w:p>
    <w:p>
      <w:pPr>
        <w:ind w:right="260" w:firstLine="810"/>
        <w:spacing w:after="0" w:line="259" w:lineRule="auto"/>
        <w:rPr>
          <w:sz w:val="20"/>
          <w:szCs w:val="20"/>
          <w:color w:val="auto"/>
        </w:rPr>
      </w:pPr>
      <w:r>
        <w:rPr>
          <w:rFonts w:ascii="Arial" w:cs="Arial" w:eastAsia="Arial" w:hAnsi="Arial"/>
          <w:sz w:val="18"/>
          <w:szCs w:val="18"/>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Commercializing our products outside of the United States may result in a variety of risks associated with international operations that could materially adversely affect our business.</w:t>
      </w:r>
    </w:p>
    <w:p>
      <w:pPr>
        <w:spacing w:after="0" w:line="197" w:lineRule="exact"/>
        <w:rPr>
          <w:sz w:val="20"/>
          <w:szCs w:val="20"/>
          <w:color w:val="auto"/>
        </w:rPr>
      </w:pPr>
    </w:p>
    <w:p>
      <w:pPr>
        <w:ind w:right="340" w:firstLine="810"/>
        <w:spacing w:after="0" w:line="342" w:lineRule="auto"/>
        <w:rPr>
          <w:sz w:val="20"/>
          <w:szCs w:val="20"/>
          <w:color w:val="auto"/>
        </w:rPr>
      </w:pPr>
      <w:r>
        <w:rPr>
          <w:rFonts w:ascii="Arial" w:cs="Arial" w:eastAsia="Arial" w:hAnsi="Arial"/>
          <w:sz w:val="16"/>
          <w:szCs w:val="16"/>
          <w:color w:val="auto"/>
        </w:rPr>
        <w:t>Our sales in the approximately 25 countries in which our products are offered outside the United States, which accounted for approximately 27% of our total sales during 2022, are accompanied by certain financial and other risks related to international business markets, including:</w:t>
      </w:r>
    </w:p>
    <w:p>
      <w:pPr>
        <w:spacing w:after="0" w:line="15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product preferences and differing regulatory requirements for product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5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 and other E.U. member state directives;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certain countries outside the U.S. than exists in the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and workforce instability, and political instability in foreign economies and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such as the Foreign Corrupt Practices Act;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 and</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84" w:lineRule="exact"/>
        <w:rPr>
          <w:sz w:val="20"/>
          <w:szCs w:val="20"/>
          <w:color w:val="auto"/>
        </w:rPr>
      </w:pPr>
    </w:p>
    <w:p>
      <w:pPr>
        <w:ind w:right="40" w:firstLine="810"/>
        <w:spacing w:after="0" w:line="237"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ectPr>
          <w:pgSz w:w="11900" w:h="16838" w:orient="portrait"/>
          <w:cols w:equalWidth="0" w:num="1">
            <w:col w:w="11220"/>
          </w:cols>
          <w:pgMar w:left="320" w:top="1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Failure to obtain any required regulatory authorization in foreign jurisdictions will prevent us from marketing our products in international markets.</w:t>
      </w:r>
    </w:p>
    <w:p>
      <w:pPr>
        <w:spacing w:after="0" w:line="262" w:lineRule="exact"/>
        <w:rPr>
          <w:sz w:val="20"/>
          <w:szCs w:val="20"/>
          <w:color w:val="auto"/>
        </w:rPr>
      </w:pPr>
    </w:p>
    <w:p>
      <w:pPr>
        <w:ind w:firstLine="810"/>
        <w:spacing w:after="0"/>
        <w:rPr>
          <w:sz w:val="20"/>
          <w:szCs w:val="20"/>
          <w:color w:val="auto"/>
        </w:rPr>
      </w:pPr>
      <w:r>
        <w:rPr>
          <w:rFonts w:ascii="Arial" w:cs="Arial" w:eastAsia="Arial" w:hAnsi="Arial"/>
          <w:sz w:val="18"/>
          <w:szCs w:val="18"/>
          <w:color w:val="auto"/>
        </w:rPr>
        <w:t>We sell our products in approximately 25 countries outside the United States and may seek to commence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2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our business is global our sales and profits may fluctuate or decline in response to changes in foreign currency exchange rates or other international risks.</w:t>
      </w:r>
    </w:p>
    <w:p>
      <w:pPr>
        <w:spacing w:after="0" w:line="197" w:lineRule="exact"/>
        <w:rPr>
          <w:sz w:val="20"/>
          <w:szCs w:val="20"/>
          <w:color w:val="auto"/>
        </w:rPr>
      </w:pPr>
    </w:p>
    <w:p>
      <w:pPr>
        <w:ind w:right="80" w:firstLine="810"/>
        <w:spacing w:after="0" w:line="290" w:lineRule="auto"/>
        <w:rPr>
          <w:sz w:val="20"/>
          <w:szCs w:val="20"/>
          <w:color w:val="auto"/>
        </w:rPr>
      </w:pPr>
      <w:r>
        <w:rPr>
          <w:rFonts w:ascii="Arial" w:cs="Arial" w:eastAsia="Arial" w:hAnsi="Arial"/>
          <w:sz w:val="16"/>
          <w:szCs w:val="16"/>
          <w:color w:val="auto"/>
        </w:rPr>
        <w:t>Activities outside the United States accounted for approximately 27% of our total sales during 2022.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Macroeconomic Conditions and External Factors</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98" w:lineRule="exact"/>
        <w:rPr>
          <w:sz w:val="20"/>
          <w:szCs w:val="20"/>
          <w:color w:val="auto"/>
        </w:rPr>
      </w:pPr>
    </w:p>
    <w:p>
      <w:pPr>
        <w:ind w:right="20" w:firstLine="810"/>
        <w:spacing w:after="0" w:line="252" w:lineRule="auto"/>
        <w:rPr>
          <w:sz w:val="20"/>
          <w:szCs w:val="20"/>
          <w:color w:val="auto"/>
        </w:rPr>
      </w:pPr>
      <w:r>
        <w:rPr>
          <w:rFonts w:ascii="Arial" w:cs="Arial" w:eastAsia="Arial" w:hAnsi="Arial"/>
          <w:sz w:val="17"/>
          <w:szCs w:val="17"/>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1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43"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has impacted our sales and operating results, and we anticipate that they will continue to be impacted and subject to unpredictable variability in future periods. Further, certain development activities, such as human factors studies associated with our product development efforts and activities supporting the manufacturing scale-up for new products and the recruitment of participants in ongoing clinical studies, were modified or delayed due to impacts of the pandemic, which impacted our development timelines and regulatory strategies. These delays could have a negative impact on our product commercialization efforts and the future demand for our products.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7" w:name="page38"/>
    <w:bookmarkEnd w:id="37"/>
    <w:p>
      <w:pPr>
        <w:ind w:right="40" w:firstLine="810"/>
        <w:spacing w:after="0" w:line="287"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Additionally, we have been and may continue to be negatively impacted by global shortages of semiconductors and copper, which could limit our insulin pump manufacturing capacity. If we continue to experience these or similar manufacturing challenges, or if these challenges worsen in the future, it could increase our manufacturing costs, disrupt our manufacturing operations, negatively impact our product sales and harm our reputation. The full extent of the impact of the COVID-19 global pandemic or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or other extreme weather conditions and related regulations may have a long-term impact on our business.</w:t>
      </w:r>
    </w:p>
    <w:p>
      <w:pPr>
        <w:spacing w:after="0" w:line="239" w:lineRule="exact"/>
        <w:rPr>
          <w:sz w:val="20"/>
          <w:szCs w:val="20"/>
          <w:color w:val="auto"/>
        </w:rPr>
      </w:pPr>
    </w:p>
    <w:p>
      <w:pPr>
        <w:ind w:right="40" w:firstLine="810"/>
        <w:spacing w:after="0" w:line="254" w:lineRule="auto"/>
        <w:rPr>
          <w:sz w:val="20"/>
          <w:szCs w:val="20"/>
          <w:color w:val="auto"/>
        </w:rPr>
      </w:pPr>
      <w:r>
        <w:rPr>
          <w:rFonts w:ascii="Arial" w:cs="Arial" w:eastAsia="Arial" w:hAnsi="Arial"/>
          <w:sz w:val="17"/>
          <w:szCs w:val="17"/>
          <w:color w:val="auto"/>
        </w:rPr>
        <w:t>Climate-related events, including the increasing frequency of extreme weather events and their impact on the U.S., Mexico, Canada, and other major regions’ critical infrastructure along with potential related regulations, have the potential to disrupt our business, our third-party suppliers, and/or the business of our customers. For example, a portion of our office facilities located in San Diego are in an area that is prone to flooding, which has occasionally caused temporary disruptions to our business operations and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Future Financings and Financial Results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43"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As of December 31, 2022, we had $616.9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200" w:lineRule="exact"/>
        <w:rPr>
          <w:sz w:val="20"/>
          <w:szCs w:val="20"/>
          <w:color w:val="auto"/>
        </w:rPr>
      </w:pPr>
    </w:p>
    <w:p>
      <w:pPr>
        <w:spacing w:after="0" w:line="224"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21"/>
          <w:szCs w:val="21"/>
          <w:color w:val="auto"/>
        </w:rPr>
      </w:pPr>
      <w:r>
        <w:rPr>
          <w:rFonts w:ascii="Arial" w:cs="Arial" w:eastAsia="Arial" w:hAnsi="Arial"/>
          <w:sz w:val="17"/>
          <w:szCs w:val="17"/>
          <w:color w:val="auto"/>
        </w:rPr>
        <w:t>revenue generated by sales of our products, as well as the gross profits and gross margin we realize from such sales;</w:t>
      </w:r>
    </w:p>
    <w:p>
      <w:pPr>
        <w:spacing w:after="0" w:line="269" w:lineRule="exact"/>
        <w:rPr>
          <w:rFonts w:ascii="Arial" w:cs="Arial" w:eastAsia="Arial" w:hAnsi="Arial"/>
          <w:sz w:val="21"/>
          <w:szCs w:val="21"/>
          <w:color w:val="auto"/>
        </w:rPr>
      </w:pPr>
    </w:p>
    <w:p>
      <w:pPr>
        <w:ind w:left="1960" w:right="1020" w:hanging="656"/>
        <w:spacing w:after="0" w:line="232" w:lineRule="auto"/>
        <w:tabs>
          <w:tab w:leader="none" w:pos="19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216" w:lineRule="exact"/>
        <w:rPr>
          <w:rFonts w:ascii="Arial" w:cs="Arial" w:eastAsia="Arial" w:hAnsi="Arial"/>
          <w:sz w:val="22"/>
          <w:szCs w:val="22"/>
          <w:color w:val="auto"/>
        </w:rPr>
      </w:pPr>
    </w:p>
    <w:p>
      <w:pPr>
        <w:ind w:left="1960" w:hanging="656"/>
        <w:spacing w:after="0" w:line="261"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associated with developing and commercializing our proposed products or technologies, including capital expenditures we make to maintain or enhance our manufacturing operations and distribution capabilities;</w:t>
      </w:r>
    </w:p>
    <w:p>
      <w:pPr>
        <w:spacing w:after="0" w:line="197" w:lineRule="exact"/>
        <w:rPr>
          <w:rFonts w:ascii="Arial" w:cs="Arial" w:eastAsia="Arial" w:hAnsi="Arial"/>
          <w:sz w:val="18"/>
          <w:szCs w:val="18"/>
          <w:color w:val="auto"/>
        </w:rPr>
      </w:pPr>
    </w:p>
    <w:p>
      <w:pPr>
        <w:ind w:left="1960" w:right="120" w:hanging="656"/>
        <w:spacing w:after="0" w:line="261" w:lineRule="auto"/>
        <w:tabs>
          <w:tab w:leader="none" w:pos="19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 and of ongoing compliance with other legal and regulatory requirements;</w:t>
      </w:r>
    </w:p>
    <w:p>
      <w:pPr>
        <w:spacing w:after="0" w:line="229" w:lineRule="exact"/>
        <w:rPr>
          <w:rFonts w:ascii="Arial" w:cs="Arial" w:eastAsia="Arial" w:hAnsi="Arial"/>
          <w:sz w:val="18"/>
          <w:szCs w:val="18"/>
          <w:color w:val="auto"/>
        </w:rPr>
      </w:pPr>
    </w:p>
    <w:p>
      <w:pPr>
        <w:ind w:left="1940" w:hanging="636"/>
        <w:spacing w:after="0"/>
        <w:tabs>
          <w:tab w:leader="none" w:pos="1940" w:val="left"/>
        </w:tabs>
        <w:numPr>
          <w:ilvl w:val="0"/>
          <w:numId w:val="31"/>
        </w:numPr>
        <w:rPr>
          <w:rFonts w:ascii="Arial" w:cs="Arial" w:eastAsia="Arial" w:hAnsi="Arial"/>
          <w:sz w:val="22"/>
          <w:szCs w:val="22"/>
          <w:color w:val="auto"/>
        </w:rPr>
      </w:pPr>
      <w:r>
        <w:rPr>
          <w:rFonts w:ascii="Arial" w:cs="Arial" w:eastAsia="Arial" w:hAnsi="Arial"/>
          <w:sz w:val="18"/>
          <w:szCs w:val="18"/>
          <w:color w:val="auto"/>
        </w:rPr>
        <w:t>expenses we incur in connection with current or future litigation or governmental investigations;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8" w:name="page39"/>
    <w:bookmarkEnd w:id="38"/>
    <w:p>
      <w:pPr>
        <w:ind w:left="1960" w:right="40" w:hanging="656"/>
        <w:spacing w:after="0" w:line="297" w:lineRule="auto"/>
        <w:tabs>
          <w:tab w:leader="none" w:pos="1955" w:val="left"/>
        </w:tabs>
        <w:numPr>
          <w:ilvl w:val="0"/>
          <w:numId w:val="32"/>
        </w:numPr>
        <w:rPr>
          <w:rFonts w:ascii="Arial" w:cs="Arial" w:eastAsia="Arial" w:hAnsi="Arial"/>
          <w:sz w:val="19"/>
          <w:szCs w:val="19"/>
          <w:color w:val="auto"/>
        </w:rPr>
      </w:pPr>
      <w:r>
        <w:rPr>
          <w:rFonts w:ascii="Arial" w:cs="Arial" w:eastAsia="Arial" w:hAnsi="Arial"/>
          <w:sz w:val="16"/>
          <w:szCs w:val="16"/>
          <w:color w:val="auto"/>
        </w:rPr>
        <w:t>expenses we may incur or other financial commitments we may make in connection with current and potential new acquisitions, investments, business or commercial collaborations, development agreements or licensing arrangements; and</w:t>
      </w:r>
    </w:p>
    <w:p>
      <w:pPr>
        <w:spacing w:after="0" w:line="194" w:lineRule="exact"/>
        <w:rPr>
          <w:rFonts w:ascii="Arial" w:cs="Arial" w:eastAsia="Arial" w:hAnsi="Arial"/>
          <w:sz w:val="19"/>
          <w:szCs w:val="19"/>
          <w:color w:val="auto"/>
        </w:rPr>
      </w:pPr>
    </w:p>
    <w:p>
      <w:pPr>
        <w:ind w:left="1940" w:hanging="636"/>
        <w:spacing w:after="0"/>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general and administrative expenses.</w:t>
      </w:r>
    </w:p>
    <w:p>
      <w:pPr>
        <w:spacing w:after="0" w:line="202"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0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and sell our current and future products and our ability to increase sales and gross profit from our products, including insulin pumps and the related insulin cartridges and infusion sets;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9" w:name="page40"/>
    <w:bookmarkEnd w:id="39"/>
    <w:p>
      <w:pPr>
        <w:ind w:left="1960" w:right="160" w:hanging="656"/>
        <w:spacing w:after="0" w:line="277"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clearance or approvals, or adverse regulatory or legal actions, affecting our products or those of our competitors; and</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Privacy and Security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 security breach or other significant disruption to our information technology systems, or failures of our pumps’ software to perform as we anticipate, could materially disrupt our operations or compromise sensitive information relating to our customers, suppliers, employees or other individuals, which could damage our relationships, expose us to litigation or regulatory proceedings, or harm our reputation.</w:t>
      </w:r>
    </w:p>
    <w:p>
      <w:pPr>
        <w:spacing w:after="0" w:line="176"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The efficient operation of our business depends on our information technology and communication systems, as well as those of our suppliers, contract manufacturers, distributors and other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These systems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77"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the use, storage or transmission of confidential or sensitive information. We are unable to predict the direct or indirect impact of any such incidents to our business. Further, many of our third-party service providers are subject to similar risks. Whether or not our security measures and those of our third-party service providers are ultimately successful, our expenditures on those measures could have an adverse impact on our financial condition and results of operations, and divert management’s attention from pursuing our strategic objectives.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0" w:name="page41"/>
    <w:bookmarkEnd w:id="40"/>
    <w:p>
      <w:pPr>
        <w:ind w:right="60" w:firstLine="810"/>
        <w:spacing w:after="0" w:line="289" w:lineRule="auto"/>
        <w:rPr>
          <w:sz w:val="20"/>
          <w:szCs w:val="20"/>
          <w:color w:val="auto"/>
        </w:rPr>
      </w:pPr>
      <w:r>
        <w:rPr>
          <w:rFonts w:ascii="Arial" w:cs="Arial" w:eastAsia="Arial" w:hAnsi="Arial"/>
          <w:sz w:val="16"/>
          <w:szCs w:val="16"/>
          <w:color w:val="auto"/>
        </w:rPr>
        <w:t>In addition to the risks regarding information technology systems and processing of sensitive information, our insulin pumps and other products rely on software, some of which is developed by third-party service providers, that could contain unanticipated vulnerabilities, which could make our products subject to computer viruses, cyber-attacks, or failures. These risks significantly increased when we commenced use of our Tandem Device Updater, which enables customers to remotely update software on their insulin pumps and may be higher following the launch of our new mobile application in the second half of 2020. These risks may have further increased in the second half of 2022 when we enabled users to control insulin boluses through the mobile app.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 or new features to our existing applications. As this is a rapidly evolving area, compliance with any future requirements, regulations, and evolving threat models may require the investment of additional resources in the form of capital, personnel or technology.</w:t>
      </w:r>
    </w:p>
    <w:p>
      <w:pPr>
        <w:spacing w:after="0" w:line="166"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 failure of our or our service providers’ information technology systems or our pumps’ software or other mobile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22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 xml:space="preserve">On January 17, 2020, we learned that an unauthorized person gained access to a few employees’ email accounts through a cyber-attack commonly known as “phishing.” As a result, we have been defending a lawsuit entitled </w:t>
      </w:r>
      <w:r>
        <w:rPr>
          <w:rFonts w:ascii="Arial" w:cs="Arial" w:eastAsia="Arial" w:hAnsi="Arial"/>
          <w:sz w:val="18"/>
          <w:szCs w:val="18"/>
          <w:i w:val="1"/>
          <w:iCs w:val="1"/>
          <w:color w:val="auto"/>
        </w:rPr>
        <w:t>Joseph Deluna et al. v. Tandem Diabetes Care, Inc.</w:t>
      </w:r>
      <w:r>
        <w:rPr>
          <w:rFonts w:ascii="Arial" w:cs="Arial" w:eastAsia="Arial" w:hAnsi="Arial"/>
          <w:sz w:val="18"/>
          <w:szCs w:val="18"/>
          <w:color w:val="auto"/>
        </w:rPr>
        <w:t>, which was filed in the Superior Court of the State of California in the County of San Bernardino. On November 28, 2022, the court granted our motion for summary adjudication on the plaintiffs’ allegations that we violated the Confidentiality of Medical Information Act. On February 8, 2023, the plaintiffs asked the court to dismiss their remaining two claims with prejudice, which terminated the case at the Superior Court. The plaintiffs have to decide whether to appeal the Court’s decision granting our motion for summary adjudication.</w:t>
      </w:r>
    </w:p>
    <w:p>
      <w:pPr>
        <w:spacing w:after="0" w:line="192"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color w:val="auto"/>
        </w:rPr>
        <w:t>The risks posed by this lawsuit and any future related matters include civil monetary damages, attorney fees and costs, other legal penalties, reputational damage, loss of goodwill, and competitive harm. It is possible that our legal expenses and defense costs, alone or together with any monetary damages, may exceed the limits of any applicable insurance coverage that we carry.</w:t>
      </w:r>
    </w:p>
    <w:p>
      <w:pPr>
        <w:spacing w:after="0" w:line="15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There are a number of laws in the United States and outside the United States protecting the privacy and security of personal information. These laws include the U.S. Health Insurance Portability and Accountability Act of 1996 (HIPAA) and related regulations, U.S. state laws (such as the California Consumer Privacy Act (CCPA) and California Privacy Rights Act (CPRA), Canada’s Personal Information and Electronic Documents Act (PIPEDA) or the applicable provincial alternatives, the EU’s General Data Protection Regulation (GDPR), EU member states directives, or similar applicable laws. These laws place limits on how we may collect, use, transfer, share and store medical information and other personal information, and they impose obligations to protect that information against unauthorized access, use, loss, and disclosure. The lawsuit described above alleges violations of some of these laws.</w:t>
      </w:r>
    </w:p>
    <w:p>
      <w:pPr>
        <w:spacing w:after="0" w:line="164" w:lineRule="exact"/>
        <w:rPr>
          <w:sz w:val="20"/>
          <w:szCs w:val="20"/>
          <w:color w:val="auto"/>
        </w:rPr>
      </w:pPr>
    </w:p>
    <w:p>
      <w:pPr>
        <w:ind w:right="140" w:firstLine="810"/>
        <w:spacing w:after="0" w:line="255"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CCPA, CPRA, PIPEDA, GDPR, or applicable foreign, U.S. state and Canadian provincial laws, we could be subject to civil or criminal penalties, which could increase our liabilities, harm our reputation and have a material adverse effect on our business, financial condition and operating results. In addition, entities operating in the healthcare industry have increasingly become targets for hackers. Although we use a variety of measures to secure the data that we control, even compliant entities can experience security breaches or have inadvertent failures despite employing reasonable practices and safeguards.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1" w:name="page42"/>
    <w:bookmarkEnd w:id="41"/>
    <w:p>
      <w:pPr>
        <w:ind w:right="620" w:firstLine="810"/>
        <w:spacing w:after="0" w:line="263"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comprehensively protect our intellectual property and proprietary technology is uncertain.</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85"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8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47" w:lineRule="exact"/>
        <w:rPr>
          <w:sz w:val="20"/>
          <w:szCs w:val="20"/>
          <w:color w:val="auto"/>
        </w:rPr>
      </w:pPr>
    </w:p>
    <w:p>
      <w:pPr>
        <w:ind w:right="120" w:firstLine="810"/>
        <w:spacing w:after="0" w:line="293" w:lineRule="auto"/>
        <w:rPr>
          <w:sz w:val="20"/>
          <w:szCs w:val="20"/>
          <w:color w:val="auto"/>
        </w:rPr>
      </w:pPr>
      <w:r>
        <w:rPr>
          <w:rFonts w:ascii="Arial" w:cs="Arial" w:eastAsia="Arial" w:hAnsi="Arial"/>
          <w:sz w:val="16"/>
          <w:szCs w:val="16"/>
          <w:color w:val="auto"/>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Patent litigation in the medical device industry is common, and we may be subject to litigation that could cause us to incur substantial costs and divert the attention of management from our business.</w:t>
      </w:r>
    </w:p>
    <w:p>
      <w:pPr>
        <w:spacing w:after="0" w:line="170" w:lineRule="exact"/>
        <w:rPr>
          <w:sz w:val="20"/>
          <w:szCs w:val="20"/>
          <w:color w:val="auto"/>
        </w:rPr>
      </w:pPr>
    </w:p>
    <w:p>
      <w:pPr>
        <w:jc w:val="both"/>
        <w:ind w:right="520" w:firstLine="810"/>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 The large number of patents, the rapid rate of new patent issuances, and the complexities of the technology involved increase the risk of patent litigation.</w:t>
      </w:r>
    </w:p>
    <w:p>
      <w:pPr>
        <w:spacing w:after="0" w:line="188" w:lineRule="exact"/>
        <w:rPr>
          <w:sz w:val="20"/>
          <w:szCs w:val="20"/>
          <w:color w:val="auto"/>
        </w:rPr>
      </w:pPr>
    </w:p>
    <w:p>
      <w:pPr>
        <w:ind w:right="20" w:firstLine="810"/>
        <w:spacing w:after="0" w:line="308" w:lineRule="auto"/>
        <w:rPr>
          <w:sz w:val="20"/>
          <w:szCs w:val="20"/>
          <w:color w:val="auto"/>
        </w:rPr>
      </w:pPr>
      <w:r>
        <w:rPr>
          <w:rFonts w:ascii="Arial" w:cs="Arial" w:eastAsia="Arial" w:hAnsi="Arial"/>
          <w:sz w:val="17"/>
          <w:szCs w:val="17"/>
          <w:color w:val="auto"/>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ind w:left="1960" w:right="500" w:hanging="656"/>
        <w:spacing w:after="0" w:line="277" w:lineRule="auto"/>
        <w:tabs>
          <w:tab w:leader="none" w:pos="1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stop selling current products, developing new products or using technology that allegedly infringes third-party intellectual property;</w:t>
      </w:r>
    </w:p>
    <w:p>
      <w:pPr>
        <w:spacing w:after="0" w:line="170" w:lineRule="exact"/>
        <w:rPr>
          <w:rFonts w:ascii="Arial" w:cs="Arial" w:eastAsia="Arial" w:hAnsi="Arial"/>
          <w:sz w:val="18"/>
          <w:szCs w:val="18"/>
          <w:color w:val="auto"/>
        </w:rPr>
      </w:pPr>
    </w:p>
    <w:p>
      <w:pPr>
        <w:ind w:left="1960" w:right="200" w:hanging="656"/>
        <w:spacing w:after="0" w:line="277" w:lineRule="auto"/>
        <w:tabs>
          <w:tab w:leader="none" w:pos="19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attempt to obtain a license to intellectual property from the third parties, which may not be available on reasonable terms or at all</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 significant royalty payments and legal expenses; or</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trade secrets or other proprietary information of our competitors.</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spacing w:after="0" w:line="195" w:lineRule="exact"/>
        <w:rPr>
          <w:sz w:val="20"/>
          <w:szCs w:val="20"/>
          <w:color w:val="auto"/>
        </w:rPr>
      </w:pPr>
    </w:p>
    <w:p>
      <w:pPr>
        <w:ind w:right="120" w:firstLine="810"/>
        <w:spacing w:after="0" w:line="255"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20" w:firstLine="810"/>
        <w:spacing w:after="0" w:line="301" w:lineRule="auto"/>
        <w:rPr>
          <w:sz w:val="20"/>
          <w:szCs w:val="20"/>
          <w:color w:val="auto"/>
        </w:rPr>
      </w:pPr>
      <w:r>
        <w:rPr>
          <w:rFonts w:ascii="Arial" w:cs="Arial" w:eastAsia="Arial" w:hAnsi="Arial"/>
          <w:sz w:val="16"/>
          <w:szCs w:val="16"/>
          <w:color w:val="auto"/>
        </w:rPr>
        <w:t>The medical device industry is regulated extensively in the United States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and international regulatory authorities regulate numerous elements of our business, including: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3" w:name="page44"/>
    <w:bookmarkEnd w:id="43"/>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39" w:lineRule="exact"/>
        <w:rPr>
          <w:sz w:val="20"/>
          <w:szCs w:val="20"/>
          <w:color w:val="auto"/>
        </w:rPr>
      </w:pPr>
    </w:p>
    <w:p>
      <w:pPr>
        <w:ind w:right="60" w:firstLine="810"/>
        <w:spacing w:after="0" w:line="279"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or approvals to market a medical device can be costly and time-consuming, which may be exacerbated if the FDA or other regulatory authority changes its clearance and approval policies, and we may not be able to obtain these clearances for our proposed products or approvals on a timely basis or at all, including as a result of:</w:t>
      </w:r>
    </w:p>
    <w:p>
      <w:pPr>
        <w:spacing w:after="0" w:line="173"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from our pre-clinical studies or clinical trials may be insufficient to support clearance or approval; or the</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39" w:lineRule="exact"/>
        <w:rPr>
          <w:sz w:val="20"/>
          <w:szCs w:val="20"/>
          <w:color w:val="auto"/>
        </w:rPr>
      </w:pPr>
    </w:p>
    <w:p>
      <w:pPr>
        <w:ind w:right="60" w:firstLine="810"/>
        <w:spacing w:after="0" w:line="261" w:lineRule="auto"/>
        <w:rPr>
          <w:sz w:val="20"/>
          <w:szCs w:val="20"/>
          <w:color w:val="auto"/>
        </w:rPr>
      </w:pPr>
      <w:r>
        <w:rPr>
          <w:rFonts w:ascii="Arial" w:cs="Arial" w:eastAsia="Arial" w:hAnsi="Arial"/>
          <w:sz w:val="17"/>
          <w:szCs w:val="17"/>
          <w:color w:val="auto"/>
        </w:rPr>
        <w:t>Any delay in, or failure to receive or maintain, clearance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spacing w:after="0" w:line="186"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Since our inception we have been audited or inspected by various regulatory authorities on numerous occasions. We also regularly respond to routine inquiries from regulatory authorities.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penalties, injunctions, warning letters, product recalls, delays in the introduction of products into the market, refusal of the FDA or other regulators to grant future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8"/>
          <w:szCs w:val="18"/>
          <w:b w:val="1"/>
          <w:bCs w:val="1"/>
          <w:i w:val="1"/>
          <w:iCs w:val="1"/>
          <w:color w:val="auto"/>
        </w:rPr>
        <w:t>New products or modifications to our existing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recall or suspension of our products, or the discovery of serious safety issues with our products, could have a significant negative impact on us.</w:t>
      </w:r>
    </w:p>
    <w:p>
      <w:pPr>
        <w:spacing w:after="0" w:line="248" w:lineRule="exact"/>
        <w:rPr>
          <w:sz w:val="20"/>
          <w:szCs w:val="20"/>
          <w:color w:val="auto"/>
        </w:rPr>
      </w:pPr>
    </w:p>
    <w:p>
      <w:pPr>
        <w:ind w:right="10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right="12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For example, the Australian Therapeutic Goods Administration (TGA) temporarily suspended our pump product sales in Australia commencing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have discontinued sales of earlier generation products in Australia and we only recently commenced offering our Control-IQ technology in Australia. There can be no assurance that the TGA will not reimpose the suspension of our pump product sales or impose other regulatory restrictions in the future. In addition, other regulatory bodies may take similar actions against us, and any regulatory challenges we encounter could have a negative impact on our product sales and harm our reputation. Any corrective actions we take in response to this action or future matters with the TGA or other regulatory bodies,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5" w:name="page46"/>
    <w:bookmarkEnd w:id="45"/>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color w:val="auto"/>
        </w:rPr>
        <w:t>The U.S.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spacing w:after="0" w:line="184" w:lineRule="exact"/>
        <w:rPr>
          <w:sz w:val="20"/>
          <w:szCs w:val="20"/>
          <w:color w:val="auto"/>
        </w:rPr>
      </w:pPr>
    </w:p>
    <w:p>
      <w:pPr>
        <w:ind w:right="30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Minor irregularities can potentially give rise to claims. The laws that may affect our ability to operate include:</w:t>
      </w:r>
    </w:p>
    <w:p>
      <w:pPr>
        <w:spacing w:after="0" w:line="170" w:lineRule="exact"/>
        <w:rPr>
          <w:sz w:val="20"/>
          <w:szCs w:val="20"/>
          <w:color w:val="auto"/>
        </w:rPr>
      </w:pPr>
    </w:p>
    <w:p>
      <w:pPr>
        <w:ind w:left="1960" w:hanging="656"/>
        <w:spacing w:after="0" w:line="25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360" w:hanging="656"/>
        <w:spacing w:after="0" w:line="342" w:lineRule="auto"/>
        <w:tabs>
          <w:tab w:leader="none" w:pos="19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federal and state false claims laws which prohibit, among other things, persons from knowingly presenting, or causing to be presented, false or fraudulent claims for payment to Medicare, state Medicaid programs, or other third-party payors;</w:t>
      </w:r>
    </w:p>
    <w:p>
      <w:pPr>
        <w:spacing w:after="0" w:line="123" w:lineRule="exact"/>
        <w:rPr>
          <w:rFonts w:ascii="Arial" w:cs="Arial" w:eastAsia="Arial" w:hAnsi="Arial"/>
          <w:sz w:val="16"/>
          <w:szCs w:val="16"/>
          <w:color w:val="auto"/>
        </w:rPr>
      </w:pPr>
    </w:p>
    <w:p>
      <w:pPr>
        <w:ind w:left="1960" w:right="120" w:hanging="656"/>
        <w:spacing w:after="0" w:line="259"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has a financial relationship unless that financial relationship meets an exception under the applicable law;</w:t>
      </w:r>
    </w:p>
    <w:p>
      <w:pPr>
        <w:spacing w:after="0" w:line="186" w:lineRule="exact"/>
        <w:rPr>
          <w:rFonts w:ascii="Arial" w:cs="Arial" w:eastAsia="Arial" w:hAnsi="Arial"/>
          <w:sz w:val="18"/>
          <w:szCs w:val="18"/>
          <w:color w:val="auto"/>
        </w:rPr>
      </w:pPr>
    </w:p>
    <w:p>
      <w:pPr>
        <w:ind w:left="1960" w:right="140" w:hanging="656"/>
        <w:spacing w:after="0" w:line="25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2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60" w:hanging="656"/>
        <w:spacing w:after="0" w:line="263"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40" w:hanging="636"/>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which may apply to items or services reimbursed by any third-party payor, including commercial insurers.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46" w:name="page47"/>
    <w:bookmarkEnd w:id="46"/>
    <w:p>
      <w:pPr>
        <w:ind w:firstLine="810"/>
        <w:spacing w:after="0" w:line="251" w:lineRule="auto"/>
        <w:rPr>
          <w:sz w:val="20"/>
          <w:szCs w:val="20"/>
          <w:color w:val="auto"/>
        </w:rPr>
      </w:pPr>
      <w:r>
        <w:rPr>
          <w:rFonts w:ascii="Arial" w:cs="Arial" w:eastAsia="Arial" w:hAnsi="Arial"/>
          <w:sz w:val="17"/>
          <w:szCs w:val="17"/>
          <w:color w:val="auto"/>
        </w:rPr>
        <w:t>Our relationships with healthcare providers and other third parties are subject to scrutiny under these laws.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spacing w:after="0" w:line="199"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4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60" w:lineRule="exact"/>
        <w:rPr>
          <w:sz w:val="20"/>
          <w:szCs w:val="20"/>
          <w:color w:val="auto"/>
        </w:rPr>
      </w:pPr>
    </w:p>
    <w:p>
      <w:pPr>
        <w:ind w:right="160" w:firstLine="810"/>
        <w:spacing w:after="0" w:line="269"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3"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trading price of our common stock has been and will continue to be volatile in response to a variety of factors, including the following:</w:t>
      </w:r>
    </w:p>
    <w:p>
      <w:pPr>
        <w:spacing w:after="0" w:line="237" w:lineRule="exact"/>
        <w:rPr>
          <w:sz w:val="20"/>
          <w:szCs w:val="20"/>
          <w:color w:val="auto"/>
        </w:rPr>
      </w:pPr>
    </w:p>
    <w:p>
      <w:pPr>
        <w:ind w:left="5540" w:right="2600" w:hanging="4236"/>
        <w:spacing w:after="0" w:line="919" w:lineRule="auto"/>
        <w:tabs>
          <w:tab w:leader="none" w:pos="19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7" w:name="page48"/>
    <w:bookmarkEnd w:id="47"/>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60" w:right="3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divestitures or partnerships by us, our competitors or our collaboration partners;</w:t>
      </w:r>
    </w:p>
    <w:p>
      <w:pPr>
        <w:spacing w:after="0" w:line="170" w:lineRule="exact"/>
        <w:rPr>
          <w:rFonts w:ascii="Arial" w:cs="Arial" w:eastAsia="Arial" w:hAnsi="Arial"/>
          <w:sz w:val="18"/>
          <w:szCs w:val="18"/>
          <w:color w:val="auto"/>
        </w:rPr>
      </w:pPr>
    </w:p>
    <w:p>
      <w:pPr>
        <w:ind w:left="1960" w:right="34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collaboration partners, or the failure to obtain such approvals on the projected timeline or at all;</w:t>
      </w:r>
    </w:p>
    <w:p>
      <w:pPr>
        <w:spacing w:after="0" w:line="170" w:lineRule="exact"/>
        <w:rPr>
          <w:rFonts w:ascii="Arial" w:cs="Arial" w:eastAsia="Arial" w:hAnsi="Arial"/>
          <w:sz w:val="18"/>
          <w:szCs w:val="18"/>
          <w:color w:val="auto"/>
        </w:rPr>
      </w:pPr>
    </w:p>
    <w:p>
      <w:pPr>
        <w:ind w:left="1960" w:right="460" w:hanging="656"/>
        <w:spacing w:after="0" w:line="277"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announcement of a product recall, suspension or other safety notice associated with our products or the products of our competitors, or other similar regulatory enforcement actions;</w:t>
      </w:r>
    </w:p>
    <w:p>
      <w:pPr>
        <w:spacing w:after="0" w:line="183" w:lineRule="exact"/>
        <w:rPr>
          <w:rFonts w:ascii="Arial" w:cs="Arial" w:eastAsia="Arial" w:hAnsi="Arial"/>
          <w:sz w:val="18"/>
          <w:szCs w:val="18"/>
          <w:color w:val="auto"/>
        </w:rPr>
      </w:pPr>
    </w:p>
    <w:p>
      <w:pPr>
        <w:ind w:left="1960" w:right="20" w:hanging="656"/>
        <w:spacing w:after="0" w:line="261" w:lineRule="auto"/>
        <w:tabs>
          <w:tab w:leader="none" w:pos="19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and operating results relative to the expectations of securities analysts and other market participants and the issuance of securities analysts’ reports or recommendations;</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threatened or actual litigation, regulatory proceedings, or government investigations; and</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50" w:lineRule="exact"/>
        <w:rPr>
          <w:sz w:val="20"/>
          <w:szCs w:val="20"/>
          <w:color w:val="auto"/>
        </w:rPr>
      </w:pPr>
    </w:p>
    <w:p>
      <w:pPr>
        <w:ind w:right="120" w:firstLine="810"/>
        <w:spacing w:after="0" w:line="243" w:lineRule="auto"/>
        <w:rPr>
          <w:sz w:val="20"/>
          <w:szCs w:val="20"/>
          <w:color w:val="auto"/>
        </w:rPr>
      </w:pPr>
      <w:r>
        <w:rPr>
          <w:rFonts w:ascii="Arial" w:cs="Arial" w:eastAsia="Arial" w:hAnsi="Arial"/>
          <w:sz w:val="18"/>
          <w:szCs w:val="18"/>
          <w:color w:val="auto"/>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delay or prevent a change of control, which could reduce our stock price and prevent our stockholders from removing our current board of directors.</w:t>
      </w:r>
    </w:p>
    <w:p>
      <w:pPr>
        <w:spacing w:after="0" w:line="170"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83" w:lineRule="exact"/>
        <w:rPr>
          <w:rFonts w:ascii="Arial" w:cs="Arial" w:eastAsia="Arial" w:hAnsi="Arial"/>
          <w:sz w:val="18"/>
          <w:szCs w:val="18"/>
          <w:color w:val="auto"/>
        </w:rPr>
      </w:pPr>
    </w:p>
    <w:p>
      <w:pPr>
        <w:ind w:left="1960" w:right="60" w:hanging="656"/>
        <w:spacing w:after="0" w:line="248"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a staggered board of directors whereby the board is currently divided into three classes, although our board and stockholders have approved the phased declassification of the board of directors such that the board structure will be completely declassified by our 2024 annual meeting of stockholders;</w:t>
      </w:r>
    </w:p>
    <w:p>
      <w:pPr>
        <w:spacing w:after="0" w:line="195" w:lineRule="exact"/>
        <w:rPr>
          <w:rFonts w:ascii="Arial" w:cs="Arial" w:eastAsia="Arial" w:hAnsi="Arial"/>
          <w:sz w:val="18"/>
          <w:szCs w:val="18"/>
          <w:color w:val="auto"/>
        </w:rPr>
      </w:pPr>
    </w:p>
    <w:p>
      <w:pPr>
        <w:ind w:left="1960" w:right="68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420" w:hanging="656"/>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ind w:firstLine="810"/>
        <w:spacing w:after="0" w:line="296" w:lineRule="auto"/>
        <w:rPr>
          <w:sz w:val="20"/>
          <w:szCs w:val="20"/>
          <w:color w:val="auto"/>
        </w:rPr>
      </w:pPr>
      <w:r>
        <w:rPr>
          <w:rFonts w:ascii="Arial" w:cs="Arial" w:eastAsia="Arial" w:hAnsi="Arial"/>
          <w:sz w:val="16"/>
          <w:szCs w:val="16"/>
          <w:color w:val="auto"/>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9" w:lineRule="exact"/>
        <w:rPr>
          <w:sz w:val="20"/>
          <w:szCs w:val="20"/>
          <w:color w:val="auto"/>
        </w:rPr>
      </w:pPr>
    </w:p>
    <w:p>
      <w:pPr>
        <w:ind w:right="80" w:firstLine="810"/>
        <w:spacing w:after="0" w:line="276" w:lineRule="auto"/>
        <w:rPr>
          <w:sz w:val="20"/>
          <w:szCs w:val="20"/>
          <w:color w:val="auto"/>
        </w:rPr>
      </w:pPr>
      <w:r>
        <w:rPr>
          <w:rFonts w:ascii="Arial" w:cs="Arial" w:eastAsia="Arial" w:hAnsi="Arial"/>
          <w:sz w:val="16"/>
          <w:szCs w:val="16"/>
          <w:color w:val="auto"/>
        </w:rPr>
        <w:t>As of December 31, 2022, we had accumulated federal and state net operating loss (NOL) carryforwards of approximately $193.1 million, and $255.9 million, respectively. Of the total federal NOL carryforwards, approximately $95.6 million were generated after January 1, 2018, and therefore do not expire. The NOL generated after January 1, 2018, is subject to an 80% limitation. The remaining federal NOL carryforwards of $97.5 million will begin to expire in 2033, and state tax loss carryforwards continue to expire. If there is an “ownership change” with respect to our company, as defined under Section 382 of the Code, the utilization of our NOL and research credit carryforwards may be subject to substantial limitations, which could cause U.S. federal income taxes to be paid earlier than would be paid if such limitations were not in effect and could cause NOL carryforwards to expire unused.</w:t>
      </w:r>
    </w:p>
    <w:p>
      <w:pPr>
        <w:spacing w:after="0" w:line="13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60" w:lineRule="exact"/>
        <w:rPr>
          <w:sz w:val="20"/>
          <w:szCs w:val="20"/>
          <w:color w:val="auto"/>
        </w:rPr>
      </w:pPr>
    </w:p>
    <w:p>
      <w:pPr>
        <w:jc w:val="both"/>
        <w:ind w:right="680" w:firstLine="810"/>
        <w:spacing w:after="0" w:line="27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w:t>
      </w:r>
    </w:p>
    <w:p>
      <w:pPr>
        <w:ind w:right="20"/>
        <w:spacing w:after="0" w:line="249" w:lineRule="auto"/>
        <w:rPr>
          <w:sz w:val="20"/>
          <w:szCs w:val="20"/>
          <w:color w:val="auto"/>
        </w:rPr>
      </w:pPr>
      <w:r>
        <w:rPr>
          <w:rFonts w:ascii="Arial" w:cs="Arial" w:eastAsia="Arial" w:hAnsi="Arial"/>
          <w:sz w:val="17"/>
          <w:szCs w:val="17"/>
          <w:color w:val="auto"/>
        </w:rPr>
        <w:t>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85"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114" w:lineRule="exact"/>
        <w:rPr>
          <w:sz w:val="20"/>
          <w:szCs w:val="20"/>
          <w:color w:val="auto"/>
        </w:rPr>
      </w:pPr>
    </w:p>
    <w:p>
      <w:pPr>
        <w:ind w:right="80" w:firstLine="810"/>
        <w:spacing w:after="0" w:line="257" w:lineRule="auto"/>
        <w:rPr>
          <w:sz w:val="20"/>
          <w:szCs w:val="20"/>
          <w:color w:val="auto"/>
        </w:rPr>
      </w:pPr>
      <w:r>
        <w:rPr>
          <w:rFonts w:ascii="Arial" w:cs="Arial" w:eastAsia="Arial" w:hAnsi="Arial"/>
          <w:sz w:val="17"/>
          <w:szCs w:val="17"/>
          <w:color w:val="auto"/>
        </w:rPr>
        <w:t>From time to time, we have financed our liquidity needs under various credit arrangements and we may borrow additional funds in the future. For example, in May 2020, we completed the offering of $287.5 million principal amount of 1.50% Convertible Senior Notes due 2025 (the Notes), which are governed by the terms of an indenture. The Notes are our senior unsecured obligations. In addition, in May 2022, we entered into a revolving line of credit agreement, which provides us with an available principal borrowing amount of $100.0 million (the Line of Credit). While there are currently no borrowings outstanding under the Line of Credit, we may request advances thereunder and use the proceeds for general corporate purposes. The Line of Credit is secured by a first priority security interest in substantially all of our assets.</w:t>
      </w:r>
    </w:p>
    <w:p>
      <w:pPr>
        <w:spacing w:after="0" w:line="189" w:lineRule="exact"/>
        <w:rPr>
          <w:sz w:val="20"/>
          <w:szCs w:val="20"/>
          <w:color w:val="auto"/>
        </w:rPr>
      </w:pPr>
    </w:p>
    <w:p>
      <w:pPr>
        <w:ind w:right="20" w:firstLine="810"/>
        <w:spacing w:after="0" w:line="279" w:lineRule="auto"/>
        <w:rPr>
          <w:sz w:val="20"/>
          <w:szCs w:val="20"/>
          <w:color w:val="auto"/>
        </w:rPr>
      </w:pPr>
      <w:r>
        <w:rPr>
          <w:rFonts w:ascii="Arial" w:cs="Arial" w:eastAsia="Arial" w:hAnsi="Arial"/>
          <w:sz w:val="16"/>
          <w:szCs w:val="16"/>
          <w:color w:val="auto"/>
        </w:rPr>
        <w:t>The Notes and the Line of Credit contain certain debt service requirements, and financial and operational covenants, as applicable. Pursuant to the Notes, interest is payable in cash semi-annually at a rate of 1.50% per year. In addition, any future advances under the Line of Credit will bear interest at an annual rate calculated as determined pursuant to the Line of Credit with interest on outstanding advances payable quarterly. During the term of the Line of Credit, we are also required to maintain compliance with two financial maintenance covenants: a minimum consolidated interest coverage ratio and a maximum consolidated net leverage ratio. The Line of Credit also contains customary operating covenants, subject to certain exceptions.</w:t>
      </w:r>
    </w:p>
    <w:p>
      <w:pPr>
        <w:spacing w:after="0" w:line="186" w:lineRule="exact"/>
        <w:rPr>
          <w:sz w:val="20"/>
          <w:szCs w:val="20"/>
          <w:color w:val="auto"/>
        </w:rPr>
      </w:pPr>
    </w:p>
    <w:p>
      <w:pPr>
        <w:ind w:firstLine="810"/>
        <w:spacing w:after="0" w:line="261" w:lineRule="auto"/>
        <w:rPr>
          <w:sz w:val="20"/>
          <w:szCs w:val="20"/>
          <w:color w:val="auto"/>
        </w:rPr>
      </w:pPr>
      <w:r>
        <w:rPr>
          <w:rFonts w:ascii="Arial" w:cs="Arial" w:eastAsia="Arial" w:hAnsi="Arial"/>
          <w:sz w:val="18"/>
          <w:szCs w:val="18"/>
          <w:color w:val="auto"/>
        </w:rPr>
        <w:t>Our failure to comply with certain obligations under the Notes and the Line of Credit, or inability to make required debt service payments, could result in an event of default. A default, if not cured or waived, could result in acceleration of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9" w:name="page50"/>
    <w:bookmarkEnd w:id="49"/>
    <w:p>
      <w:pPr>
        <w:jc w:val="both"/>
        <w:ind w:right="140"/>
        <w:spacing w:after="0" w:line="248" w:lineRule="auto"/>
        <w:rPr>
          <w:sz w:val="20"/>
          <w:szCs w:val="20"/>
          <w:color w:val="auto"/>
        </w:rPr>
      </w:pPr>
      <w:r>
        <w:rPr>
          <w:rFonts w:ascii="Arial" w:cs="Arial" w:eastAsia="Arial" w:hAnsi="Arial"/>
          <w:sz w:val="18"/>
          <w:szCs w:val="18"/>
          <w:color w:val="auto"/>
        </w:rPr>
        <w:t>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spacing w:after="0" w:line="209" w:lineRule="exact"/>
        <w:rPr>
          <w:sz w:val="20"/>
          <w:szCs w:val="20"/>
          <w:color w:val="auto"/>
        </w:rPr>
      </w:pPr>
    </w:p>
    <w:p>
      <w:pPr>
        <w:ind w:right="260" w:firstLine="810"/>
        <w:spacing w:after="0" w:line="261" w:lineRule="auto"/>
        <w:rPr>
          <w:sz w:val="20"/>
          <w:szCs w:val="20"/>
          <w:color w:val="auto"/>
        </w:rPr>
      </w:pPr>
      <w:r>
        <w:rPr>
          <w:rFonts w:ascii="Arial" w:cs="Arial" w:eastAsia="Arial" w:hAnsi="Arial"/>
          <w:sz w:val="18"/>
          <w:szCs w:val="18"/>
          <w:color w:val="auto"/>
        </w:rPr>
        <w:t>In addition, our current or future level of indebtedness could affect our business, operations and strategy in several important ways, including the following:</w:t>
      </w:r>
    </w:p>
    <w:p>
      <w:pPr>
        <w:spacing w:after="0" w:line="198" w:lineRule="exact"/>
        <w:rPr>
          <w:sz w:val="20"/>
          <w:szCs w:val="20"/>
          <w:color w:val="auto"/>
        </w:rPr>
      </w:pPr>
    </w:p>
    <w:p>
      <w:pPr>
        <w:ind w:left="1960" w:right="120" w:hanging="656"/>
        <w:spacing w:after="0" w:line="261"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dedicate a portion of our current liquidity or cash flow from operations to interest payments, limiting the availability of cash for other purposes;</w:t>
      </w:r>
    </w:p>
    <w:p>
      <w:pPr>
        <w:spacing w:after="0" w:line="184" w:lineRule="exact"/>
        <w:rPr>
          <w:rFonts w:ascii="Arial" w:cs="Arial" w:eastAsia="Arial" w:hAnsi="Arial"/>
          <w:sz w:val="18"/>
          <w:szCs w:val="18"/>
          <w:color w:val="auto"/>
        </w:rPr>
      </w:pPr>
    </w:p>
    <w:p>
      <w:pPr>
        <w:ind w:left="1960" w:right="480" w:hanging="656"/>
        <w:spacing w:after="0" w:line="261"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covenants contained in the Line of Credit or future agreements governing indebtedness may limit our ability to borrow additional funds, refinance indebtedness or make certain investments;</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covenants may affect our flexibility in planning for, and reacting to, changes in the economy and our industry;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high level of indebtedness may increase our vulnerability to adverse economic and competitive conditions; and</w:t>
      </w:r>
    </w:p>
    <w:p>
      <w:pPr>
        <w:spacing w:after="0" w:line="238" w:lineRule="exact"/>
        <w:rPr>
          <w:rFonts w:ascii="Arial" w:cs="Arial" w:eastAsia="Arial" w:hAnsi="Arial"/>
          <w:sz w:val="18"/>
          <w:szCs w:val="18"/>
          <w:color w:val="auto"/>
        </w:rPr>
      </w:pPr>
    </w:p>
    <w:p>
      <w:pPr>
        <w:ind w:left="1960" w:right="200" w:hanging="656"/>
        <w:spacing w:after="0" w:line="261"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high level of indebtedness may limit our ability to obtain additional financing in the future or negatively impact the terms on which additional financing may be obtained.</w:t>
      </w:r>
    </w:p>
    <w:p>
      <w:pPr>
        <w:spacing w:after="0" w:line="200" w:lineRule="exact"/>
        <w:rPr>
          <w:sz w:val="20"/>
          <w:szCs w:val="20"/>
          <w:color w:val="auto"/>
        </w:rPr>
      </w:pPr>
    </w:p>
    <w:p>
      <w:pPr>
        <w:spacing w:after="0" w:line="2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70"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In May 2020, we completed the offering of $287.5 million principal amount of 1.50% Convertible Senior Notes due 2025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In addition, upon conversion of the Notes, unless we elect to deliver solely shares of our common stock to settle such conversion, we will be required to make cash payments in respect of the Notes being converted. Furthermore, the indenture governing the Notes provides that, in the event of an event of default under the Notes, the principal, premium, if any, and interest, if any, may become due prior to the maturity date for the Notes. There can be no assurance that we will be able to pay these amounts when due, or that we will be able to refinance this indebtedness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35" w:lineRule="exact"/>
        <w:rPr>
          <w:sz w:val="20"/>
          <w:szCs w:val="20"/>
          <w:color w:val="auto"/>
        </w:rPr>
      </w:pPr>
    </w:p>
    <w:p>
      <w:pPr>
        <w:ind w:right="60" w:firstLine="810"/>
        <w:spacing w:after="0" w:line="270" w:lineRule="auto"/>
        <w:rPr>
          <w:sz w:val="20"/>
          <w:szCs w:val="20"/>
          <w:color w:val="auto"/>
        </w:rPr>
      </w:pPr>
      <w:r>
        <w:rPr>
          <w:rFonts w:ascii="Arial" w:cs="Arial" w:eastAsia="Arial" w:hAnsi="Arial"/>
          <w:sz w:val="16"/>
          <w:szCs w:val="16"/>
          <w:color w:val="auto"/>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We and our subsidiaries are not prevented by the terms of the indenture governing the Notes from incurring additional indebtedness or refinancing our existing indebtedness in the future. We are similarly not restricted under the terms of the indenture from taking a number of other actions that could have the effect of diminishing our ability to make payments on the Notes when due.</w:t>
      </w:r>
    </w:p>
    <w:p>
      <w:pPr>
        <w:spacing w:after="0" w:line="184" w:lineRule="exact"/>
        <w:rPr>
          <w:sz w:val="20"/>
          <w:szCs w:val="20"/>
          <w:color w:val="auto"/>
        </w:rPr>
      </w:pPr>
    </w:p>
    <w:p>
      <w:pPr>
        <w:ind w:left="40" w:right="380"/>
        <w:spacing w:after="0" w:line="277" w:lineRule="auto"/>
        <w:rPr>
          <w:sz w:val="20"/>
          <w:szCs w:val="20"/>
          <w:color w:val="auto"/>
        </w:rPr>
      </w:pPr>
      <w:r>
        <w:rPr>
          <w:rFonts w:ascii="Arial" w:cs="Arial" w:eastAsia="Arial" w:hAnsi="Arial"/>
          <w:sz w:val="18"/>
          <w:szCs w:val="18"/>
          <w:b w:val="1"/>
          <w:bCs w:val="1"/>
          <w:i w:val="1"/>
          <w:iCs w:val="1"/>
          <w:color w:val="231F20"/>
        </w:rPr>
        <w:t>We may not have sufficient cash or be able to obtain financing to repurchase the Notes upon a fundamental change, or to settle conversions of the Notes.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ind w:right="80" w:firstLine="810"/>
        <w:spacing w:after="0" w:line="291"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w:t>
      </w:r>
    </w:p>
    <w:p>
      <w:pPr>
        <w:spacing w:after="0" w:line="187"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governing the Notes)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360" w:firstLine="810"/>
        <w:spacing w:after="0" w:line="259" w:lineRule="auto"/>
        <w:rPr>
          <w:sz w:val="20"/>
          <w:szCs w:val="20"/>
          <w:color w:val="auto"/>
        </w:rPr>
      </w:pPr>
      <w:r>
        <w:rPr>
          <w:rFonts w:ascii="Arial" w:cs="Arial" w:eastAsia="Arial" w:hAnsi="Arial"/>
          <w:sz w:val="18"/>
          <w:szCs w:val="18"/>
          <w:color w:val="231F20"/>
        </w:rPr>
        <w:t>In connection with the issuance of the Notes, we entered into capped call transactions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87"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avoid an increase or a decrease in the market price of our common stock or the Notes, which could affect a Note holder’s ability to convert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may default under the Capped Call Transactions. If an option counterparty becomes subject to insolvency proceedings, we will become an unsecured creditor in those proceedings.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ind w:right="20" w:firstLine="810"/>
        <w:spacing w:after="0" w:line="263" w:lineRule="auto"/>
        <w:rPr>
          <w:sz w:val="20"/>
          <w:szCs w:val="20"/>
          <w:color w:val="auto"/>
        </w:rPr>
      </w:pPr>
      <w:r>
        <w:rPr>
          <w:rFonts w:ascii="Arial" w:cs="Arial" w:eastAsia="Arial" w:hAnsi="Arial"/>
          <w:sz w:val="18"/>
          <w:szCs w:val="18"/>
          <w:color w:val="auto"/>
        </w:rPr>
        <w:t>Substantially all of our operations are currently conducted at leased facilities, including our manufacturing processes, research and development activities, customer and technical support, and management and administrative functions. As of December 31, 2022, we leased facilities with an aggregate total of approximately 417,000 square feet,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98" w:lineRule="exact"/>
        <w:rPr>
          <w:sz w:val="20"/>
          <w:szCs w:val="20"/>
          <w:color w:val="auto"/>
        </w:rPr>
      </w:pPr>
    </w:p>
    <w:p>
      <w:pPr>
        <w:ind w:left="980" w:right="100" w:hanging="324"/>
        <w:spacing w:after="0" w:line="25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Tech Center Lease</w:t>
      </w:r>
      <w:r>
        <w:rPr>
          <w:rFonts w:ascii="Arial" w:cs="Arial" w:eastAsia="Arial" w:hAnsi="Arial"/>
          <w:sz w:val="18"/>
          <w:szCs w:val="18"/>
          <w:color w:val="auto"/>
        </w:rPr>
        <w:t>: 181,949 square feet of general administrative, laboratory and research and development office space located on High Bluff Drive in San Diego, California. Phase I of the lease, consisting of 143,850 square feet, commenced in March of 2022. Phase II of the lease, consisting of 38,099 square feet, is expected to commence in 2025. The lease term covering both Phase I and Phase II is currently expected to expire in April 2035. We have two options to extend the term of the lease, with each option providing for an additional period of five years.</w:t>
      </w:r>
    </w:p>
    <w:p>
      <w:pPr>
        <w:spacing w:after="0" w:line="147"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Vista Sorrento Parkway Lease</w:t>
      </w:r>
      <w:r>
        <w:rPr>
          <w:rFonts w:ascii="Arial" w:cs="Arial" w:eastAsia="Arial" w:hAnsi="Arial"/>
          <w:sz w:val="18"/>
          <w:szCs w:val="18"/>
          <w:color w:val="auto"/>
        </w:rPr>
        <w:t>: 73,929 square feet of general office space located on Vista Sorrento Parkway in San Diego, California, which is scheduled to expire in January 2028. We have two options to extend the term of the Vista Sorrento Parkway lease, with each option providing for an additional period of five years.</w:t>
      </w:r>
    </w:p>
    <w:p>
      <w:pPr>
        <w:spacing w:after="0" w:line="14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Barnes Canyon Lease</w:t>
      </w:r>
      <w:r>
        <w:rPr>
          <w:rFonts w:ascii="Arial" w:cs="Arial" w:eastAsia="Arial" w:hAnsi="Arial"/>
          <w:sz w:val="18"/>
          <w:szCs w:val="18"/>
          <w:color w:val="auto"/>
        </w:rPr>
        <w:t>: 48,880 square feet of general office, manufacturing and warehouse space located on Barnes Canyon Road in San Diego, California, which is scheduled to expire in November 2028.</w:t>
      </w:r>
    </w:p>
    <w:p>
      <w:pPr>
        <w:spacing w:after="0" w:line="143" w:lineRule="exact"/>
        <w:rPr>
          <w:rFonts w:ascii="Arial" w:cs="Arial" w:eastAsia="Arial" w:hAnsi="Arial"/>
          <w:sz w:val="18"/>
          <w:szCs w:val="18"/>
          <w:color w:val="auto"/>
        </w:rPr>
      </w:pPr>
    </w:p>
    <w:p>
      <w:pPr>
        <w:jc w:val="both"/>
        <w:ind w:left="980" w:right="22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Marindustry Place Lease</w:t>
      </w:r>
      <w:r>
        <w:rPr>
          <w:rFonts w:ascii="Arial" w:cs="Arial" w:eastAsia="Arial" w:hAnsi="Arial"/>
          <w:sz w:val="18"/>
          <w:szCs w:val="18"/>
          <w:color w:val="auto"/>
        </w:rPr>
        <w:t>: 40,490 square feet of general office and warehouse space located on Marindustry Place in San Diego, California, which is scheduled to expire in April 2026. We have a one-time option to extend the term of the Marindustry Place lease for a period of no less than three years and no more than five years.</w:t>
      </w:r>
    </w:p>
    <w:p>
      <w:pPr>
        <w:spacing w:after="0" w:line="143"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43"/>
        </w:numPr>
        <w:rPr>
          <w:rFonts w:ascii="Arial" w:cs="Arial" w:eastAsia="Arial" w:hAnsi="Arial"/>
          <w:sz w:val="18"/>
          <w:szCs w:val="18"/>
          <w:i w:val="1"/>
          <w:iCs w:val="1"/>
          <w:color w:val="auto"/>
        </w:rPr>
      </w:pPr>
      <w:r>
        <w:rPr>
          <w:rFonts w:ascii="Arial" w:cs="Arial" w:eastAsia="Arial" w:hAnsi="Arial"/>
          <w:sz w:val="18"/>
          <w:szCs w:val="18"/>
          <w:u w:val="single" w:color="auto"/>
          <w:color w:val="auto"/>
        </w:rPr>
        <w:t>High Bluff Lease</w:t>
      </w:r>
      <w:r>
        <w:rPr>
          <w:rFonts w:ascii="Arial" w:cs="Arial" w:eastAsia="Arial" w:hAnsi="Arial"/>
          <w:sz w:val="18"/>
          <w:szCs w:val="18"/>
          <w:color w:val="auto"/>
        </w:rPr>
        <w:t>: 31,372 square feet of general office space located on High Bluff Drive, in San Diego, California, which is scheduled to expire in March 2024.</w:t>
      </w:r>
    </w:p>
    <w:p>
      <w:pPr>
        <w:spacing w:after="0" w:line="129" w:lineRule="exact"/>
        <w:rPr>
          <w:rFonts w:ascii="Arial" w:cs="Arial" w:eastAsia="Arial" w:hAnsi="Arial"/>
          <w:sz w:val="18"/>
          <w:szCs w:val="18"/>
          <w:i w:val="1"/>
          <w:iCs w:val="1"/>
          <w:color w:val="auto"/>
        </w:rPr>
      </w:pPr>
    </w:p>
    <w:p>
      <w:pPr>
        <w:ind w:left="980" w:right="60" w:hanging="324"/>
        <w:spacing w:after="0" w:line="277"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Roselle Street Leases</w:t>
      </w:r>
      <w:r>
        <w:rPr>
          <w:rFonts w:ascii="Arial" w:cs="Arial" w:eastAsia="Arial" w:hAnsi="Arial"/>
          <w:sz w:val="18"/>
          <w:szCs w:val="18"/>
          <w:color w:val="auto"/>
        </w:rPr>
        <w:t>: 77,458 square feet of general office and laboratory space located on Roselle Street in San Diego, California. All of our existing leases for facilities on Roselle Street are scheduled to expire in May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the United States</w:t>
      </w:r>
    </w:p>
    <w:p>
      <w:pPr>
        <w:spacing w:after="0" w:line="185" w:lineRule="exact"/>
        <w:rPr>
          <w:sz w:val="20"/>
          <w:szCs w:val="20"/>
          <w:color w:val="auto"/>
        </w:rPr>
      </w:pPr>
    </w:p>
    <w:p>
      <w:pPr>
        <w:ind w:left="980" w:right="28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Markham Lease</w:t>
      </w:r>
      <w:r>
        <w:rPr>
          <w:rFonts w:ascii="Arial" w:cs="Arial" w:eastAsia="Arial" w:hAnsi="Arial"/>
          <w:sz w:val="18"/>
          <w:szCs w:val="18"/>
          <w:color w:val="auto"/>
        </w:rPr>
        <w:t>: 667 square feet of general office space located in Markham, Ontario, Canada. This is a month-to-month lease that can be canceled by delivering written notice of no less than one month to the landlord.</w:t>
      </w:r>
    </w:p>
    <w:p>
      <w:pPr>
        <w:spacing w:after="0" w:line="130"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We believe that the facilities that we presently occupy will be sufficient to support our current operations and that suitable additional facilities would be available to us should our operations require it.</w:t>
      </w:r>
    </w:p>
    <w:p>
      <w:pPr>
        <w:spacing w:after="0" w:line="200" w:lineRule="exact"/>
        <w:rPr>
          <w:sz w:val="20"/>
          <w:szCs w:val="20"/>
          <w:color w:val="auto"/>
        </w:rPr>
      </w:pPr>
    </w:p>
    <w:p>
      <w:pPr>
        <w:spacing w:after="0" w:line="3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2" w:name="page53"/>
    <w:bookmarkEnd w:id="52"/>
    <w:p>
      <w:pPr>
        <w:ind w:firstLine="810"/>
        <w:spacing w:after="0" w:line="275" w:lineRule="auto"/>
        <w:rPr>
          <w:sz w:val="20"/>
          <w:szCs w:val="20"/>
          <w:color w:val="auto"/>
        </w:rPr>
      </w:pPr>
      <w:r>
        <w:rPr>
          <w:rFonts w:ascii="Arial" w:cs="Arial" w:eastAsia="Arial" w:hAnsi="Arial"/>
          <w:sz w:val="17"/>
          <w:szCs w:val="17"/>
          <w:color w:val="auto"/>
        </w:rPr>
        <w:t xml:space="preserve">Except as set forth below under the caption </w:t>
      </w:r>
      <w:r>
        <w:rPr>
          <w:rFonts w:ascii="Arial" w:cs="Arial" w:eastAsia="Arial" w:hAnsi="Arial"/>
          <w:sz w:val="17"/>
          <w:szCs w:val="17"/>
          <w:i w:val="1"/>
          <w:iCs w:val="1"/>
          <w:color w:val="auto"/>
        </w:rPr>
        <w:t>“Commitments and Contingencies - Legal and Regulatory Matters”</w:t>
      </w:r>
      <w:r>
        <w:rPr>
          <w:rFonts w:ascii="Arial" w:cs="Arial" w:eastAsia="Arial" w:hAnsi="Arial"/>
          <w:sz w:val="17"/>
          <w:szCs w:val="17"/>
          <w:color w:val="auto"/>
        </w:rPr>
        <w:t xml:space="preserve"> in Part II, Item 8, Subsection 13 of this Annual Report, as of December 31, 2022, there were no legal proceedings, regulatory matters, or other disputes or claims for which a material loss was considered probable or for which the amount (or range) of loss was reasonably estimable. However, regardless of the merits of the claims raised or the outcome, legal proceedings, regulatory matters, and other disputes and claims may have an adverse impact on the Company because of as a result of defense and settlement costs, diversion of management time and resources, and other factors.</w:t>
      </w:r>
    </w:p>
    <w:p>
      <w:pPr>
        <w:spacing w:after="0" w:line="200" w:lineRule="exact"/>
        <w:rPr>
          <w:sz w:val="20"/>
          <w:szCs w:val="20"/>
          <w:color w:val="auto"/>
        </w:rPr>
      </w:pPr>
    </w:p>
    <w:p>
      <w:pPr>
        <w:spacing w:after="0" w:line="3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3" w:name="page54"/>
    <w:bookmarkEnd w:id="53"/>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the high and low intraday sales prices per share of our common stock as reported on the Nasdaq Global Market for the period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Price Range</w:t>
            </w:r>
          </w:p>
        </w:tc>
        <w:tc>
          <w:tcPr>
            <w:tcW w:w="90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rPr>
              <w:t>Low</w:t>
            </w:r>
          </w:p>
        </w:tc>
      </w:tr>
      <w:tr>
        <w:trPr>
          <w:trHeight w:val="39"/>
        </w:trPr>
        <w:tc>
          <w:tcPr>
            <w:tcW w:w="20" w:type="dxa"/>
            <w:vAlign w:val="bottom"/>
            <w:tcBorders>
              <w:bottom w:val="single" w:sz="8" w:color="CCEEFF"/>
            </w:tcBorders>
          </w:tcPr>
          <w:p>
            <w:pPr>
              <w:spacing w:after="0"/>
              <w:rPr>
                <w:sz w:val="3"/>
                <w:szCs w:val="3"/>
                <w:color w:val="auto"/>
              </w:rPr>
            </w:pPr>
          </w:p>
        </w:tc>
        <w:tc>
          <w:tcPr>
            <w:tcW w:w="2400" w:type="dxa"/>
            <w:vAlign w:val="bottom"/>
            <w:tcBorders>
              <w:bottom w:val="single" w:sz="8" w:color="CCEEFF"/>
            </w:tcBorders>
          </w:tcPr>
          <w:p>
            <w:pPr>
              <w:spacing w:after="0"/>
              <w:rPr>
                <w:sz w:val="3"/>
                <w:szCs w:val="3"/>
                <w:color w:val="auto"/>
              </w:rPr>
            </w:pPr>
          </w:p>
        </w:tc>
        <w:tc>
          <w:tcPr>
            <w:tcW w:w="6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0"/>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Year Ended December 31, 2022</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150.64</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56"/>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2021</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First Quarter</w:t>
            </w:r>
          </w:p>
        </w:tc>
        <w:tc>
          <w:tcPr>
            <w:tcW w:w="602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77.77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43"/>
        </w:trPr>
        <w:tc>
          <w:tcPr>
            <w:tcW w:w="20" w:type="dxa"/>
            <w:vAlign w:val="bottom"/>
          </w:tcPr>
          <w:p>
            <w:pPr>
              <w:spacing w:after="0"/>
              <w:rPr>
                <w:sz w:val="21"/>
                <w:szCs w:val="21"/>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92.17</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r>
      <w:tr>
        <w:trPr>
          <w:trHeight w:val="27"/>
        </w:trPr>
        <w:tc>
          <w:tcPr>
            <w:tcW w:w="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jc w:val="both"/>
        <w:ind w:right="180" w:firstLine="810"/>
        <w:spacing w:after="0" w:line="311" w:lineRule="auto"/>
        <w:rPr>
          <w:sz w:val="20"/>
          <w:szCs w:val="20"/>
          <w:color w:val="auto"/>
        </w:rPr>
      </w:pPr>
      <w:r>
        <w:rPr>
          <w:rFonts w:ascii="Arial" w:cs="Arial" w:eastAsia="Arial" w:hAnsi="Arial"/>
          <w:sz w:val="16"/>
          <w:szCs w:val="16"/>
          <w:color w:val="auto"/>
        </w:rPr>
        <w:t>As of February 17, 2023, there were approximately 44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2" w:lineRule="exact"/>
        <w:rPr>
          <w:sz w:val="20"/>
          <w:szCs w:val="20"/>
          <w:color w:val="auto"/>
        </w:rPr>
      </w:pPr>
    </w:p>
    <w:p>
      <w:pPr>
        <w:ind w:right="640" w:firstLine="810"/>
        <w:spacing w:after="0" w:line="308" w:lineRule="auto"/>
        <w:rPr>
          <w:sz w:val="20"/>
          <w:szCs w:val="20"/>
          <w:color w:val="auto"/>
        </w:rPr>
      </w:pPr>
      <w:r>
        <w:rPr>
          <w:rFonts w:ascii="Arial" w:cs="Arial" w:eastAsia="Arial" w:hAnsi="Arial"/>
          <w:sz w:val="17"/>
          <w:szCs w:val="17"/>
          <w:color w:val="auto"/>
        </w:rPr>
        <w:t>Information about our equity compensation plans, as set forth under the caption “Security Ownership of Certain Beneficial Owners and Management and Related Stockholder Matters” in Part III, Item 12 of this Annual Report, is incorporated herein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did not repurchase any of our equity securities during the years ended December 31, 2022 and 2021.</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4" w:name="page55"/>
    <w:bookmarkEnd w:id="54"/>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Supplementary Data” in Part II, Item 8 of this Annual Report.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 of this Annual Report.</w:t>
      </w:r>
    </w:p>
    <w:p>
      <w:pPr>
        <w:spacing w:after="0" w:line="146" w:lineRule="exact"/>
        <w:rPr>
          <w:sz w:val="20"/>
          <w:szCs w:val="20"/>
          <w:color w:val="auto"/>
        </w:rPr>
      </w:pPr>
    </w:p>
    <w:p>
      <w:pPr>
        <w:ind w:right="40" w:firstLine="810"/>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robust ecosystem and a portfolio of delivery devices, software, and data insight solutions to people living with diabetes, as well as their caregivers and healthcare providers.</w:t>
      </w:r>
    </w:p>
    <w:p>
      <w:pPr>
        <w:spacing w:after="0" w:line="117"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Since our initial commercial launch, we have rapidly innovated and brought more products to market than our competitors. Today, the t:slim X2 Insulin Delivery System is our flagship technology solution. In the four-year period ended December 31, 2022, we shipped approximately 420,000 t:slim X2 insulin pumps, which is representative of our estimated global installed customer base, assuming the typical four-year reimbursement cycle. Approximately 290,000 of these pumps were shipped to customers in the United States and 130,000 were shipped to customers outside the United States. Our products are currently available in approximately 25 countries outside the United States.</w:t>
      </w:r>
    </w:p>
    <w:p>
      <w:pPr>
        <w:spacing w:after="0" w:line="136"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The majority of our customers use the t:slim X2 with continuous glucose monitoring (CGM) integration. This allows the t:slim X2 to receive CGM sensor readings, which can then be used in our automated insulin dosing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U.S. Food and Drug Administration (FDA) to deliver automatic correction boluses in addition to adjusting insulin to help prevent high and low blood sugar.</w:t>
      </w:r>
    </w:p>
    <w:p>
      <w:pPr>
        <w:spacing w:after="0" w:line="165"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The t:slim X2 is unique in that it is the only pump on which remote software updates have been made commercially available in the United States. Now available in the countries we serve worldwide, our Tandem Device Updater (TDU) that has allowed approximately 200,000 people to update their t:slim X2 software from a personal computer. This offering is a competitive advantage that allows us to bring our customers clinical and lifestyle enhancements, such as new developments in our AID technology, CGM integrations and mobile app features. In July 2022, we launched a new pump software update through TDU to allow all t:slim X2 pump users in the United States to bolus insulin using our smartphone app that is available on compatible iOS and Android devices.</w:t>
      </w:r>
    </w:p>
    <w:p>
      <w:pPr>
        <w:spacing w:after="0" w:line="15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19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 xml:space="preserve">Information about the COVID-19 global pandemic impact and considerations is set forth above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this Annual Report and is incorporated herein by reference.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185"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Delivery Devices</w:t>
      </w:r>
    </w:p>
    <w:p>
      <w:pPr>
        <w:spacing w:after="0" w:line="239" w:lineRule="exact"/>
        <w:rPr>
          <w:sz w:val="20"/>
          <w:szCs w:val="20"/>
          <w:color w:val="auto"/>
        </w:rPr>
      </w:pPr>
    </w:p>
    <w:p>
      <w:pPr>
        <w:ind w:right="40" w:firstLine="810"/>
        <w:spacing w:after="0"/>
        <w:rPr>
          <w:sz w:val="20"/>
          <w:szCs w:val="20"/>
          <w:color w:val="auto"/>
        </w:rPr>
      </w:pPr>
      <w:r>
        <w:rPr>
          <w:rFonts w:ascii="Arial" w:cs="Arial" w:eastAsia="Arial" w:hAnsi="Arial"/>
          <w:sz w:val="18"/>
          <w:szCs w:val="18"/>
          <w:color w:val="auto"/>
        </w:rPr>
        <w:t>We are developing a family of delivery device solutions to meet the varying needs of people living with type 1 and type 2 diabetes by providing choice within our own portfolio. Preferences in the size, shape, and mode of operation that comprise an insulin pump’s hardware often impact a person’s pump purchasing decision and overall user experience.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w:t>
      </w:r>
    </w:p>
    <w:p>
      <w:pPr>
        <w:spacing w:after="0" w:line="239" w:lineRule="exact"/>
        <w:rPr>
          <w:sz w:val="20"/>
          <w:szCs w:val="20"/>
          <w:color w:val="auto"/>
        </w:rPr>
      </w:pPr>
    </w:p>
    <w:p>
      <w:pPr>
        <w:ind w:right="280" w:firstLine="810"/>
        <w:spacing w:after="0" w:line="248" w:lineRule="auto"/>
        <w:rPr>
          <w:sz w:val="20"/>
          <w:szCs w:val="20"/>
          <w:color w:val="auto"/>
        </w:rPr>
      </w:pPr>
      <w:r>
        <w:rPr>
          <w:rFonts w:ascii="Arial" w:cs="Arial" w:eastAsia="Arial" w:hAnsi="Arial"/>
          <w:sz w:val="18"/>
          <w:szCs w:val="18"/>
          <w:color w:val="auto"/>
        </w:rPr>
        <w:t>The Tandem Mobi is approximately half the size of our t:slim X2 pump, and is designed for people who seek even greater discretion and flexibility with the use of their insulin pump. Its features include full pump-control from our mobile application, a 200-unit cartridge, an on-pump bolus button, inductive charging, and an AID algorithm.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X3</w:t>
      </w:r>
    </w:p>
    <w:p>
      <w:pPr>
        <w:spacing w:after="0" w:line="19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 Tubeless</w:t>
      </w:r>
    </w:p>
    <w:p>
      <w:pPr>
        <w:spacing w:after="0" w:line="239" w:lineRule="exact"/>
        <w:rPr>
          <w:sz w:val="20"/>
          <w:szCs w:val="20"/>
          <w:color w:val="auto"/>
        </w:rPr>
      </w:pPr>
    </w:p>
    <w:p>
      <w:pPr>
        <w:ind w:right="20" w:firstLine="810"/>
        <w:spacing w:after="0" w:line="261" w:lineRule="auto"/>
        <w:rPr>
          <w:sz w:val="20"/>
          <w:szCs w:val="20"/>
          <w:color w:val="auto"/>
        </w:rPr>
      </w:pPr>
      <w:r>
        <w:rPr>
          <w:rFonts w:ascii="Arial" w:cs="Arial" w:eastAsia="Arial" w:hAnsi="Arial"/>
          <w:sz w:val="17"/>
          <w:szCs w:val="17"/>
          <w:color w:val="auto"/>
        </w:rPr>
        <w:t>This offering is being developed to provide an alternative tubeless infusion site option for Mobi pump users. It will allow a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Sigi</w:t>
      </w:r>
    </w:p>
    <w:p>
      <w:pPr>
        <w:spacing w:after="0" w:line="198" w:lineRule="exact"/>
        <w:rPr>
          <w:sz w:val="20"/>
          <w:szCs w:val="20"/>
          <w:color w:val="auto"/>
        </w:rPr>
      </w:pPr>
    </w:p>
    <w:p>
      <w:pPr>
        <w:ind w:right="220" w:firstLine="810"/>
        <w:spacing w:after="0" w:line="263" w:lineRule="auto"/>
        <w:rPr>
          <w:sz w:val="20"/>
          <w:szCs w:val="20"/>
          <w:color w:val="auto"/>
        </w:rPr>
      </w:pPr>
      <w:r>
        <w:rPr>
          <w:rFonts w:ascii="Arial" w:cs="Arial" w:eastAsia="Arial" w:hAnsi="Arial"/>
          <w:sz w:val="18"/>
          <w:szCs w:val="18"/>
          <w:color w:val="auto"/>
        </w:rPr>
        <w:t>This ergonomic, rechargeable patch pump is being designed to reduce the burden of managing diabetes through its use of pre-filled insulin cartridges and compatibility with AID technology. This replaces our early-stage development of a disposable tubeless solution that was previously under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Extended Wear Infusion Sets</w:t>
      </w:r>
    </w:p>
    <w:p>
      <w:pPr>
        <w:spacing w:after="0" w:line="239" w:lineRule="exact"/>
        <w:rPr>
          <w:sz w:val="20"/>
          <w:szCs w:val="20"/>
          <w:color w:val="auto"/>
        </w:rPr>
      </w:pPr>
    </w:p>
    <w:p>
      <w:pPr>
        <w:ind w:right="220" w:firstLine="810"/>
        <w:spacing w:after="0" w:line="235" w:lineRule="auto"/>
        <w:rPr>
          <w:sz w:val="20"/>
          <w:szCs w:val="20"/>
          <w:color w:val="auto"/>
        </w:rPr>
      </w:pPr>
      <w:r>
        <w:rPr>
          <w:rFonts w:ascii="Arial" w:cs="Arial" w:eastAsia="Arial" w:hAnsi="Arial"/>
          <w:sz w:val="18"/>
          <w:szCs w:val="18"/>
          <w:color w:val="auto"/>
        </w:rPr>
        <w:t>Infusion sets provide additional choice and flexibility to people living with diabetes. Our goals for infusion set innovations focus on solutions that extend wear time and enhance user experience, while reducing occlusions, body burden and waste. In support of this effort, we are currently developing a unique extended wear infusion set technology.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Device Software</w:t>
      </w:r>
    </w:p>
    <w:p>
      <w:pPr>
        <w:spacing w:after="0" w:line="18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Our device software is used to control our pumps either directly through the pump’s interface or through our mobile application. It also includes our AID technology and the software used to support remote pump updatability.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Control-IQ Advancements</w:t>
      </w:r>
    </w:p>
    <w:p>
      <w:pPr>
        <w:spacing w:after="0" w:line="185" w:lineRule="exact"/>
        <w:rPr>
          <w:sz w:val="20"/>
          <w:szCs w:val="20"/>
          <w:color w:val="auto"/>
        </w:rPr>
      </w:pPr>
    </w:p>
    <w:p>
      <w:pPr>
        <w:jc w:val="both"/>
        <w:ind w:right="280" w:firstLine="810"/>
        <w:spacing w:after="0" w:line="278" w:lineRule="auto"/>
        <w:rPr>
          <w:sz w:val="20"/>
          <w:szCs w:val="20"/>
          <w:color w:val="auto"/>
        </w:rPr>
      </w:pPr>
      <w:r>
        <w:rPr>
          <w:rFonts w:ascii="Arial" w:cs="Arial" w:eastAsia="Arial" w:hAnsi="Arial"/>
          <w:sz w:val="16"/>
          <w:szCs w:val="16"/>
          <w:color w:val="auto"/>
        </w:rPr>
        <w:t>We are continuing to drive innovation in our algorithms, emphasizing automation, personalization and simplification to continue to improve therapeutic outcomes and provide a positive patient experience. We have recently completed clinical studies to support expanding the indications of our Control-IQ technology to include people with type 1 diabetes ages 2 to 5 years old. Additionally, we are initiating a pivotal study to support expanding indications to include people living with type 2 diabetes. We are also researching the use of different insulins with our Control-IQ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Control</w:t>
      </w:r>
    </w:p>
    <w:p>
      <w:pPr>
        <w:spacing w:after="0" w:line="19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We are working to expand our mobile control capability. In the future, our t:connect mobile app is planned to include additional pump control features, such as full operation of our Mobi pump.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Integration</w:t>
      </w:r>
    </w:p>
    <w:p>
      <w:pPr>
        <w:spacing w:after="0" w:line="185"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Building a robust ecosystem and portfolio around our flagship insulin pumps requires product development efforts to integrate, add, and enhance complementary system components.</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Dexcom CGM</w:t>
      </w:r>
      <w:r>
        <w:rPr>
          <w:rFonts w:ascii="Arial" w:cs="Arial" w:eastAsia="Arial" w:hAnsi="Arial"/>
          <w:sz w:val="16"/>
          <w:szCs w:val="16"/>
          <w:color w:val="auto"/>
        </w:rPr>
        <w:t>: We have agreements with Dexcom to extend our current collaboration to include integration with their G7 CGM technology.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Following integrated product development work, this will be the fourth generation of Dexcom CGM that we intend to integrate with our devices.</w:t>
      </w:r>
    </w:p>
    <w:p>
      <w:pPr>
        <w:spacing w:after="0" w:line="249"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i w:val="1"/>
          <w:iCs w:val="1"/>
          <w:color w:val="auto"/>
        </w:rPr>
        <w:t>Abbott CGM</w:t>
      </w:r>
      <w:r>
        <w:rPr>
          <w:rFonts w:ascii="Arial" w:cs="Arial" w:eastAsia="Arial" w:hAnsi="Arial"/>
          <w:sz w:val="18"/>
          <w:szCs w:val="18"/>
          <w:color w:val="auto"/>
        </w:rPr>
        <w:t>: We have an agreement with Abbott Laboratories (Abbott), to develop and commercialize integrated diabetes solutions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combine Abbott’s FreeStyle Libre CGM technology with our insulin delivery systems. Following the completion of our integrated product development work, and after obtaining required regulatory clearances or approvals, we intend to focus our initial commercial activities on integrated products in the U.S. and Canada, with additional geographies considered in the future.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Data and Insights</w:t>
      </w:r>
    </w:p>
    <w:p>
      <w:pPr>
        <w:spacing w:after="0" w:line="18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Our key objectives include making these insights easy to understand, making the data available in real time, and providing the information in a flexible format with mobile or web apps. In addition, we are working to integrate health-related information from third-party sources and to use our data to support current and future products under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Source</w:t>
      </w:r>
    </w:p>
    <w:p>
      <w:pPr>
        <w:spacing w:after="0" w:line="252" w:lineRule="exact"/>
        <w:rPr>
          <w:sz w:val="20"/>
          <w:szCs w:val="20"/>
          <w:color w:val="auto"/>
        </w:rPr>
      </w:pPr>
    </w:p>
    <w:p>
      <w:pPr>
        <w:ind w:right="300" w:firstLine="810"/>
        <w:spacing w:after="0" w:line="301" w:lineRule="auto"/>
        <w:rPr>
          <w:sz w:val="20"/>
          <w:szCs w:val="20"/>
          <w:color w:val="auto"/>
        </w:rPr>
      </w:pPr>
      <w:r>
        <w:rPr>
          <w:rFonts w:ascii="Arial" w:cs="Arial" w:eastAsia="Arial" w:hAnsi="Arial"/>
          <w:sz w:val="16"/>
          <w:szCs w:val="16"/>
          <w:color w:val="auto"/>
        </w:rPr>
        <w:t>Expanding the capabilities of our t:connect data management application available for customers in the United States, Tandem Source is our second-generation web-based data management application that is being designed to be deployed globally. This application enhances clinical data visualization, and provides added interface customization for users to personalize how they engage with their data and for healthcare providers to better manage their care. We continue to develop and test new features for Tandem Source in anticipation of a future commercial release of the product.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Settings Automation</w:t>
      </w:r>
    </w:p>
    <w:p>
      <w:pPr>
        <w:spacing w:after="0" w:line="252"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185"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From inception in 2012 through June 2018, we derived nearly all of our sales from the shipment of insulin pumps and associated supplies to customers in the United States. Starting in the third quarter of 2018, we began selling our t:slim X2 insulin pump in select geographies outside the United States and our technology solutions are now available in approximately 25 countries worldwide. We consider the number of insulin pump units shipped to be an important metric for managing our business.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57" w:name="page58"/>
    <w:bookmarkEnd w:id="57"/>
    <w:p>
      <w:pPr>
        <w:ind w:right="180" w:firstLine="810"/>
        <w:spacing w:after="0" w:line="259" w:lineRule="auto"/>
        <w:rPr>
          <w:sz w:val="20"/>
          <w:szCs w:val="20"/>
          <w:color w:val="auto"/>
        </w:rPr>
      </w:pPr>
      <w:r>
        <w:rPr>
          <w:rFonts w:ascii="Arial" w:cs="Arial" w:eastAsia="Arial" w:hAnsi="Arial"/>
          <w:sz w:val="18"/>
          <w:szCs w:val="18"/>
          <w:color w:val="auto"/>
        </w:rPr>
        <w:t>Insulin pumps in the markets we serve worldwide are generally subject to a four-year reimbursement cycle, imposed by the third-party insurance carrier, government plan or healthcare system that serves as the primary payor. In the past four years, we have shipped approximately 420,000 insulin pumps worldwide, which is representative of our estimated global in-warranty installed customer base. Our ending estimated worldwide installed base has increased approximately 29% year over year.</w:t>
      </w:r>
    </w:p>
    <w:p>
      <w:pPr>
        <w:spacing w:after="0" w:line="187"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those customers that renew typically purchase a subsequent pump within one year from the date of warranty expiration. The majority of our insulin pump sales through the current period have been generated by new customers, but the opportunity for existing customers to purchase a renewal insulin pump increases each period as escalating number of additional customer warranties expire. With programs dedicated to customer retention efforts, we expect such renewal purchases to represent a more significant portion of our shipments in the long-term.</w:t>
      </w:r>
    </w:p>
    <w:p>
      <w:pPr>
        <w:spacing w:after="0" w:line="137"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Approximately 290,000 pumps were shipped to customers in the United States in the past four years, which aligns with the standard four-year warranty period. Pump shipments to customers in the United States by fiscal quarter for the current year and previous five years, which aligns more closely with our typical renewal cycle,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United States Pump Unit Shipments</w:t>
            </w:r>
          </w:p>
        </w:tc>
        <w:tc>
          <w:tcPr>
            <w:tcW w:w="1300" w:type="dxa"/>
            <w:vAlign w:val="bottom"/>
          </w:tcPr>
          <w:p>
            <w:pPr>
              <w:spacing w:after="0"/>
              <w:rPr>
                <w:sz w:val="14"/>
                <w:szCs w:val="14"/>
                <w:color w:val="auto"/>
              </w:rPr>
            </w:pPr>
          </w:p>
        </w:tc>
      </w:tr>
      <w:tr>
        <w:trPr>
          <w:trHeight w:val="192"/>
        </w:trPr>
        <w:tc>
          <w:tcPr>
            <w:tcW w:w="4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6"/>
        </w:trPr>
        <w:tc>
          <w:tcPr>
            <w:tcW w:w="420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30"/>
        </w:trPr>
        <w:tc>
          <w:tcPr>
            <w:tcW w:w="4200" w:type="dxa"/>
            <w:vAlign w:val="bottom"/>
            <w:tcBorders>
              <w:top w:val="single" w:sz="8" w:color="CCEEFF"/>
            </w:tcBorders>
            <w:shd w:val="clear" w:color="auto" w:fill="CCEEFF"/>
          </w:tcPr>
          <w:p>
            <w:pPr>
              <w:jc w:val="right"/>
              <w:ind w:right="3730"/>
              <w:spacing w:after="0"/>
              <w:rPr>
                <w:sz w:val="20"/>
                <w:szCs w:val="20"/>
                <w:color w:val="auto"/>
              </w:rPr>
            </w:pPr>
            <w:r>
              <w:rPr>
                <w:rFonts w:ascii="Arial" w:cs="Arial" w:eastAsia="Arial" w:hAnsi="Arial"/>
                <w:sz w:val="18"/>
                <w:szCs w:val="18"/>
                <w:color w:val="auto"/>
                <w:w w:val="89"/>
              </w:rPr>
              <w:t>2017</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17,061</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2018</w:t>
            </w:r>
          </w:p>
        </w:tc>
        <w:tc>
          <w:tcPr>
            <w:tcW w:w="13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30,205</w:t>
            </w:r>
          </w:p>
        </w:tc>
      </w:tr>
      <w:tr>
        <w:trPr>
          <w:trHeight w:val="230"/>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53,735</w:t>
            </w:r>
          </w:p>
        </w:tc>
      </w:tr>
      <w:tr>
        <w:trPr>
          <w:trHeight w:val="229"/>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2020</w:t>
            </w:r>
          </w:p>
        </w:tc>
        <w:tc>
          <w:tcPr>
            <w:tcW w:w="1300" w:type="dxa"/>
            <w:vAlign w:val="bottom"/>
          </w:tcPr>
          <w:p>
            <w:pPr>
              <w:jc w:val="right"/>
              <w:spacing w:after="0"/>
              <w:rPr>
                <w:sz w:val="20"/>
                <w:szCs w:val="20"/>
                <w:color w:val="auto"/>
              </w:rPr>
            </w:pPr>
            <w:r>
              <w:rPr>
                <w:rFonts w:ascii="Arial" w:cs="Arial" w:eastAsia="Arial" w:hAnsi="Arial"/>
                <w:sz w:val="18"/>
                <w:szCs w:val="18"/>
                <w:color w:val="auto"/>
              </w:rPr>
              <w:t>13,158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14,735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24,552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70,825</w:t>
            </w:r>
          </w:p>
        </w:tc>
      </w:tr>
      <w:tr>
        <w:trPr>
          <w:trHeight w:val="229"/>
        </w:trPr>
        <w:tc>
          <w:tcPr>
            <w:tcW w:w="4200" w:type="dxa"/>
            <w:vAlign w:val="bottom"/>
            <w:shd w:val="clear" w:color="auto" w:fill="CCEEFF"/>
          </w:tcPr>
          <w:p>
            <w:pPr>
              <w:jc w:val="right"/>
              <w:ind w:right="3730"/>
              <w:spacing w:after="0"/>
              <w:rPr>
                <w:sz w:val="20"/>
                <w:szCs w:val="20"/>
                <w:color w:val="auto"/>
              </w:rPr>
            </w:pPr>
            <w:r>
              <w:rPr>
                <w:rFonts w:ascii="Arial" w:cs="Arial" w:eastAsia="Arial" w:hAnsi="Arial"/>
                <w:sz w:val="18"/>
                <w:szCs w:val="18"/>
                <w:color w:val="auto"/>
                <w:w w:val="89"/>
              </w:rPr>
              <w:t>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83,317</w:t>
            </w:r>
          </w:p>
        </w:tc>
      </w:tr>
      <w:tr>
        <w:trPr>
          <w:trHeight w:val="230"/>
        </w:trPr>
        <w:tc>
          <w:tcPr>
            <w:tcW w:w="4200" w:type="dxa"/>
            <w:vAlign w:val="bottom"/>
          </w:tcPr>
          <w:p>
            <w:pPr>
              <w:jc w:val="right"/>
              <w:ind w:right="3730"/>
              <w:spacing w:after="0"/>
              <w:rPr>
                <w:sz w:val="20"/>
                <w:szCs w:val="20"/>
                <w:color w:val="auto"/>
              </w:rPr>
            </w:pPr>
            <w:r>
              <w:rPr>
                <w:rFonts w:ascii="Arial" w:cs="Arial" w:eastAsia="Arial" w:hAnsi="Arial"/>
                <w:sz w:val="18"/>
                <w:szCs w:val="18"/>
                <w:color w:val="auto"/>
                <w:w w:val="89"/>
              </w:rPr>
              <w:t>2022</w:t>
            </w:r>
          </w:p>
        </w:tc>
        <w:tc>
          <w:tcPr>
            <w:tcW w:w="1300" w:type="dxa"/>
            <w:vAlign w:val="bottom"/>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20,818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23,684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83,554</w:t>
            </w:r>
          </w:p>
        </w:tc>
      </w:tr>
    </w:tbl>
    <w:p>
      <w:pPr>
        <w:spacing w:after="0" w:line="200" w:lineRule="exact"/>
        <w:rPr>
          <w:sz w:val="20"/>
          <w:szCs w:val="20"/>
          <w:color w:val="auto"/>
        </w:rPr>
      </w:pPr>
    </w:p>
    <w:p>
      <w:pPr>
        <w:spacing w:after="0" w:line="392" w:lineRule="exact"/>
        <w:rPr>
          <w:sz w:val="20"/>
          <w:szCs w:val="20"/>
          <w:color w:val="auto"/>
        </w:rPr>
      </w:pPr>
    </w:p>
    <w:p>
      <w:pPr>
        <w:jc w:val="both"/>
        <w:ind w:right="120" w:firstLine="810"/>
        <w:spacing w:after="0" w:line="286" w:lineRule="auto"/>
        <w:rPr>
          <w:sz w:val="20"/>
          <w:szCs w:val="20"/>
          <w:color w:val="auto"/>
        </w:rPr>
      </w:pPr>
      <w:r>
        <w:rPr>
          <w:rFonts w:ascii="Arial" w:cs="Arial" w:eastAsia="Arial" w:hAnsi="Arial"/>
          <w:sz w:val="17"/>
          <w:szCs w:val="17"/>
          <w:color w:val="auto"/>
        </w:rPr>
        <w:t>Since commencing sales outside the United States in the third quarter of 2018, we shipped approximately 130,000 pumps and our products are now available in approximately 25 countries. We are only beginning to complete a full four-year reimbursement cycle in certain of our markets outside of the United States. Pump shipments to customers outside the United States by fiscal quarter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Outside the United States Pump Unit Shipments</w:t>
            </w:r>
          </w:p>
        </w:tc>
        <w:tc>
          <w:tcPr>
            <w:tcW w:w="1300" w:type="dxa"/>
            <w:vAlign w:val="bottom"/>
          </w:tcPr>
          <w:p>
            <w:pPr>
              <w:spacing w:after="0"/>
              <w:rPr>
                <w:sz w:val="14"/>
                <w:szCs w:val="14"/>
                <w:color w:val="auto"/>
              </w:rPr>
            </w:pPr>
          </w:p>
        </w:tc>
      </w:tr>
      <w:tr>
        <w:trPr>
          <w:trHeight w:val="192"/>
        </w:trPr>
        <w:tc>
          <w:tcPr>
            <w:tcW w:w="4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for Each of the Three Months Ended in Respective Years</w:t>
            </w:r>
          </w:p>
        </w:tc>
        <w:tc>
          <w:tcPr>
            <w:tcW w:w="1300" w:type="dxa"/>
            <w:vAlign w:val="bottom"/>
            <w:tcBorders>
              <w:bottom w:val="single" w:sz="8" w:color="auto"/>
            </w:tcBorders>
          </w:tcPr>
          <w:p>
            <w:pPr>
              <w:spacing w:after="0"/>
              <w:rPr>
                <w:sz w:val="16"/>
                <w:szCs w:val="16"/>
                <w:color w:val="auto"/>
              </w:rPr>
            </w:pPr>
          </w:p>
        </w:tc>
      </w:tr>
      <w:tr>
        <w:trPr>
          <w:trHeight w:val="195"/>
        </w:trPr>
        <w:tc>
          <w:tcPr>
            <w:tcW w:w="4180" w:type="dxa"/>
            <w:vAlign w:val="bottom"/>
          </w:tcPr>
          <w:p>
            <w:pPr>
              <w:spacing w:after="0"/>
              <w:rPr>
                <w:sz w:val="17"/>
                <w:szCs w:val="17"/>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30"/>
        </w:trPr>
        <w:tc>
          <w:tcPr>
            <w:tcW w:w="4180" w:type="dxa"/>
            <w:vAlign w:val="bottom"/>
            <w:tcBorders>
              <w:top w:val="single" w:sz="8" w:color="CFF0FC"/>
            </w:tcBorders>
            <w:shd w:val="clear" w:color="auto" w:fill="CFF0FC"/>
          </w:tcPr>
          <w:p>
            <w:pPr>
              <w:jc w:val="right"/>
              <w:ind w:right="3710"/>
              <w:spacing w:after="0"/>
              <w:rPr>
                <w:sz w:val="20"/>
                <w:szCs w:val="20"/>
                <w:color w:val="auto"/>
              </w:rPr>
            </w:pPr>
            <w:r>
              <w:rPr>
                <w:rFonts w:ascii="Arial" w:cs="Arial" w:eastAsia="Arial" w:hAnsi="Arial"/>
                <w:sz w:val="18"/>
                <w:szCs w:val="18"/>
                <w:color w:val="auto"/>
                <w:w w:val="89"/>
              </w:rPr>
              <w:t>2018</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4,288</w:t>
            </w:r>
          </w:p>
        </w:tc>
      </w:tr>
      <w:tr>
        <w:trPr>
          <w:trHeight w:val="230"/>
        </w:trPr>
        <w:tc>
          <w:tcPr>
            <w:tcW w:w="4180" w:type="dxa"/>
            <w:vAlign w:val="bottom"/>
          </w:tcPr>
          <w:p>
            <w:pPr>
              <w:jc w:val="right"/>
              <w:ind w:right="3710"/>
              <w:spacing w:after="0"/>
              <w:rPr>
                <w:sz w:val="20"/>
                <w:szCs w:val="20"/>
                <w:color w:val="auto"/>
              </w:rPr>
            </w:pPr>
            <w:r>
              <w:rPr>
                <w:rFonts w:ascii="Arial" w:cs="Arial" w:eastAsia="Arial" w:hAnsi="Arial"/>
                <w:sz w:val="18"/>
                <w:szCs w:val="18"/>
                <w:color w:val="auto"/>
                <w:w w:val="89"/>
              </w:rPr>
              <w:t>2019</w:t>
            </w:r>
          </w:p>
        </w:tc>
        <w:tc>
          <w:tcPr>
            <w:tcW w:w="130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19,696</w:t>
            </w:r>
          </w:p>
        </w:tc>
      </w:tr>
      <w:tr>
        <w:trPr>
          <w:trHeight w:val="230"/>
        </w:trPr>
        <w:tc>
          <w:tcPr>
            <w:tcW w:w="418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9"/>
              </w:rPr>
              <w:t>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w:t>
            </w:r>
          </w:p>
        </w:tc>
      </w:tr>
      <w:tr>
        <w:trPr>
          <w:trHeight w:val="229"/>
        </w:trPr>
        <w:tc>
          <w:tcPr>
            <w:tcW w:w="4180" w:type="dxa"/>
            <w:vAlign w:val="bottom"/>
          </w:tcPr>
          <w:p>
            <w:pPr>
              <w:jc w:val="right"/>
              <w:ind w:right="3710"/>
              <w:spacing w:after="0"/>
              <w:rPr>
                <w:sz w:val="20"/>
                <w:szCs w:val="20"/>
                <w:color w:val="auto"/>
              </w:rPr>
            </w:pPr>
            <w:r>
              <w:rPr>
                <w:rFonts w:ascii="Arial" w:cs="Arial" w:eastAsia="Arial" w:hAnsi="Arial"/>
                <w:sz w:val="18"/>
                <w:szCs w:val="18"/>
                <w:color w:val="auto"/>
                <w:w w:val="89"/>
              </w:rPr>
              <w:t>2021</w:t>
            </w:r>
          </w:p>
        </w:tc>
        <w:tc>
          <w:tcPr>
            <w:tcW w:w="1300" w:type="dxa"/>
            <w:vAlign w:val="bottom"/>
          </w:tcPr>
          <w:p>
            <w:pPr>
              <w:jc w:val="right"/>
              <w:spacing w:after="0"/>
              <w:rPr>
                <w:sz w:val="20"/>
                <w:szCs w:val="20"/>
                <w:color w:val="auto"/>
              </w:rPr>
            </w:pPr>
            <w:r>
              <w:rPr>
                <w:rFonts w:ascii="Arial" w:cs="Arial" w:eastAsia="Arial" w:hAnsi="Arial"/>
                <w:sz w:val="18"/>
                <w:szCs w:val="18"/>
                <w:color w:val="auto"/>
              </w:rPr>
              <w:t>8,708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44,995</w:t>
            </w:r>
          </w:p>
        </w:tc>
      </w:tr>
      <w:tr>
        <w:trPr>
          <w:trHeight w:val="230"/>
        </w:trPr>
        <w:tc>
          <w:tcPr>
            <w:tcW w:w="418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9"/>
              </w:rPr>
              <w:t>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Uncertainties Impacting Financial Results</w:t>
      </w:r>
    </w:p>
    <w:p>
      <w:pPr>
        <w:spacing w:after="0" w:line="19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Our financial condition and operating results have historically fluctuated on a quarterly or annual basis. We expect these periodic fluctuations will continue to be impacted by a number of trends and uncertainties, including the following:</w:t>
      </w:r>
    </w:p>
    <w:p>
      <w:pPr>
        <w:spacing w:after="0" w:line="13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Regulatory Approvals</w:t>
      </w:r>
    </w:p>
    <w:p>
      <w:pPr>
        <w:spacing w:after="0" w:line="185" w:lineRule="exact"/>
        <w:rPr>
          <w:sz w:val="20"/>
          <w:szCs w:val="20"/>
          <w:color w:val="auto"/>
        </w:rPr>
      </w:pPr>
    </w:p>
    <w:p>
      <w:pPr>
        <w:ind w:left="1140" w:right="40" w:hanging="484"/>
        <w:spacing w:after="0" w:line="259" w:lineRule="auto"/>
        <w:tabs>
          <w:tab w:leader="none" w:pos="11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When there are anticipated, and actual, regulatory approvals for our products, or our competitors’ products, customers may reconsider their purchasing decisions and take additional time to consider FDA approval prior to making their purchase, which could adversely impact our revenue and results of operations. Similarly, our sales outside the United States are subject to local government regulations. The requirements and the timeline to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58" w:name="page59"/>
    <w:bookmarkEnd w:id="58"/>
    <w:p>
      <w:pPr>
        <w:ind w:left="1140" w:right="240"/>
        <w:spacing w:after="0" w:line="277" w:lineRule="auto"/>
        <w:rPr>
          <w:sz w:val="20"/>
          <w:szCs w:val="20"/>
          <w:color w:val="auto"/>
        </w:rPr>
      </w:pPr>
      <w:r>
        <w:rPr>
          <w:rFonts w:ascii="Arial" w:cs="Arial" w:eastAsia="Arial" w:hAnsi="Arial"/>
          <w:sz w:val="18"/>
          <w:szCs w:val="18"/>
          <w:color w:val="auto"/>
        </w:rPr>
        <w:t>receive these approvals substantially vary from country to country and may impact our ability to expand our international customer base and increase our cost of sales.</w:t>
      </w:r>
    </w:p>
    <w:p>
      <w:pPr>
        <w:spacing w:after="0" w:line="143" w:lineRule="exact"/>
        <w:rPr>
          <w:sz w:val="20"/>
          <w:szCs w:val="20"/>
          <w:color w:val="auto"/>
        </w:rPr>
      </w:pPr>
    </w:p>
    <w:p>
      <w:pPr>
        <w:ind w:left="1140" w:right="140" w:hanging="484"/>
        <w:spacing w:after="0" w:line="286" w:lineRule="auto"/>
        <w:tabs>
          <w:tab w:leader="none" w:pos="11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failure to receive regulatory clearances and approvals may lead to product recalls or the suspension of our products. Even if a clinical trial meets the required success criteria, the FDA may not accept the results of the trial as sufficient to prove the product’s safety and efficacy. Our competitors are also vulnerable to these uncertainties, which may affect our customer base and sales.</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Product Launches</w:t>
      </w:r>
    </w:p>
    <w:p>
      <w:pPr>
        <w:spacing w:after="0" w:line="185" w:lineRule="exact"/>
        <w:rPr>
          <w:sz w:val="20"/>
          <w:szCs w:val="20"/>
          <w:color w:val="auto"/>
        </w:rPr>
      </w:pPr>
    </w:p>
    <w:p>
      <w:pPr>
        <w:ind w:left="1140" w:right="260" w:hanging="484"/>
        <w:spacing w:after="0" w:line="275" w:lineRule="auto"/>
        <w:tabs>
          <w:tab w:leader="none" w:pos="11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expect our business to be impacted by the introduction of new products, treatment techniques or technologies for the treatment of diabetes by us or our competitors. Customers may defer their purchasing decisions if they believe a new product may be launched in the future. The success of our products is variable and we believe it correlates to market acceptance, anticipated product launches and commercial availability. We currently believe our recently announced Tandem Choice program, and its related financial and accounting impact, my continue to materially impact our business going forward.</w:t>
      </w:r>
    </w:p>
    <w:p>
      <w:pPr>
        <w:spacing w:after="0" w:line="149" w:lineRule="exact"/>
        <w:rPr>
          <w:rFonts w:ascii="Arial" w:cs="Arial" w:eastAsia="Arial" w:hAnsi="Arial"/>
          <w:sz w:val="17"/>
          <w:szCs w:val="17"/>
          <w:color w:val="auto"/>
        </w:rPr>
      </w:pPr>
    </w:p>
    <w:p>
      <w:pPr>
        <w:jc w:val="both"/>
        <w:ind w:left="1140" w:right="500" w:hanging="484"/>
        <w:spacing w:after="0" w:line="263"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revenue and results of operations may be impacted by the failure to secure or retain adequate coverage or reimbursement for our current and future products from third-party payors. Our competitors are also vulnerable to these uncertainties, which may affect our customer base and sales.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Foreign Markets</w:t>
      </w:r>
    </w:p>
    <w:p>
      <w:pPr>
        <w:spacing w:after="0" w:line="185" w:lineRule="exact"/>
        <w:rPr>
          <w:sz w:val="20"/>
          <w:szCs w:val="20"/>
          <w:color w:val="auto"/>
        </w:rPr>
      </w:pPr>
    </w:p>
    <w:p>
      <w:pPr>
        <w:jc w:val="both"/>
        <w:ind w:left="1140" w:right="220" w:hanging="484"/>
        <w:spacing w:after="0" w:line="279" w:lineRule="auto"/>
        <w:tabs>
          <w:tab w:leader="none" w:pos="11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have expanded our business and launched new products in select geographies outside the United States. The ordering patterns of our distributors outside the United States is highly variable from period to period, particularly as our distributors continue to gain familiarity with the markets they are operating. The commencement of operations of our European distribution center in the third quarter also led to downward adjustments to inventory levels from our distributors in late 2022 and early 2023.</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Seasonality</w:t>
      </w:r>
    </w:p>
    <w:p>
      <w:pPr>
        <w:spacing w:after="0" w:line="185" w:lineRule="exact"/>
        <w:rPr>
          <w:sz w:val="20"/>
          <w:szCs w:val="20"/>
          <w:color w:val="auto"/>
        </w:rPr>
      </w:pPr>
    </w:p>
    <w:p>
      <w:pPr>
        <w:ind w:left="1140" w:right="60" w:hanging="484"/>
        <w:spacing w:after="0" w:line="301" w:lineRule="auto"/>
        <w:tabs>
          <w:tab w:leader="none" w:pos="11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Seasonality in the United States is associated with annual insurance deductibles and coinsurance requirements of the medical insurance plans used by our customers and the customers of our distributors. In the United States, we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Macroeconomic Factors</w:t>
      </w:r>
    </w:p>
    <w:p>
      <w:pPr>
        <w:spacing w:after="0" w:line="198" w:lineRule="exact"/>
        <w:rPr>
          <w:sz w:val="20"/>
          <w:szCs w:val="20"/>
          <w:color w:val="auto"/>
        </w:rPr>
      </w:pPr>
    </w:p>
    <w:p>
      <w:pPr>
        <w:ind w:left="1140" w:right="60" w:hanging="484"/>
        <w:spacing w:after="0" w:line="277"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Global economic and market uncertainty, such as recessionary concerns, inflation, changes in discretionary spending and increased interest rates have impacted our customers’ purchasing decisions and the buying patterns of our distributors.</w:t>
      </w:r>
    </w:p>
    <w:p>
      <w:pPr>
        <w:spacing w:after="0" w:line="129" w:lineRule="exact"/>
        <w:rPr>
          <w:rFonts w:ascii="Arial" w:cs="Arial" w:eastAsia="Arial" w:hAnsi="Arial"/>
          <w:sz w:val="18"/>
          <w:szCs w:val="18"/>
          <w:color w:val="auto"/>
        </w:rPr>
      </w:pPr>
    </w:p>
    <w:p>
      <w:pPr>
        <w:ind w:left="1140" w:right="180" w:hanging="484"/>
        <w:spacing w:after="0" w:line="263" w:lineRule="auto"/>
        <w:tabs>
          <w:tab w:leader="none" w:pos="1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lingering effects of COVID-19 have continued to disrupt our relationship with suppliers, third-party manufacturers, healthcare providers, distributors and our existing or potential customers. We are experiencing higher costs as we navigate these global supply chain challenges.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We offer products for people with insulin-dependent diabetes in approximately 25 countries. The t:slim X2 insulin pump is our flagship pump platform. Our other products include disposable insulin cartridges and infusion sets, as well as our complementary t:connect, TDU and mobile application products. Our primary customers are the end customers who use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result in the lowest percent of sales the first quarter of each calendar year and the highest percent in the fourth quarter.</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59" w:name="page60"/>
    <w:bookmarkEnd w:id="59"/>
    <w:p>
      <w:pPr>
        <w:ind w:firstLine="810"/>
        <w:spacing w:after="0" w:line="271" w:lineRule="auto"/>
        <w:rPr>
          <w:sz w:val="20"/>
          <w:szCs w:val="20"/>
          <w:color w:val="auto"/>
        </w:rPr>
      </w:pPr>
      <w:r>
        <w:rPr>
          <w:rFonts w:ascii="Arial" w:cs="Arial" w:eastAsia="Arial" w:hAnsi="Arial"/>
          <w:sz w:val="17"/>
          <w:szCs w:val="17"/>
          <w:color w:val="auto"/>
        </w:rPr>
        <w:t>In September 2022, the Company began offering the Tandem Choice Program to eligible t:slim X2 customers to provide a pathway to ownership of its newest hardware platform for a fee when available. Tandem Choice expires on December 31, 2024. The accounting treatment for Tandem Choice is complex. Initially, the program requires the deferral of some portion of sales for shipments of eligible pumps beginning in the third quarter of 2022. No election is made by the customer at the time of the initial sale, nor does the right offered to the customer impact the economics associated with how or when the initial pump sale is reimbursed. If a customer elects to participate in Tandem Choice at a future date beginning with the launch of our next generation hardware platform, we will recognize the existing deferral, incremental fees received and the associated costs of providing the new hardware at the time of fulfillment. Any remaining deferrals will be recognized at program expiration. At this time, we are not able to estimate the financial impact for the duration of Tandem Choice.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810"/>
        <w:spacing w:after="0" w:line="293" w:lineRule="auto"/>
        <w:rPr>
          <w:sz w:val="20"/>
          <w:szCs w:val="20"/>
          <w:color w:val="auto"/>
        </w:rPr>
      </w:pPr>
      <w:r>
        <w:rPr>
          <w:rFonts w:ascii="Arial" w:cs="Arial" w:eastAsia="Arial" w:hAnsi="Arial"/>
          <w:sz w:val="16"/>
          <w:szCs w:val="16"/>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Therefore, the percentage of pump sales relative to total sales could have a significant impact on our overall gross margin percentage.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have approximately 110 sales territories in the United States, which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198" w:lineRule="exact"/>
        <w:rPr>
          <w:sz w:val="20"/>
          <w:szCs w:val="20"/>
          <w:color w:val="auto"/>
        </w:rPr>
      </w:pPr>
    </w:p>
    <w:p>
      <w:pPr>
        <w:ind w:right="820" w:firstLine="810"/>
        <w:spacing w:after="0" w:line="277" w:lineRule="auto"/>
        <w:rPr>
          <w:sz w:val="20"/>
          <w:szCs w:val="20"/>
          <w:color w:val="auto"/>
        </w:rPr>
      </w:pPr>
      <w:r>
        <w:rPr>
          <w:rFonts w:ascii="Arial" w:cs="Arial" w:eastAsia="Arial" w:hAnsi="Arial"/>
          <w:sz w:val="18"/>
          <w:szCs w:val="18"/>
          <w:color w:val="auto"/>
        </w:rPr>
        <w:t>Acquired IPR&amp;D reflects costs of external research and development projects acquired directly in a transaction other than a business combination, that do not have an alternative future use.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85"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color w:val="auto"/>
        </w:rPr>
        <w:t>Other income and expense primarily consists of interest expense which includes the amortization of debt issuance costs related to our 1.50% Convertible Senior Notes due 2025, interest earned on our cash equivalents and short-term investments, and changes in the fair value of certain common stock warrants which were issued in October 2017 and expired in October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p>
      <w:pPr>
        <w:ind w:right="460" w:firstLine="810"/>
        <w:spacing w:after="0" w:line="342" w:lineRule="auto"/>
        <w:rPr>
          <w:sz w:val="20"/>
          <w:szCs w:val="20"/>
          <w:color w:val="auto"/>
        </w:rPr>
      </w:pPr>
      <w:r>
        <w:rPr>
          <w:rFonts w:ascii="Arial" w:cs="Arial" w:eastAsia="Arial" w:hAnsi="Arial"/>
          <w:sz w:val="16"/>
          <w:szCs w:val="16"/>
          <w:color w:val="auto"/>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59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2"/>
              </w:rPr>
              <w:t>Year Ended December 31,</w:t>
            </w:r>
          </w:p>
        </w:tc>
        <w:tc>
          <w:tcPr>
            <w:tcW w:w="1300" w:type="dxa"/>
            <w:vAlign w:val="bottom"/>
            <w:tcBorders>
              <w:bottom w:val="single" w:sz="8" w:color="auto"/>
            </w:tcBorders>
          </w:tcPr>
          <w:p>
            <w:pPr>
              <w:spacing w:after="0"/>
              <w:rPr>
                <w:sz w:val="24"/>
                <w:szCs w:val="24"/>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588,765</w:t>
            </w:r>
          </w:p>
        </w:tc>
        <w:tc>
          <w:tcPr>
            <w:tcW w:w="60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524,907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415,680</w:t>
            </w: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212,452</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177,892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83,150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801,217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702,799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498,830</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388,231</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326,584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238,310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412,986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376,215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260,520</w:t>
            </w: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204,903</w:t>
            </w: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92,054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63,574</w:t>
            </w:r>
          </w:p>
        </w:tc>
      </w:tr>
      <w:tr>
        <w:trPr>
          <w:trHeight w:val="230"/>
        </w:trPr>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505,834</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353,562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268,477</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(7,957)</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other, net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1,567</w:t>
            </w: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(12,805)</w:t>
            </w: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(17,087)</w:t>
            </w: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(28,325)</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(36,282)</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(1,900)</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(94,594)</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(34,382)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2022 and 2021</w:t>
      </w:r>
    </w:p>
    <w:p>
      <w:pPr>
        <w:spacing w:after="0" w:line="189" w:lineRule="exact"/>
        <w:rPr>
          <w:sz w:val="20"/>
          <w:szCs w:val="20"/>
          <w:color w:val="auto"/>
        </w:rPr>
      </w:pPr>
    </w:p>
    <w:p>
      <w:pPr>
        <w:ind w:right="20" w:firstLine="810"/>
        <w:spacing w:after="0" w:line="311" w:lineRule="auto"/>
        <w:rPr>
          <w:sz w:val="20"/>
          <w:szCs w:val="20"/>
          <w:color w:val="auto"/>
        </w:rPr>
      </w:pPr>
      <w:r>
        <w:rPr>
          <w:rFonts w:ascii="Arial" w:cs="Arial" w:eastAsia="Arial" w:hAnsi="Arial"/>
          <w:sz w:val="16"/>
          <w:szCs w:val="16"/>
          <w:i w:val="1"/>
          <w:iCs w:val="1"/>
          <w:color w:val="auto"/>
        </w:rPr>
        <w:t>Sales</w:t>
      </w:r>
      <w:r>
        <w:rPr>
          <w:rFonts w:ascii="Arial" w:cs="Arial" w:eastAsia="Arial" w:hAnsi="Arial"/>
          <w:sz w:val="16"/>
          <w:szCs w:val="16"/>
          <w:color w:val="auto"/>
        </w:rPr>
        <w:t>. For the year ended December 31, 2022, sales were $801.2 million, which included $212.5 million of sales outside the United States.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2022, we deferred $3.5 million of pump sales as the result of our Tandem Choice program which launched in the third quarter of 2022. For the year ended December 31, 2021, sales were $702.8 million, which included $177.9 million of sales outside the United States.</w:t>
      </w:r>
    </w:p>
    <w:p>
      <w:pPr>
        <w:spacing w:after="0" w:line="108"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color w:val="auto"/>
        </w:rPr>
        <w:t>The increase in worldwide sales of $98.4 million in 2022, as compared to 2021, was driven by a 30% increase in pump-related supply sales, primarily due to 29% growth in our ending estimated worldwide installed base of customers.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Pump</w:t>
            </w:r>
          </w:p>
        </w:tc>
        <w:tc>
          <w:tcPr>
            <w:tcW w:w="16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329,061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319,898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Infusion sets</w:t>
            </w:r>
          </w:p>
        </w:tc>
        <w:tc>
          <w:tcPr>
            <w:tcW w:w="1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181,578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140,387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Cartridges</w:t>
            </w:r>
          </w:p>
        </w:tc>
        <w:tc>
          <w:tcPr>
            <w:tcW w:w="1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63,375</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Tandem Choice program</w:t>
            </w:r>
          </w:p>
        </w:tc>
        <w:tc>
          <w:tcPr>
            <w:tcW w:w="16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Total Sales in the United States</w:t>
            </w:r>
          </w:p>
        </w:tc>
        <w:tc>
          <w:tcPr>
            <w:tcW w:w="16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588,765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524,907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20" w:type="dxa"/>
            <w:vAlign w:val="bottom"/>
            <w:vMerge w:val="restart"/>
          </w:tcPr>
          <w:p>
            <w:pPr>
              <w:jc w:val="right"/>
              <w:ind w:right="17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right="40" w:firstLine="810"/>
        <w:spacing w:after="0" w:line="253" w:lineRule="auto"/>
        <w:rPr>
          <w:sz w:val="20"/>
          <w:szCs w:val="20"/>
          <w:color w:val="auto"/>
        </w:rPr>
      </w:pPr>
      <w:r>
        <w:rPr>
          <w:rFonts w:ascii="Arial" w:cs="Arial" w:eastAsia="Arial" w:hAnsi="Arial"/>
          <w:sz w:val="18"/>
          <w:szCs w:val="18"/>
          <w:color w:val="auto"/>
        </w:rPr>
        <w:t>Pump shipments in the United States were flat compared to the prior year while pump sales benefited from an improvement in average selling prices due in part to price increases, as well as a decrease in sales through the distribution channel. Pump shipments were driven by continued demand for our t:slim X2 insulin pump with Control-IQ technology even with the presence of new competitive product launches during the year. We also faced challenging marketplace dynamics and economic conditions brought on by the global pandemic and a deteriorating macroeconomic environment, with inflation and the threat of recession beginning to impact pump purchasing decisions. Sales of pump-related supplies increased primarily due to a 22% increase in our ending estimated installed base of customers in the United States. Sales to distributors accounted for 65% and 67% of our total sales in the United States for the years ended December 31, 2022 and 2021, respectively. Sales in the United States for the year ended December 31, 2022 were also reduced by a deferral of $3.5 million as the result of the launch of our Tandem Choice program in the third quarter. No comparable program existed in 2021.</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Pump</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102,846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Infusion 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76,912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57,063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35%</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Cartridges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36%</w:t>
            </w:r>
          </w:p>
        </w:tc>
      </w:tr>
      <w:tr>
        <w:trPr>
          <w:trHeight w:val="23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4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1"/>
              </w:rPr>
              <w:t>(16)%</w:t>
            </w:r>
          </w:p>
        </w:tc>
      </w:tr>
      <w:tr>
        <w:trPr>
          <w:trHeight w:val="248"/>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212,452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177,892</w:t>
            </w:r>
          </w:p>
        </w:tc>
        <w:tc>
          <w:tcPr>
            <w:tcW w:w="1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60" w:firstLine="810"/>
        <w:spacing w:after="0" w:line="288" w:lineRule="auto"/>
        <w:rPr>
          <w:sz w:val="20"/>
          <w:szCs w:val="20"/>
          <w:color w:val="auto"/>
        </w:rPr>
      </w:pPr>
      <w:r>
        <w:rPr>
          <w:rFonts w:ascii="Arial" w:cs="Arial" w:eastAsia="Arial" w:hAnsi="Arial"/>
          <w:sz w:val="16"/>
          <w:szCs w:val="16"/>
          <w:color w:val="auto"/>
        </w:rPr>
        <w:t>Pump shipments outside the United States were flat compared to the prior year, with the increase in pump sales attributable to an increase in average selling prices due in part to price increases, as well as positive fluctuations associated with variations in the geographical mix. Sales of pump-related supplies benefited from a 46% increase in our ending estimated installed base of customers outside the United States. The ordering patterns of our distributors outside the United States for pumps and supplies has been, and may continue to be, highly variable from period to period as distributors continue to gain familiarity with the markets in which they operate and the acceptance of our products in those markets evolves. This variability has been compounded by the differing levels of impact from the global pandemic with regard to access to both physicians and customers, as well as shipping logistics. We also commenced operations of a centralized distribution center in the third quarter of 2022, which resulted in modest disruption to ordering patterns in the fourth quarter as a result of the affected European distributors adjusting their inventory levels for the reduced transit time. We expect that this will continue to impact sales levels of pumps and supplies in Europe through the middle of 2023. Sales to distributors accounted for 96% and 95% of our total sales outside the United States for the years ended December 31, 2022 and 2021, respectively.</w:t>
      </w:r>
    </w:p>
    <w:p>
      <w:pPr>
        <w:spacing w:after="0" w:line="141"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year ended December 31, 2022 was $388.2 million, resulting in gross profit of $413.0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$326.6 million and gross profit of $376.2 million for the year ended December 31, 2021. The gross margin for 2022 was 52%, compared to 54% in 2021.</w:t>
      </w:r>
    </w:p>
    <w:p>
      <w:pPr>
        <w:spacing w:after="0" w:line="143"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The increase in our gross profit for the year ended December 31, 2022, was primarily the result of the $98.4 million increase in total sales, driven by increased supply sales. Gross profit and gross margin benefited from an increase in average selling prices as well as improvement in manufacturing efficiencies and leverage of fixed overhead, offsetting the pressure from product mix. The gross margin decline in 2022 was related primarily to certain COVID-related pressures, as well as the introduction of the Tandem Choice program. Gross margin was pressured by more than 1 percentage point from increased pump material costs due to the use of alternative sourcing for raw materials to reduce the risk of component shortages in the near-term and higher freight costs we experienced in 2022. We anticipate that the pressure from increased supply chain and material costs experienced in 2022 will continue into the first half of 2023 as we continue to navigate the challenges of the global pandemic and the economic environment. The impact on gross margin from the Tandem Choice program will fluctuate through the expiration of the program based on the timing of availability of a new hardware platform and the number of eligible customers who ultimately elect to participate.</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70" w:right="459" w:bottom="1440" w:gutter="0" w:footer="0" w:header="0"/>
        </w:sectPr>
      </w:pPr>
    </w:p>
    <w:bookmarkStart w:id="62" w:name="page63"/>
    <w:bookmarkEnd w:id="62"/>
    <w:p>
      <w:pPr>
        <w:ind w:right="40" w:firstLine="810"/>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28% to $335.7 million for the year ended December 31, 2022, from</w:t>
      </w:r>
      <w:r>
        <w:rPr>
          <w:rFonts w:ascii="Arial" w:cs="Arial" w:eastAsia="Arial" w:hAnsi="Arial"/>
          <w:sz w:val="16"/>
          <w:szCs w:val="16"/>
          <w:i w:val="1"/>
          <w:iCs w:val="1"/>
          <w:color w:val="auto"/>
        </w:rPr>
        <w:t xml:space="preserve"> </w:t>
      </w:r>
      <w:r>
        <w:rPr>
          <w:rFonts w:ascii="Arial" w:cs="Arial" w:eastAsia="Arial" w:hAnsi="Arial"/>
          <w:sz w:val="16"/>
          <w:szCs w:val="16"/>
          <w:color w:val="auto"/>
        </w:rPr>
        <w:t>$261.5 million for the same period in 2021. Employee-related expenses for our SG&amp;A functions comprise the majority of SG&amp;A expenses. The increase compared to 2021 was primarily the result of a $43.8 million increase in salaries, incentive compensation, non-cash stock based compensation, and other employee benefits due primarily to an increase in personnel to expand the number of sales territories in the United States from approximately 95 in 2021 to 110 in 2022, and provide continued support services for our growing installed customer base. Discretionary expenses included an increase of $21.5 million, of which a $12.4 million non-recurring charge for facilities consolidation was recorded in the fourth quarter of 2022, and $9.1 million of lease expenses were incurred throughout the year during the construction phase of our new Tech Center facility (see Note 6, “Leases”). We also experienced an $11.6 million increase in other non-employee discretionary spending, primarily attributable to equipment, outside services, and travel.</w:t>
      </w:r>
    </w:p>
    <w:p>
      <w:pPr>
        <w:spacing w:after="0" w:line="138"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51% to $139.1 million for the year ended December 31, 2022, from $92.1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2021. The increase in R&amp;D expenses was primarily the result of an increase of $32.4 million in salaries, incentive compensation, non-cash stock based compensation, and other employee benefits due to an increase in personnel to support our product development efforts. We also experienced a $15.0 million increase in other non-employee discretionary spending, including outside consulting and services, clinical trial expenses, information technology and equipment costs attributable to R&amp;D.</w:t>
      </w:r>
    </w:p>
    <w:p>
      <w:pPr>
        <w:spacing w:after="0" w:line="147" w:lineRule="exact"/>
        <w:rPr>
          <w:sz w:val="20"/>
          <w:szCs w:val="20"/>
          <w:color w:val="auto"/>
        </w:rPr>
      </w:pPr>
    </w:p>
    <w:p>
      <w:pPr>
        <w:ind w:right="160" w:firstLine="810"/>
        <w:spacing w:after="0" w:line="263" w:lineRule="auto"/>
        <w:rPr>
          <w:sz w:val="20"/>
          <w:szCs w:val="20"/>
          <w:color w:val="auto"/>
        </w:rPr>
      </w:pPr>
      <w:r>
        <w:rPr>
          <w:rFonts w:ascii="Arial" w:cs="Arial" w:eastAsia="Arial" w:hAnsi="Arial"/>
          <w:sz w:val="18"/>
          <w:szCs w:val="18"/>
          <w:i w:val="1"/>
          <w:iCs w:val="1"/>
          <w:color w:val="auto"/>
        </w:rPr>
        <w:t xml:space="preserve">Acquired In-Process Research and Development Expenses. </w:t>
      </w:r>
      <w:r>
        <w:rPr>
          <w:rFonts w:ascii="Arial" w:cs="Arial" w:eastAsia="Arial" w:hAnsi="Arial"/>
          <w:sz w:val="18"/>
          <w:szCs w:val="18"/>
          <w:color w:val="auto"/>
        </w:rPr>
        <w:t>Acquired IPR&amp;D expenses of $31.0 million for the year ended December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the value of assets acquired, and acquisition related expenses in connection with our acquisition of Capillary Biomedical (see Note 12, “Acquisitions”).</w:t>
      </w:r>
    </w:p>
    <w:p>
      <w:pPr>
        <w:spacing w:after="0" w:line="143" w:lineRule="exact"/>
        <w:rPr>
          <w:sz w:val="20"/>
          <w:szCs w:val="20"/>
          <w:color w:val="auto"/>
        </w:rPr>
      </w:pPr>
    </w:p>
    <w:p>
      <w:pPr>
        <w:ind w:right="180" w:firstLine="810"/>
        <w:spacing w:after="0" w:line="293"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Total other expense, net for the year ended December 31, 2022 was $4,000, compared to $6.8 million in 2021.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for 2022 primarily consisted of $6.2 million of interest expense which included the amortization of debt issuance costs related to our Convertible Senior Notes, offset by $6.1 million of interest income earned on our cash equivalents and short-term investments. Other expense for 2021 consisted primarily of $6.0 million of interest expense which included amortization of debt issuance costs related to our Notes, and an $1.4 million revaluation loss from the change in the fair value of certain warrants, offset by $0.7 million of interest income earned on our cash equivalents and short-term investments. Interest income increased in 2022 primarily due to the higher interest rate environment as compared to 2021.</w:t>
      </w:r>
    </w:p>
    <w:p>
      <w:pPr>
        <w:spacing w:after="0" w:line="137"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We recognized income tax expense of $1.7 million on a pre-tax loss of $92.9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compared to income tax expense of $0.3 million on a pre-tax gain of $15.9 million for the same period in 2021. The income tax expense for the year ended December 31, 2022 was primarily attributable to federal, state and foreign income tax expense as a result of current taxable income in those jurisdictions. Income tax expense for the year ended December 31, 2021 was primarily attributable to state and foreign income tax expense as a result of current taxable income in those jurisdictions.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189" w:lineRule="exact"/>
        <w:rPr>
          <w:sz w:val="20"/>
          <w:szCs w:val="20"/>
          <w:color w:val="auto"/>
        </w:rPr>
      </w:pPr>
    </w:p>
    <w:p>
      <w:pPr>
        <w:ind w:right="140" w:firstLine="810"/>
        <w:spacing w:after="0" w:line="308" w:lineRule="auto"/>
        <w:rPr>
          <w:sz w:val="20"/>
          <w:szCs w:val="20"/>
          <w:color w:val="auto"/>
        </w:rPr>
      </w:pPr>
      <w:r>
        <w:rPr>
          <w:rFonts w:ascii="Arial" w:cs="Arial" w:eastAsia="Arial" w:hAnsi="Arial"/>
          <w:sz w:val="17"/>
          <w:szCs w:val="17"/>
          <w:i w:val="1"/>
          <w:iCs w:val="1"/>
          <w:color w:val="auto"/>
        </w:rPr>
        <w:t>Sales</w:t>
      </w:r>
      <w:r>
        <w:rPr>
          <w:rFonts w:ascii="Arial" w:cs="Arial" w:eastAsia="Arial" w:hAnsi="Arial"/>
          <w:sz w:val="17"/>
          <w:szCs w:val="17"/>
          <w:color w:val="auto"/>
        </w:rPr>
        <w:t>. For the year ended December 31, 2021, sales were $702.8 million, which included $177.9 million of sales outside the United States.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2020, sales were $498.8 million, which included $83.2 million of sales outside the United States.</w:t>
      </w:r>
    </w:p>
    <w:p>
      <w:pPr>
        <w:spacing w:after="0" w:line="119"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auto"/>
        </w:rPr>
        <w:t>The increase in worldwide sales of $204.0 million in 2021, as compared to 2020, was primarily driven by a 41% increase in worldwide pump shipments to 128,312 in 2021, compared to 90,771 in 2020, and a 56% increase in pump-related supply sales. Sales of pump-related supplies increased primarily due to a 52% growth in our ending estimated worldwide installed base of customers.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in the United States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Pump</w:t>
            </w:r>
          </w:p>
        </w:tc>
        <w:tc>
          <w:tcPr>
            <w:tcW w:w="20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319,898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269,856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Infusion sets</w:t>
            </w:r>
          </w:p>
        </w:tc>
        <w:tc>
          <w:tcPr>
            <w:tcW w:w="2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140,387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99,743</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Cartridges</w:t>
            </w:r>
          </w:p>
        </w:tc>
        <w:tc>
          <w:tcPr>
            <w:tcW w:w="2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45,342</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4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8"/>
              </w:rPr>
              <w:t>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Sales in the United States</w:t>
            </w:r>
          </w:p>
        </w:tc>
        <w:tc>
          <w:tcPr>
            <w:tcW w:w="20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524,907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415,680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62</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3" w:name="page64"/>
    <w:bookmarkEnd w:id="63"/>
    <w:p>
      <w:pPr>
        <w:ind w:right="140" w:firstLine="810"/>
        <w:spacing w:after="0" w:line="296" w:lineRule="auto"/>
        <w:rPr>
          <w:sz w:val="20"/>
          <w:szCs w:val="20"/>
          <w:color w:val="auto"/>
        </w:rPr>
      </w:pPr>
      <w:r>
        <w:rPr>
          <w:rFonts w:ascii="Arial" w:cs="Arial" w:eastAsia="Arial" w:hAnsi="Arial"/>
          <w:sz w:val="16"/>
          <w:szCs w:val="16"/>
          <w:color w:val="auto"/>
        </w:rPr>
        <w:t>Pump sales in the United States were $319.9 million for the year ended December 31, 2021, compared to $269.9 million in the year ended December 31, 2020, as pump shipments increased 18% compared to the prior year due to continued strong demand for our t:slim X2 insulin pump with Control-IQ technology despite the challenging COVID-19 environment which impacted the availability of both customers and healthcare providers. Sales of pump-related supplies increased primarily due to a 39% increase in our ending estimated installed base of customers in the United States. Sales to distributors accounted for 67% and 70% of our total sales in the United States for the years ended December 31, 2021 and 2020, respectively.</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Sales by product outside the United States were as follows (in thousands):</w:t>
      </w:r>
    </w:p>
    <w:p>
      <w:pPr>
        <w:spacing w:after="0" w:line="12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Pump</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44,851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Infusion 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57,063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28,016</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r>
      <w:tr>
        <w:trPr>
          <w:trHeight w:val="23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Cartridges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138%</w:t>
            </w:r>
          </w:p>
        </w:tc>
      </w:tr>
      <w:tr>
        <w:trPr>
          <w:trHeight w:val="229"/>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4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6"/>
              </w:rPr>
              <w:t>116%</w:t>
            </w:r>
          </w:p>
        </w:tc>
      </w:tr>
      <w:tr>
        <w:trPr>
          <w:trHeight w:val="248"/>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 Outside the United States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177,892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83,150</w:t>
            </w:r>
          </w:p>
        </w:tc>
        <w:tc>
          <w:tcPr>
            <w:tcW w:w="14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6"/>
              </w:rPr>
              <w:t>114%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Pump sales outside the United States were $96.5 million for the year ended December 31, 2021, compared to $44.9 million in the year ended December 31, 2020. Pump shipments increased 126% compared to the prior year due to strong demand for our products as we continued to expand the launch of our Control-IQ technology, which began in the third quarter of 2020 outside the United States. Sales of pump-related supplies increased primarily due to an 102% increase in our ending estimated installed base of customers outside the United States. The ordering patterns of our distributors outside the United States for pumps and supplies is highly variable from period to period as they continue to gain familiarity with the markets in which they operate and the acceptance of our products in those markets. This variability was compounded by the differing levels of impact from the global pandemic with regard to access to both physicians and customers. Sales to distributors accounted for 95% and 94% of our total sales outside the United States for the years ended December 31, 2021 and 2020, respectively.</w:t>
      </w:r>
    </w:p>
    <w:p>
      <w:pPr>
        <w:spacing w:after="0" w:line="151" w:lineRule="exact"/>
        <w:rPr>
          <w:sz w:val="20"/>
          <w:szCs w:val="20"/>
          <w:color w:val="auto"/>
        </w:rPr>
      </w:pPr>
    </w:p>
    <w:p>
      <w:pPr>
        <w:jc w:val="both"/>
        <w:ind w:right="20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year ended December 31, 2021 was $326.6 million, resulting in gross profit of $376.2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$238.3 million and gross profit of $260.5 million for the year ended December 31, 2020. The gross margin for 2021 was 54%, compared to 52% in 2020.</w:t>
      </w:r>
    </w:p>
    <w:p>
      <w:pPr>
        <w:spacing w:after="0" w:line="143"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increase in our gross profit for the year ended December 31, 2021, was primarily the result of the $204.0 million increase in total sales. Gross profit and gross margin both benefited from improvement in the per unit manufacturing costs for pumps and supplies from efficiencies in the manufacturing process, leverage of fixed overhead, increased volumes from our third-party cartridge manufacturer as well as labor and material cost reductions. On an aggregate basis, non-manufacturing costs, which primarily consist of warranty, royalty, freight, training and digital health product support costs, also reflected improvement on a per unit basis. To a lesser extent, overall average selling prices slightly pressured gross margin as pump sales outside the United States comprised a greater portion of total pump sales compared to the prior year, while supply average selling prices reflected modest benefit from the growth of our installed base of customers outside the United States. Pump sales, which have the highest gross margin, were 59% of total worldwide sales for the year ended December 31, 2021, compared to 63% in 2020. Non-cash stock-based compensation expense allocated to cost of sales was $6.4 million for the year ended December 31, 2021, compared to $8.2 million in 2020, representing 1% and 2% of sales in those periods, respectively.</w:t>
      </w:r>
    </w:p>
    <w:p>
      <w:pPr>
        <w:spacing w:after="0" w:line="126"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28% to $261.5 million for the year ended December 31,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$204.9 million for the same period in 2020. Employee-related expenses for our SG&amp;A functions comprise the majority of SG&amp;A expenses. The increase compared to 2020 was primarily the result of a $43.9 million increase in salaries, incentive compensation and other employee benefits due to an increase in personnel to support additional sales territories, higher sales and other services in support of our growing installed customer base. We also experienced a $12.7 million increase in other non-employee discretionary spending for software maintenance, outside consulting and services and supplies.</w:t>
      </w:r>
    </w:p>
    <w:p>
      <w:pPr>
        <w:spacing w:after="0" w:line="134" w:lineRule="exact"/>
        <w:rPr>
          <w:sz w:val="20"/>
          <w:szCs w:val="20"/>
          <w:color w:val="auto"/>
        </w:rPr>
      </w:pPr>
    </w:p>
    <w:p>
      <w:pPr>
        <w:ind w:firstLine="810"/>
        <w:spacing w:after="0" w:line="279"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R&amp;D expenses increased 45% to $92.1 million for the year ended December 31, 2021, from $63.6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same period in 2020. The increase in R&amp;D expenses was primarily the result of an increase of $20.7 million in salaries, incentive compensation and other employee benefits due to an increase in personnel to support our product development efforts, as well as a $7.8 million increase in other non-employee discretionary spending, including outside consulting and services, equipment and supplies attributable to R&amp;D.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4" w:name="page65"/>
    <w:bookmarkEnd w:id="64"/>
    <w:p>
      <w:pPr>
        <w:ind w:right="140" w:firstLine="810"/>
        <w:spacing w:after="0" w:line="271"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Total other expense, net for the year ended December 31, 2021 was $6.8 million, compared to $28.3 million in 2020.</w:t>
      </w:r>
      <w:r>
        <w:rPr>
          <w:rFonts w:ascii="Arial" w:cs="Arial" w:eastAsia="Arial" w:hAnsi="Arial"/>
          <w:sz w:val="17"/>
          <w:szCs w:val="17"/>
          <w:i w:val="1"/>
          <w:iCs w:val="1"/>
          <w:color w:val="auto"/>
        </w:rPr>
        <w:t xml:space="preserve"> </w:t>
      </w:r>
      <w:r>
        <w:rPr>
          <w:rFonts w:ascii="Arial" w:cs="Arial" w:eastAsia="Arial" w:hAnsi="Arial"/>
          <w:sz w:val="17"/>
          <w:szCs w:val="17"/>
          <w:color w:val="auto"/>
        </w:rPr>
        <w:t>Other expense for 2021 primarily consisted of $6.0 million of interest expense which included the amortization of debt issuance costs related to our Notes issued in the second quarter of 2020, and a $1.4 million revaluation loss from the change in the fair value of certain warrants. Other expense for 2020 consisted primarily of a $17.1 million revaluation loss from the change in the fair value of certain warrants, and $12.8 million of interest expense which included the amortization of debt discount and debt issuance costs related to our Notes. The decrease in interest expense in 2021 was primarily due to the adoption of ASU No. 2020-06 in the first quarter of 2021 (see Note 7, “Debt”). Interest income and other, for the years ended December 31, 2021 and 2020, primarily consisted of interest earned on our cash equivalents and short-term investments, which decreased in 2021 primarily due to the lower interest rate environment as compared to 2020.</w:t>
      </w:r>
    </w:p>
    <w:p>
      <w:pPr>
        <w:spacing w:after="0" w:line="151"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We recognized income tax expense of $0.3 million on pre-tax income of $15.9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compared to an income tax benefit of $1.9 million on a pre-tax loss of $36.3 million for the same period in 2020. Income tax expense for the year ended December 31, 2021 was primarily attributable to state and foreign income tax expense as a result of current taxable income in those jurisdictions. The income tax benefit for the year ended December 31, 2020 was primarily due to benefit associated with the release of valuation allowance related to the acquisition of Sugarmate, partially offset by state and foreign income tax expense as a result of current taxable income in those jurisdictions.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60" w:firstLine="810"/>
        <w:spacing w:after="0" w:line="259" w:lineRule="auto"/>
        <w:rPr>
          <w:sz w:val="20"/>
          <w:szCs w:val="20"/>
          <w:color w:val="auto"/>
        </w:rPr>
      </w:pPr>
      <w:r>
        <w:rPr>
          <w:rFonts w:ascii="Arial" w:cs="Arial" w:eastAsia="Arial" w:hAnsi="Arial"/>
          <w:sz w:val="18"/>
          <w:szCs w:val="18"/>
          <w:color w:val="auto"/>
        </w:rPr>
        <w:t>At December 31, 2022, we had $616.9 million in cash and cash equivalents and short-term investments. In addition, we had a total available balance of $95.1 million at December 31, 2022 under our Revolving Line of Credit (the Line of Credit), which expires in May 2025 (see Note 7, “Debt”). We believe that our cash and cash equivalents, short-term investments, borrowing availability under the Line of Credit, and future cash flows from operations will be sufficient to fund our ongoing core business activities.</w:t>
      </w:r>
    </w:p>
    <w:p>
      <w:pPr>
        <w:spacing w:after="0" w:line="160"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exercises of employee stock awards, and debt financing.</w:t>
      </w:r>
    </w:p>
    <w:p>
      <w:pPr>
        <w:spacing w:after="0" w:line="130" w:lineRule="exact"/>
        <w:rPr>
          <w:sz w:val="20"/>
          <w:szCs w:val="20"/>
          <w:color w:val="auto"/>
        </w:rPr>
      </w:pPr>
    </w:p>
    <w:p>
      <w:pPr>
        <w:jc w:val="both"/>
        <w:ind w:right="40" w:firstLine="810"/>
        <w:spacing w:after="0" w:line="263"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years ended December 31, 2022, 2021 and 2020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5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0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50,464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111,359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24,669</w:t>
            </w:r>
          </w:p>
        </w:tc>
      </w:tr>
      <w:tr>
        <w:trPr>
          <w:trHeight w:val="230"/>
        </w:trPr>
        <w:tc>
          <w:tcPr>
            <w:tcW w:w="65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33,168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(186,876)</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(296,056)</w:t>
            </w: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314,438</w:t>
            </w:r>
          </w:p>
        </w:tc>
      </w:tr>
      <w:tr>
        <w:trPr>
          <w:trHeight w:val="23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43,438</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was $50.5 million for the year ended December 31, 2022,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$111.4 million and $24.7 million, respectively, for the years ended December 31, 2021 and 2020.</w:t>
      </w:r>
    </w:p>
    <w:p>
      <w:pPr>
        <w:spacing w:after="0" w:line="197"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The reduction in net cash provided by operating activities for 2022 compared to 2021 was primarily a result of the $110.2 million increase in net loss, as well as net working capital changes. Working capital changes during 2022, primarily consisted of increases in inventories, accounts receivable, accounts payable, and operating leases and other current liabilities. Accounts receivable increased to $114.7 million at December 31, 2022 from $110.7 million at December 31, 2021, as a result of higher sales in the fourth quarter of 2022 as compared to the fourth quarter of 2021. Inventories increased to $111.1 million at December 31, 2022 from $68.6 million at December 31, 2021.</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5" w:name="page66"/>
    <w:bookmarkEnd w:id="65"/>
    <w:p>
      <w:pPr>
        <w:ind w:right="120" w:firstLine="810"/>
        <w:spacing w:after="0" w:line="275" w:lineRule="auto"/>
        <w:rPr>
          <w:sz w:val="20"/>
          <w:szCs w:val="20"/>
          <w:color w:val="auto"/>
        </w:rPr>
      </w:pPr>
      <w:r>
        <w:rPr>
          <w:rFonts w:ascii="Arial" w:cs="Arial" w:eastAsia="Arial" w:hAnsi="Arial"/>
          <w:sz w:val="17"/>
          <w:szCs w:val="17"/>
          <w:color w:val="auto"/>
        </w:rPr>
        <w:t>The improvement to net cash provided by operating activities for 2021 compared to 2020 was driven by higher sales and gross profit in 2021, which resulted in a $35.7 million improvement to net income when adjusted for non-cash expenses, particularly stock-based compensation expense and depreciation and amortization expense, as well as a $51.0 million increase from net working capital changes. Working capital changes in 2021 primarily consisted of increases in accounts payable, employee-related liabilities, deferred revenue, and other current and long-term liabilities, offset by increases in accounts receivable and inventories, all of which were related to the growth in our business.</w:t>
      </w:r>
    </w:p>
    <w:p>
      <w:pPr>
        <w:spacing w:after="0" w:line="136"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Net cash provided by investing activities was $33.2 million for the year ended December 31, 2022, which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$569.5 million in proceeds from maturities and redemptions of short-term investments, offset by $467.7 million of purchases of short-term investments, $34.1 million in purchases of property and equipment, $25.7 million for the acquisition of Capillary Biomedical, including $1.0 million of transaction costs, and $8.9 million cash paid for purchases of intangible assets and strategic investments. Net cash used by investing activities was $186.9 million for the year ended December 31, 2021, which was primarily related to $733.4 million of purchases of short-term investments, $14.2 million in purchases of property and equipment, and $9.3 million cash paid for purchases of intangible assets and strategic investments, offset by $570.0 million in proceeds from maturities and redemptions of short-term investments. Net cash used by investing activities was $296.1 million for the year ended December 31, 2020, which was primarily related to purchases of short-term investments of $497.1 million using the net proceeds from the issuance of our convertible senior notes in May of 2020, and $27.4 million in purchases of property and equipment, offset by $233.3 million in proceeds from maturities and redemptions of short-term investments.</w:t>
      </w:r>
    </w:p>
    <w:p>
      <w:pPr>
        <w:spacing w:after="0" w:line="158" w:lineRule="exact"/>
        <w:rPr>
          <w:sz w:val="20"/>
          <w:szCs w:val="20"/>
          <w:color w:val="auto"/>
        </w:rPr>
      </w:pPr>
    </w:p>
    <w:p>
      <w:pPr>
        <w:ind w:right="100" w:firstLine="810"/>
        <w:spacing w:after="0" w:line="273"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financing activities was $16.9 million for the year ended December 31, 2022,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proceeds from the issuance of common stock under our stock plans. Net cash provided by financing activities was $51.9 million for the year ended December 31, 2021, which primarily consisted of proceeds from the issuance of common stock under our stock plans. Net cash provided by financing activities was $314.4 million for the year ended December 31, 2020, which primarily consisted of $278.7 million in proceeds from the issuance of the Convertible Senior Notes which was partially offset by $34.1 million in payments related to the Capped Call Transactions (see Note 7, “Debt”), and $66.9 million in proceeds from the issuance of common stock under our stock plans.</w:t>
      </w:r>
    </w:p>
    <w:p>
      <w:pPr>
        <w:spacing w:after="0" w:line="137"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800" w:right="320" w:hanging="496"/>
        <w:spacing w:after="0" w:line="277" w:lineRule="auto"/>
        <w:tabs>
          <w:tab w:leader="none" w:pos="17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780" w:hanging="476"/>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amount of proceeds from the issuance of equity awards pursuant to employee stock plans;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800" w:right="640" w:hanging="496"/>
        <w:spacing w:after="0" w:line="277" w:lineRule="auto"/>
        <w:tabs>
          <w:tab w:leader="none" w:pos="17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Both our primary short-term and long-term capital needs are expected to include expenditures related to:</w:t>
      </w:r>
    </w:p>
    <w:p>
      <w:pPr>
        <w:spacing w:after="0" w:line="225" w:lineRule="exact"/>
        <w:rPr>
          <w:sz w:val="20"/>
          <w:szCs w:val="20"/>
          <w:color w:val="auto"/>
        </w:rPr>
      </w:pPr>
    </w:p>
    <w:p>
      <w:pPr>
        <w:ind w:left="1780" w:hanging="476"/>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w:t>
      </w:r>
    </w:p>
    <w:p>
      <w:pPr>
        <w:spacing w:after="0" w:line="225" w:lineRule="exact"/>
        <w:rPr>
          <w:rFonts w:ascii="Arial" w:cs="Arial" w:eastAsia="Arial" w:hAnsi="Arial"/>
          <w:sz w:val="18"/>
          <w:szCs w:val="18"/>
          <w:color w:val="auto"/>
        </w:rPr>
      </w:pPr>
    </w:p>
    <w:p>
      <w:pPr>
        <w:ind w:left="1800" w:right="380" w:hanging="496"/>
        <w:spacing w:after="0" w:line="277" w:lineRule="auto"/>
        <w:tabs>
          <w:tab w:leader="none" w:pos="17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for the development, improvement and acquisition of manufacturing, testing and packaging equipment to support business growth and increase capacity;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6" w:name="page67"/>
    <w:bookmarkEnd w:id="66"/>
    <w:p>
      <w:pPr>
        <w:ind w:left="1780" w:hanging="476"/>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rFonts w:ascii="Arial" w:cs="Arial" w:eastAsia="Arial" w:hAnsi="Arial"/>
          <w:sz w:val="18"/>
          <w:szCs w:val="18"/>
          <w:color w:val="auto"/>
        </w:rPr>
      </w:pPr>
    </w:p>
    <w:p>
      <w:pPr>
        <w:ind w:left="1780" w:hanging="476"/>
        <w:spacing w:after="0"/>
        <w:tabs>
          <w:tab w:leader="none" w:pos="1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acquisition and subsequent integration of businesses, products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5"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May 2020, we entered into a purchase agreement with certain counterparties for the sale of an aggregate of $287.5 million principal amount of 1.50% Convertible Senior Notes due 2025 in a private offering to qualified institutional buyers (the Notes). The proceeds from the issuance of the Notes were $244.6 million, net of debt issuance costs and cash used to pay the cost of the Capped Call Transactions (see Note 7, “Debt”). The Notes are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payments due by calendar year for our Convertible Senior Notes at December 31, 2022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2025</w:t>
            </w:r>
          </w:p>
        </w:tc>
      </w:tr>
      <w:tr>
        <w:trPr>
          <w:trHeight w:val="226"/>
        </w:trPr>
        <w:tc>
          <w:tcPr>
            <w:tcW w:w="546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Principal amount of convertible senior notes</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Contractual interest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10,782</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r>
        <w:trPr>
          <w:trHeight w:val="248"/>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298,282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289,656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8"/>
        <w:spacing w:after="0" w:line="277"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Convertible Senior Notes may be settled in cash, shares of our common stock, or a combination of cash and shares of our common stock, at our election.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Payable</w:t>
      </w:r>
    </w:p>
    <w:p>
      <w:pPr>
        <w:spacing w:after="0" w:line="185" w:lineRule="exact"/>
        <w:rPr>
          <w:sz w:val="20"/>
          <w:szCs w:val="20"/>
          <w:color w:val="auto"/>
        </w:rPr>
      </w:pPr>
    </w:p>
    <w:p>
      <w:pPr>
        <w:ind w:right="60" w:firstLine="810"/>
        <w:spacing w:after="0" w:line="286" w:lineRule="auto"/>
        <w:rPr>
          <w:sz w:val="20"/>
          <w:szCs w:val="20"/>
          <w:color w:val="auto"/>
        </w:rPr>
      </w:pPr>
      <w:r>
        <w:rPr>
          <w:rFonts w:ascii="Arial" w:cs="Arial" w:eastAsia="Arial" w:hAnsi="Arial"/>
          <w:sz w:val="17"/>
          <w:szCs w:val="17"/>
          <w:color w:val="auto"/>
        </w:rPr>
        <w:t>In connection with our acquisition of Capillary Biomedical, Inc. (see Note 12, “Acquisitions”), we assumed $4.7 million of long-term debt. The promissory note accrues interest at the rate of 5% per year, becomes due and payable upon the first sale or license of the commercialized product, and is included as a component of other long-term liabilities on the consolidated balance sheet at December 31,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&amp; 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jc w:val="both"/>
        <w:ind w:right="80" w:firstLine="810"/>
        <w:spacing w:after="0" w:line="263" w:lineRule="auto"/>
        <w:rPr>
          <w:sz w:val="20"/>
          <w:szCs w:val="20"/>
          <w:color w:val="auto"/>
        </w:rPr>
      </w:pPr>
      <w:r>
        <w:rPr>
          <w:rFonts w:ascii="Arial" w:cs="Arial" w:eastAsia="Arial" w:hAnsi="Arial"/>
          <w:sz w:val="18"/>
          <w:szCs w:val="18"/>
          <w:color w:val="auto"/>
        </w:rPr>
        <w:t>We lease general office space, laboratory, manufacturing and warehouse facilities, and equipment under noncancelable operating leases for use in our operations. For a description of our contractual obligations related to leases at December 31, 2022, see Note 6 “Leases” to the consolidated financial statements in Part II, Item 8 of this Annual Report.</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Purchase Order Commitments</w:t>
      </w:r>
    </w:p>
    <w:p>
      <w:pPr>
        <w:spacing w:after="0" w:line="185" w:lineRule="exact"/>
        <w:rPr>
          <w:sz w:val="20"/>
          <w:szCs w:val="20"/>
          <w:color w:val="auto"/>
        </w:rPr>
      </w:pPr>
    </w:p>
    <w:p>
      <w:pPr>
        <w:ind w:right="120" w:firstLine="810"/>
        <w:spacing w:after="0" w:line="263" w:lineRule="auto"/>
        <w:rPr>
          <w:sz w:val="20"/>
          <w:szCs w:val="20"/>
          <w:color w:val="auto"/>
        </w:rPr>
      </w:pPr>
      <w:r>
        <w:rPr>
          <w:rFonts w:ascii="Arial" w:cs="Arial" w:eastAsia="Arial" w:hAnsi="Arial"/>
          <w:sz w:val="18"/>
          <w:szCs w:val="18"/>
          <w:color w:val="auto"/>
        </w:rPr>
        <w:t>We have agreements with suppliers and other parties to purchase inventory, other goods and services and long-lived assets. For a description of our contractual obligations related to purchase order commitments at December 31, 2022, see Note 13 “Commitments and Contingencies” to the consolidated financial statements in Part II, Item 8 of this Annual Report.</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98"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In connection with our acquisition of AMF Medical SA completed in January of 2023 (see Note 15, “Subsequent Event” to the consolidated financial statements in Part II, Item 8 of this Annual Report), the total consideration includes cash paid at the closing of the transaction and additional contingent earnout payments. The additional earnout payments of up to CHF 129.6 million, in aggregate, become payable upon the achievement of certain milestones and are comprised of a payment of up to CHF 38.4 million upon the successful completion of key development milestones over the next two years, and a payment of up to CHF 91.2 million upon obtaining regulatory clearance of an automated controller enabled (ACE) pump by the United States Food and Drug Administration.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As of December 31, 2022, we are a party to certain standby letter of credit arrangements in support of our operating lease obligations. For a description of the arrangements we consider significant, see Note 13 “Commitments and Contingencies” to the consolidated financial statements in Part II, Item 8 of this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189"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spacing w:after="0" w:line="150"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While our significant accounting policies are more fully described in Note 2 “Summary of Significant Accounting Policies” to our consolidated financial statements included in this Annual Report, we believe that the following accounting policies are the most critical to the judgments and estimates used in the preparation of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60" w:firstLine="810"/>
        <w:spacing w:after="0" w:line="286" w:lineRule="auto"/>
        <w:rPr>
          <w:sz w:val="20"/>
          <w:szCs w:val="20"/>
          <w:color w:val="auto"/>
        </w:rPr>
      </w:pPr>
      <w:r>
        <w:rPr>
          <w:rFonts w:ascii="Arial" w:cs="Arial" w:eastAsia="Arial" w:hAnsi="Arial"/>
          <w:sz w:val="16"/>
          <w:szCs w:val="16"/>
          <w:color w:val="auto"/>
        </w:rPr>
        <w:t>Our revenue is generated primarily from sales of our insulin pumps, disposable insulin cartridges and infusion sets to individual customers with third-party insurance coverage and through a network of distributors that resell the products to insulin-dependent diabetes customers. We are paid directly by customers who use the products, distributors and third-party insurance payors. We recognize revenue when control of our products is transferred to our customers in an amount that reflects the consideration we expect to receive from our customers in exchange for those products, net of estimated returns.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Revenue recognition for contracts with multiple performance obligations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product to the customer, meaning the customer has the ability to direct the use of and obtain the benefit from the product. Complementary products, such as the t:connect cloud-based data management application and the Tandem Device Updater, are considered distinct performance obligations satisfied over time, as access and support for these products is provided throughout the typical four-year warranty period of the insulin pumps. Accordingly, revenue related to the complementary products is deferred and recognized over a four-year period. When there is no standalone value for the complementary product, we determine its value by applying the expected cost plus a margin approach and then allocate the residual to the insulin pumps.</w:t>
      </w:r>
    </w:p>
    <w:p>
      <w:pPr>
        <w:spacing w:after="0" w:line="159" w:lineRule="exact"/>
        <w:rPr>
          <w:sz w:val="20"/>
          <w:szCs w:val="20"/>
          <w:color w:val="auto"/>
        </w:rPr>
      </w:pPr>
    </w:p>
    <w:p>
      <w:pPr>
        <w:ind w:right="240" w:firstLine="810"/>
        <w:spacing w:after="0" w:line="301" w:lineRule="auto"/>
        <w:rPr>
          <w:sz w:val="20"/>
          <w:szCs w:val="20"/>
          <w:color w:val="auto"/>
        </w:rPr>
      </w:pPr>
      <w:r>
        <w:rPr>
          <w:rFonts w:ascii="Arial" w:cs="Arial" w:eastAsia="Arial" w:hAnsi="Arial"/>
          <w:sz w:val="16"/>
          <w:szCs w:val="16"/>
          <w:color w:val="auto"/>
        </w:rPr>
        <w:t>For purposes of evaluating the Tandem Choice Program, we have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contemplates the likelihood that the respective option will be exercised.</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98"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212529"/>
        </w:rPr>
        <w:t xml:space="preserve">We </w:t>
      </w:r>
      <w:r>
        <w:rPr>
          <w:rFonts w:ascii="Arial" w:cs="Arial" w:eastAsia="Arial" w:hAnsi="Arial"/>
          <w:sz w:val="17"/>
          <w:szCs w:val="17"/>
          <w:color w:val="000000"/>
        </w:rPr>
        <w:t>generally</w:t>
      </w:r>
      <w:r>
        <w:rPr>
          <w:rFonts w:ascii="Arial" w:cs="Arial" w:eastAsia="Arial" w:hAnsi="Arial"/>
          <w:sz w:val="17"/>
          <w:szCs w:val="17"/>
          <w:color w:val="212529"/>
        </w:rPr>
        <w:t xml:space="preserve"> provide </w:t>
      </w:r>
      <w:r>
        <w:rPr>
          <w:rFonts w:ascii="Arial" w:cs="Arial" w:eastAsia="Arial" w:hAnsi="Arial"/>
          <w:sz w:val="17"/>
          <w:szCs w:val="17"/>
          <w:color w:val="000000"/>
        </w:rPr>
        <w:t>a</w:t>
      </w:r>
      <w:r>
        <w:rPr>
          <w:rFonts w:ascii="Arial" w:cs="Arial" w:eastAsia="Arial" w:hAnsi="Arial"/>
          <w:sz w:val="17"/>
          <w:szCs w:val="17"/>
          <w:color w:val="212529"/>
        </w:rPr>
        <w:t xml:space="preserve"> four-</w:t>
      </w:r>
      <w:r>
        <w:rPr>
          <w:rFonts w:ascii="Arial" w:cs="Arial" w:eastAsia="Arial" w:hAnsi="Arial"/>
          <w:sz w:val="17"/>
          <w:szCs w:val="17"/>
          <w:color w:val="000000"/>
        </w:rPr>
        <w:t>year</w:t>
      </w:r>
      <w:r>
        <w:rPr>
          <w:rFonts w:ascii="Arial" w:cs="Arial" w:eastAsia="Arial" w:hAnsi="Arial"/>
          <w:sz w:val="17"/>
          <w:szCs w:val="17"/>
          <w:color w:val="212529"/>
        </w:rPr>
        <w:t xml:space="preserve"> assurance type warranty on our insulin pumps to end user customers and may replace any pumps that do not function as intended in accordance with the product specifications within the warranty period. Insulin pumps returned to us may be refurbished and redeployed. We establish the warranty reserve liability when control of the pump is transferred to the customer, and we reevaluate our estimate of the warranty obligation at each reporting period. Warranty costs are estimated primarily based on the current expected product replacement cost and expected replacement rates utilizing historical experience. Experience has shown that initial data for any given pump version may be insufficient; therefore, our process relies on long-term historical averages until sufficient data are available. As actual experience becomes available, we use the data to update the historical averages. Changes to the actual replacement rates or the expected product replacement cost could cause a material increase or decrease to our estimated warranty reserve and related cost of goods sold. We may make further adjustments to the warranty reserve when deemed appropriate, giving additional consideration to the length of time each pump version has been in the field and revised future expectations of performance based on new features and capabilities that may become available through Tandem Device Updater.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80" w:firstLine="810"/>
        <w:spacing w:after="0" w:line="287" w:lineRule="auto"/>
        <w:rPr>
          <w:sz w:val="20"/>
          <w:szCs w:val="20"/>
          <w:color w:val="auto"/>
        </w:rPr>
      </w:pPr>
      <w:r>
        <w:rPr>
          <w:rFonts w:ascii="Arial" w:cs="Arial" w:eastAsia="Arial" w:hAnsi="Arial"/>
          <w:sz w:val="16"/>
          <w:szCs w:val="16"/>
          <w:color w:val="auto"/>
        </w:rPr>
        <w:t>Significant judgment is required in determining our provision for income taxes, deferred tax assets and liabilities and the valuation allowance recorded against net deferred tax assets. We use the asset and liability approach to recognize deferred tax assets and liabilities for the expected future tax consequences of temporary differences between the carrying amounts and the tax bases of assets and liabilities. Deferred tax assets and liabilities are determined using the enacted tax rates in effect for the years in which those tax assets are expected to be realized. A valuation allowance is established when it is more likely than not the future realization of all or some of the deferred tax assets will not be achieved. Significant judgment is required to evaluate the need for a valuation allowance. The evaluation of the need for a valuation allowance is performed on a jurisdiction-by-jurisdiction basis, and includes a review of all available positive and negative evidence. Factors reviewed include determination of cumulative pre-tax book income after permanent differences, projections of pre-tax book income for the foreseeable future, earnings history, and reliability of forecasting. We will continue to assess the need for a valuation allowance on our deferred tax assets by evaluating both positive and negative evidence that may exist. Changes in the recognition or measurement of valuation allowance could result in material increases or decreases in our income tax expense in the period in which we make a change, which could have a material impact on our effective tax rate and operating results.</w:t>
      </w:r>
    </w:p>
    <w:p>
      <w:pPr>
        <w:spacing w:after="0" w:line="199"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Utilization of our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We have completed analyses through December 31, 2021 to determine whether our net operating losses and credits are likely to be limited by Section 382. Based on the 2018 study completed in 2019, we determined that an ownership change, as defined under Section 382, occurred in 2018 and the resulting limitation significantly reduced our ability to utilize our net operating loss and credit carryovers before they expire. As a result, in 2019 we reduced our deferred tax assets for the net operating loss and research credit carryforwards that were projected to expire unused with a corresponding offset to the valuation allowance recorded against such assets. Additionally, future ownership changes under Section 382 may also limit our ability to fully utilize any remaining tax benefits.</w:t>
      </w:r>
    </w:p>
    <w:p>
      <w:pPr>
        <w:spacing w:after="0" w:line="205"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We recognize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to be realized upon settlement. While we believe we have appropriate support for the positions taken on our tax returns, we regularly assess the potential outcomes of examinations by tax authorities in determining the adequacy of our provision for income taxes. We continually assess the likelihood and amount of potential revisions and adjust the income tax provision, income taxes payable and deferred taxes in the period in which the facts that give rise to a revision become known.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69" w:name="page70"/>
    <w:bookmarkEnd w:id="69"/>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Interest Rate Risks</w:t>
      </w:r>
    </w:p>
    <w:p>
      <w:pPr>
        <w:spacing w:after="0" w:line="225"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investments portfolio. Unrealized losses on available-for-sale debt securities at December 31, 2022 were primarily due to the recent increase in market interest rates. Based on the credit quality of the available-for-sale debt securities that are in an unrealized loss position, and our current estimates of future cash flows to be collected from those securities, we believe the unrealized losses were not credit losses (see Note 3, “Short-Term Investments”).</w:t>
      </w:r>
    </w:p>
    <w:p>
      <w:pPr>
        <w:spacing w:after="0" w:line="178"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4"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2022, it would not have had a material effect on the fair value of our investment portfolio as of that date.</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In May 2020, we issued $287.5 million principal amount of Convertible Senior Notes, which bear interest at a fixed rate of 1.50% per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are not subject to interest rate risk as a result of the Convertible Senior Notes (see Note 7,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Our operations are primarily located in the United States. In addition, we have a sales and marketing office in Canada and, beginning in 2022, a distribution center in the Netherlands. Our sales to customers in the United States are made in U.S. dollars. With the exception of sales from our distribution center in the Netherlands and a portion of our sales in Canada, our sales to customers outside of the United States are currently made to independent distributors under agreements denominated in U.S. dollars. Accordingly, we believe our exposure to foreign currency rate fluctuations is currently limited to our operations in Canada and the Netherlands, where fluctuations in the rate of exchange between the U.S. dollar and the local currency could adversely affect our financial results. As we expand and further develop our operations in markets outside the United States, particularly in Europe, we will be exposed to additional foreign currency exchange rate risk.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0" w:name="page71"/>
    <w:bookmarkEnd w:id="70"/>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02" w:lineRule="exact"/>
        <w:rPr>
          <w:sz w:val="20"/>
          <w:szCs w:val="20"/>
          <w:color w:val="auto"/>
        </w:rPr>
      </w:pPr>
    </w:p>
    <w:p>
      <w:pPr>
        <w:ind w:right="440" w:firstLine="810"/>
        <w:spacing w:after="0" w:line="308" w:lineRule="auto"/>
        <w:rPr>
          <w:sz w:val="20"/>
          <w:szCs w:val="20"/>
          <w:color w:val="auto"/>
        </w:rPr>
      </w:pPr>
      <w:r>
        <w:rPr>
          <w:rFonts w:ascii="Arial" w:cs="Arial" w:eastAsia="Arial" w:hAnsi="Arial"/>
          <w:sz w:val="17"/>
          <w:szCs w:val="17"/>
          <w:color w:val="auto"/>
        </w:rPr>
        <w:t>Our consolidated financial statements as of December 31, 2022 and 2021 and for each of the three years in the period ended December 31, 2022, and the Report of the Independent Registered Public Accounting Firm are included in this report as listed in the index.</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2"/>
              </w:rPr>
              <w:t>Report of Independent Registered Public Accounting Firm (PCAOB ID: 42)</w:t>
            </w:r>
          </w:p>
        </w:tc>
        <w:tc>
          <w:tcPr>
            <w:tcW w:w="4740" w:type="dxa"/>
            <w:vAlign w:val="bottom"/>
            <w:tcBorders>
              <w:bottom w:val="single" w:sz="8" w:color="CCEEFF"/>
            </w:tcBorders>
            <w:gridSpan w:val="4"/>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3"/>
        </w:trPr>
        <w:tc>
          <w:tcPr>
            <w:tcW w:w="20" w:type="dxa"/>
            <w:vAlign w:val="bottom"/>
          </w:tcPr>
          <w:p>
            <w:pPr>
              <w:spacing w:after="0"/>
              <w:rPr>
                <w:sz w:val="17"/>
                <w:szCs w:val="17"/>
                <w:color w:val="auto"/>
              </w:rPr>
            </w:pPr>
          </w:p>
        </w:tc>
        <w:tc>
          <w:tcPr>
            <w:tcW w:w="10240" w:type="dxa"/>
            <w:vAlign w:val="bottom"/>
            <w:gridSpan w:val="7"/>
          </w:tcPr>
          <w:p>
            <w:pPr>
              <w:spacing w:after="0" w:line="202" w:lineRule="exact"/>
              <w:rPr>
                <w:sz w:val="20"/>
                <w:szCs w:val="20"/>
                <w:color w:val="auto"/>
              </w:rPr>
            </w:pPr>
            <w:r>
              <w:rPr>
                <w:rFonts w:ascii="Arial" w:cs="Arial" w:eastAsia="Arial" w:hAnsi="Arial"/>
                <w:sz w:val="18"/>
                <w:szCs w:val="18"/>
                <w:color w:val="auto"/>
              </w:rPr>
              <w:t>Consolidated Balance Sheets as of December 31, 2022 and 2021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48"/>
        </w:trPr>
        <w:tc>
          <w:tcPr>
            <w:tcW w:w="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024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w w:val="96"/>
              </w:rPr>
              <w:t>Consolidated Statements of Operations and Comprehensive Income (Loss) for the Years ended December 31, 2022, 2021 and 2020</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20" w:type="dxa"/>
            <w:vAlign w:val="bottom"/>
            <w:tcBorders>
              <w:top w:val="single" w:sz="8" w:color="CCEEFF"/>
            </w:tcBorders>
          </w:tcPr>
          <w:p>
            <w:pPr>
              <w:spacing w:after="0"/>
              <w:rPr>
                <w:sz w:val="17"/>
                <w:szCs w:val="17"/>
                <w:color w:val="auto"/>
              </w:rPr>
            </w:pPr>
          </w:p>
        </w:tc>
        <w:tc>
          <w:tcPr>
            <w:tcW w:w="9440" w:type="dxa"/>
            <w:vAlign w:val="bottom"/>
            <w:tcBorders>
              <w:top w:val="single" w:sz="8" w:color="auto"/>
            </w:tcBorders>
            <w:gridSpan w:val="6"/>
          </w:tcPr>
          <w:p>
            <w:pPr>
              <w:spacing w:after="0" w:line="202" w:lineRule="exact"/>
              <w:rPr>
                <w:sz w:val="20"/>
                <w:szCs w:val="20"/>
                <w:color w:val="auto"/>
              </w:rPr>
            </w:pPr>
            <w:r>
              <w:rPr>
                <w:rFonts w:ascii="Arial" w:cs="Arial" w:eastAsia="Arial" w:hAnsi="Arial"/>
                <w:sz w:val="18"/>
                <w:szCs w:val="18"/>
                <w:color w:val="auto"/>
              </w:rPr>
              <w:t>Consolidated Statements of Stockholders’ Equity for the Years ended December 31, 2022, 2021 and 2020</w:t>
            </w:r>
          </w:p>
        </w:tc>
        <w:tc>
          <w:tcPr>
            <w:tcW w:w="8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line="202" w:lineRule="exact"/>
              <w:rPr>
                <w:sz w:val="20"/>
                <w:szCs w:val="20"/>
                <w:color w:val="auto"/>
              </w:rPr>
            </w:pPr>
            <w:r>
              <w:rPr>
                <w:rFonts w:ascii="Arial" w:cs="Arial" w:eastAsia="Arial" w:hAnsi="Arial"/>
                <w:sz w:val="18"/>
                <w:szCs w:val="18"/>
                <w:color w:val="auto"/>
              </w:rPr>
              <w:t>75</w:t>
            </w:r>
          </w:p>
        </w:tc>
      </w:tr>
      <w:tr>
        <w:trPr>
          <w:trHeight w:val="48"/>
        </w:trPr>
        <w:tc>
          <w:tcPr>
            <w:tcW w:w="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auto"/>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w w:val="89"/>
              </w:rPr>
              <w:t>Consolidated Statements of Cash Flows for the Years ended December 31, 2022, 2021 and 2020</w:t>
            </w:r>
          </w:p>
        </w:tc>
        <w:tc>
          <w:tcPr>
            <w:tcW w:w="3300" w:type="dxa"/>
            <w:vAlign w:val="bottom"/>
            <w:tcBorders>
              <w:bottom w:val="single" w:sz="8" w:color="CCEEFF"/>
            </w:tcBorders>
            <w:gridSpan w:val="3"/>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20" w:type="dxa"/>
            <w:vAlign w:val="bottom"/>
          </w:tcPr>
          <w:p>
            <w:pPr>
              <w:spacing w:after="0"/>
              <w:rPr>
                <w:sz w:val="17"/>
                <w:szCs w:val="17"/>
                <w:color w:val="auto"/>
              </w:rPr>
            </w:pPr>
          </w:p>
        </w:tc>
        <w:tc>
          <w:tcPr>
            <w:tcW w:w="3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89"/>
              </w:rPr>
              <w:t>Notes to Consolidated Financial Statements</w:t>
            </w:r>
          </w:p>
        </w:tc>
        <w:tc>
          <w:tcPr>
            <w:tcW w:w="7080" w:type="dxa"/>
            <w:vAlign w:val="bottom"/>
            <w:gridSpan w:val="6"/>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912"/>
        </w:trPr>
        <w:tc>
          <w:tcPr>
            <w:tcW w:w="6960" w:type="dxa"/>
            <w:vAlign w:val="bottom"/>
            <w:gridSpan w:val="5"/>
          </w:tcPr>
          <w:p>
            <w:pPr>
              <w:jc w:val="right"/>
              <w:ind w:right="1240"/>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Tandem Diabetes Care,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Tandem Diabetes Care, Inc. (the “Company”) as of December 31, 2022 and 2021, the related consolidated statements of operations and comprehensive income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2" w:name="page73"/>
    <w:bookmarkEnd w:id="72"/>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Warranty reserve – Estimation of Product Replacement Reserve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has a warranty reserve of $36.5 million. The Company provides insulin pump end customers with a four-year warranty and may replace any pumps that do not function in accordance with the product specifications. Warranty costs are estimated at the time of shipment. Management applies significant judgment to determine the expected warranty replacement rates.</w:t>
      </w:r>
    </w:p>
    <w:p>
      <w:pPr>
        <w:spacing w:after="0" w:line="2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Auditing management’s estimate of warranty reserve on pumps was complex and judgmental due to the significant estimation required by management in estimating the value of the warranty reserve. In particular, the warranty reserve estimate is sensitive due to the significant assumption of replacement rates, especially as it relates to recently released pump versions for which replacement rates specific to that version are not yet known. As such, replacement rates of recently released pumps are based primarily upon historical rates of prior versions which ultimately may not be predictive of the experience of new pumps, due to new features and capabilities of the more recent releases. This assumption is affected by actual customer experience and changes in this assumption could have a material impact on the Company’s estimated reserve. This in turn led to a high degree of auditor judgment, subjectivity, and effort in performing procedures and evaluating audit evidence related to this determination and management’s significant assumption for the warranty reserve.</w:t>
      </w:r>
    </w:p>
    <w:p>
      <w:pPr>
        <w:spacing w:after="0" w:line="25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the warranty reserve estimation process. For example, we tested controls over management's review and calculation of the significant assumption underlying the warranty reserve, and tested controls over the accuracy and completeness of data used.</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To test the Company’s warranty reserve, we performed audit procedures that included, among others, testing the completeness and accuracy of the underlying data used in the estimation calculation and evaluated the appropriateness of management’s methodology to calculate the warranty reserve. We also evaluated the reasonableness of management’s significant assumption related to replacement rates, including review for contrary evidence. Evaluating management’s significant assumption involved evaluating the historical claims data utilized by management in estimating the replacement rates. We involved our valuation professionals to assist in the assessment of the estimation methodology and the significant assumption used in determining the warranty reserve. We tested the mathematical accuracy of the warranty reserve calculation and obtained documentation and performed inquiries of Company management to evaluate the completeness of the Company’s estimate. We performed sensitivity analyses of the significant assumption to evaluate the impact of changes in the warranty reserve that would result from changes in the assumption.</w:t>
      </w:r>
    </w:p>
    <w:p>
      <w:pPr>
        <w:spacing w:after="0" w:line="723" w:lineRule="exact"/>
        <w:rPr>
          <w:sz w:val="20"/>
          <w:szCs w:val="20"/>
          <w:color w:val="auto"/>
        </w:rPr>
      </w:pPr>
    </w:p>
    <w:p>
      <w:pPr>
        <w:sectPr>
          <w:pgSz w:w="11900" w:h="16838" w:orient="portrait"/>
          <w:cols w:equalWidth="0" w:num="2">
            <w:col w:w="3160" w:space="420"/>
            <w:col w:w="7520"/>
          </w:cols>
          <w:pgMar w:left="320" w:top="1178" w:right="47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8" w:right="47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6"/>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71,181</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552,630</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68,551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849,976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811,520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110,626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28,032</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9,419</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Employee-related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51,556</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9,279</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23,388</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Convertible senior notes, net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283,232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281,467</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Deferred revenue - long-term</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16,940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612,838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472,025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75"/>
        </w:trPr>
        <w:tc>
          <w:tcPr>
            <w:tcW w:w="80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Common stock, $0.001 par value; 200,000 shares authorized, 64,513 and 63,833 shares issued and</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2022 and December 31, 2021, respectively.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1,170,888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1,068,259</w:t>
            </w:r>
          </w:p>
        </w:tc>
      </w:tr>
      <w:tr>
        <w:trPr>
          <w:trHeight w:val="230"/>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(634,595)</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433,112</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905,137</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498,830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238,310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260,520</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204,903</w:t>
            </w:r>
          </w:p>
        </w:tc>
        <w:tc>
          <w:tcPr>
            <w:tcW w:w="0" w:type="dxa"/>
            <w:vAlign w:val="bottom"/>
          </w:tcPr>
          <w:p>
            <w:pPr>
              <w:spacing w:after="0"/>
              <w:rPr>
                <w:sz w:val="1"/>
                <w:szCs w:val="1"/>
                <w:color w:val="auto"/>
              </w:rPr>
            </w:pPr>
          </w:p>
        </w:tc>
      </w:tr>
      <w:tr>
        <w:trPr>
          <w:trHeight w:val="230"/>
        </w:trPr>
        <w:tc>
          <w:tcPr>
            <w:tcW w:w="6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63,574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505,834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353,562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268,477</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other,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29"/>
        </w:trPr>
        <w:tc>
          <w:tcPr>
            <w:tcW w:w="65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(12,805)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(28,325)</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short-term investments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 currency translation gains (losses)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basic net income (loss) per share</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shares used to compute diluted net income (loss) per share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64,146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64,349</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60,990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jc w:val="center"/>
        <w:ind w:right="8"/>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32"/>
          </w:cols>
          <w:pgMar w:left="328"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Balance at December 31, 2019</w:t>
      </w:r>
    </w:p>
    <w:p>
      <w:pPr>
        <w:spacing w:after="0" w:line="36" w:lineRule="exact"/>
        <w:rPr>
          <w:sz w:val="20"/>
          <w:szCs w:val="20"/>
          <w:color w:val="auto"/>
        </w:rPr>
      </w:pPr>
    </w:p>
    <w:p>
      <w:pPr>
        <w:ind w:left="212"/>
        <w:spacing w:after="0"/>
        <w:rPr>
          <w:sz w:val="20"/>
          <w:szCs w:val="20"/>
          <w:color w:val="auto"/>
        </w:rPr>
      </w:pPr>
      <w:r>
        <w:rPr>
          <w:rFonts w:ascii="Arial" w:cs="Arial" w:eastAsia="Arial" w:hAnsi="Arial"/>
          <w:sz w:val="16"/>
          <w:szCs w:val="16"/>
          <w:color w:val="auto"/>
        </w:rPr>
        <w:t>Exercise of stock options</w:t>
      </w:r>
    </w:p>
    <w:p>
      <w:pPr>
        <w:spacing w:after="0" w:line="46" w:lineRule="exact"/>
        <w:rPr>
          <w:sz w:val="20"/>
          <w:szCs w:val="20"/>
          <w:color w:val="auto"/>
        </w:rPr>
      </w:pPr>
    </w:p>
    <w:p>
      <w:pPr>
        <w:ind w:left="212" w:right="320"/>
        <w:spacing w:after="0"/>
        <w:rPr>
          <w:sz w:val="20"/>
          <w:szCs w:val="20"/>
          <w:color w:val="auto"/>
        </w:rPr>
      </w:pPr>
      <w:r>
        <w:rPr>
          <w:rFonts w:ascii="Arial" w:cs="Arial" w:eastAsia="Arial" w:hAnsi="Arial"/>
          <w:sz w:val="16"/>
          <w:szCs w:val="16"/>
          <w:color w:val="auto"/>
        </w:rPr>
        <w:t>Issuance of common stock under Employee Stock Purchase Plan</w:t>
      </w:r>
    </w:p>
    <w:p>
      <w:pPr>
        <w:spacing w:after="0" w:line="1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Exercise of common stock warrants</w:t>
      </w:r>
    </w:p>
    <w:p>
      <w:pPr>
        <w:spacing w:after="0" w:line="32" w:lineRule="exact"/>
        <w:rPr>
          <w:sz w:val="20"/>
          <w:szCs w:val="20"/>
          <w:color w:val="auto"/>
        </w:rPr>
      </w:pPr>
    </w:p>
    <w:p>
      <w:pPr>
        <w:ind w:left="212" w:right="480"/>
        <w:spacing w:after="0"/>
        <w:rPr>
          <w:sz w:val="20"/>
          <w:szCs w:val="20"/>
          <w:color w:val="auto"/>
        </w:rPr>
      </w:pPr>
      <w:r>
        <w:rPr>
          <w:rFonts w:ascii="Arial" w:cs="Arial" w:eastAsia="Arial" w:hAnsi="Arial"/>
          <w:sz w:val="16"/>
          <w:szCs w:val="16"/>
          <w:color w:val="auto"/>
        </w:rPr>
        <w:t>Fair value of common stock warrants at time of exercise</w:t>
      </w:r>
    </w:p>
    <w:p>
      <w:pPr>
        <w:spacing w:after="0" w:line="10" w:lineRule="exact"/>
        <w:rPr>
          <w:sz w:val="20"/>
          <w:szCs w:val="20"/>
          <w:color w:val="auto"/>
        </w:rPr>
      </w:pPr>
    </w:p>
    <w:p>
      <w:pPr>
        <w:ind w:left="212" w:right="600"/>
        <w:spacing w:after="0"/>
        <w:rPr>
          <w:sz w:val="20"/>
          <w:szCs w:val="20"/>
          <w:color w:val="auto"/>
        </w:rPr>
      </w:pPr>
      <w:r>
        <w:rPr>
          <w:rFonts w:ascii="Arial" w:cs="Arial" w:eastAsia="Arial" w:hAnsi="Arial"/>
          <w:sz w:val="16"/>
          <w:szCs w:val="16"/>
          <w:color w:val="auto"/>
        </w:rPr>
        <w:t>Equity component of convertible senior notes issuance, net of issuance costs</w:t>
      </w:r>
    </w:p>
    <w:p>
      <w:pPr>
        <w:spacing w:after="0" w:line="10" w:lineRule="exact"/>
        <w:rPr>
          <w:sz w:val="20"/>
          <w:szCs w:val="20"/>
          <w:color w:val="auto"/>
        </w:rPr>
      </w:pPr>
    </w:p>
    <w:p>
      <w:pPr>
        <w:ind w:left="212" w:right="520"/>
        <w:spacing w:after="0"/>
        <w:rPr>
          <w:sz w:val="20"/>
          <w:szCs w:val="20"/>
          <w:color w:val="auto"/>
        </w:rPr>
      </w:pPr>
      <w:r>
        <w:rPr>
          <w:rFonts w:ascii="Arial" w:cs="Arial" w:eastAsia="Arial" w:hAnsi="Arial"/>
          <w:sz w:val="16"/>
          <w:szCs w:val="16"/>
          <w:color w:val="auto"/>
        </w:rPr>
        <w:t>Payment for capped call transactions related to convertible senior notes</w:t>
      </w:r>
    </w:p>
    <w:p>
      <w:pPr>
        <w:spacing w:after="0" w:line="1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Unrealized loss on short-term investments</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Foreign currency translation gains</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Net loss</w:t>
      </w:r>
    </w:p>
    <w:p>
      <w:pPr>
        <w:spacing w:after="0" w:line="5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Balance at December 31, 2020</w:t>
      </w:r>
    </w:p>
    <w:p>
      <w:pPr>
        <w:spacing w:after="0" w:line="36" w:lineRule="exact"/>
        <w:rPr>
          <w:sz w:val="20"/>
          <w:szCs w:val="20"/>
          <w:color w:val="auto"/>
        </w:rPr>
      </w:pPr>
    </w:p>
    <w:p>
      <w:pPr>
        <w:ind w:left="212" w:right="140"/>
        <w:spacing w:after="0"/>
        <w:rPr>
          <w:sz w:val="20"/>
          <w:szCs w:val="20"/>
          <w:color w:val="auto"/>
        </w:rPr>
      </w:pPr>
      <w:r>
        <w:rPr>
          <w:rFonts w:ascii="Arial" w:cs="Arial" w:eastAsia="Arial" w:hAnsi="Arial"/>
          <w:sz w:val="16"/>
          <w:szCs w:val="16"/>
          <w:color w:val="auto"/>
        </w:rPr>
        <w:t>Effect of change in accounting for convertible senior notes (1)</w:t>
      </w:r>
    </w:p>
    <w:p>
      <w:pPr>
        <w:spacing w:after="0" w:line="1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Exercise of stock options</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Vesting of restricted stock units, net of shares withheld for taxes</w:t>
      </w:r>
    </w:p>
    <w:p>
      <w:pPr>
        <w:spacing w:after="0" w:line="10" w:lineRule="exact"/>
        <w:rPr>
          <w:sz w:val="20"/>
          <w:szCs w:val="20"/>
          <w:color w:val="auto"/>
        </w:rPr>
      </w:pPr>
    </w:p>
    <w:p>
      <w:pPr>
        <w:ind w:left="212" w:right="320"/>
        <w:spacing w:after="0"/>
        <w:rPr>
          <w:sz w:val="20"/>
          <w:szCs w:val="20"/>
          <w:color w:val="auto"/>
        </w:rPr>
      </w:pPr>
      <w:r>
        <w:rPr>
          <w:rFonts w:ascii="Arial" w:cs="Arial" w:eastAsia="Arial" w:hAnsi="Arial"/>
          <w:sz w:val="16"/>
          <w:szCs w:val="16"/>
          <w:color w:val="auto"/>
        </w:rPr>
        <w:t>Issuance of common stock under Employee Stock Purchase Plan</w:t>
      </w:r>
    </w:p>
    <w:p>
      <w:pPr>
        <w:spacing w:after="0" w:line="1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Exercise of common stock warrants</w:t>
      </w:r>
    </w:p>
    <w:p>
      <w:pPr>
        <w:spacing w:after="0" w:line="32" w:lineRule="exact"/>
        <w:rPr>
          <w:sz w:val="20"/>
          <w:szCs w:val="20"/>
          <w:color w:val="auto"/>
        </w:rPr>
      </w:pPr>
    </w:p>
    <w:p>
      <w:pPr>
        <w:ind w:left="212" w:right="480"/>
        <w:spacing w:after="0"/>
        <w:rPr>
          <w:sz w:val="20"/>
          <w:szCs w:val="20"/>
          <w:color w:val="auto"/>
        </w:rPr>
      </w:pPr>
      <w:r>
        <w:rPr>
          <w:rFonts w:ascii="Arial" w:cs="Arial" w:eastAsia="Arial" w:hAnsi="Arial"/>
          <w:sz w:val="16"/>
          <w:szCs w:val="16"/>
          <w:color w:val="auto"/>
        </w:rPr>
        <w:t>Fair value of common stock warrants at time of exercise</w:t>
      </w:r>
    </w:p>
    <w:p>
      <w:pPr>
        <w:spacing w:after="0" w:line="1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Unrealized loss on short-term investments</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Foreign currency translation losses</w:t>
      </w:r>
    </w:p>
    <w:p>
      <w:pPr>
        <w:spacing w:after="0" w:line="32" w:lineRule="exact"/>
        <w:rPr>
          <w:sz w:val="20"/>
          <w:szCs w:val="20"/>
          <w:color w:val="auto"/>
        </w:rPr>
      </w:pPr>
    </w:p>
    <w:p>
      <w:pPr>
        <w:ind w:left="212"/>
        <w:spacing w:after="0"/>
        <w:rPr>
          <w:sz w:val="20"/>
          <w:szCs w:val="20"/>
          <w:color w:val="auto"/>
        </w:rPr>
      </w:pPr>
      <w:r>
        <w:rPr>
          <w:rFonts w:ascii="Arial" w:cs="Arial" w:eastAsia="Arial" w:hAnsi="Arial"/>
          <w:sz w:val="16"/>
          <w:szCs w:val="16"/>
          <w:color w:val="auto"/>
        </w:rPr>
        <w:t>Net income</w:t>
      </w:r>
    </w:p>
    <w:p>
      <w:pPr>
        <w:spacing w:after="0" w:line="5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Balance at December 31, 2021</w:t>
      </w:r>
    </w:p>
    <w:p>
      <w:pPr>
        <w:spacing w:after="0" w:line="50" w:lineRule="exact"/>
        <w:rPr>
          <w:sz w:val="20"/>
          <w:szCs w:val="20"/>
          <w:color w:val="auto"/>
        </w:rPr>
      </w:pPr>
    </w:p>
    <w:p>
      <w:pPr>
        <w:ind w:left="172"/>
        <w:spacing w:after="0"/>
        <w:rPr>
          <w:sz w:val="20"/>
          <w:szCs w:val="20"/>
          <w:color w:val="auto"/>
        </w:rPr>
      </w:pPr>
      <w:r>
        <w:rPr>
          <w:rFonts w:ascii="Arial" w:cs="Arial" w:eastAsia="Arial" w:hAnsi="Arial"/>
          <w:sz w:val="16"/>
          <w:szCs w:val="16"/>
          <w:color w:val="auto"/>
        </w:rPr>
        <w:t>Exercise of stock options</w:t>
      </w:r>
    </w:p>
    <w:p>
      <w:pPr>
        <w:spacing w:after="0" w:line="32" w:lineRule="exact"/>
        <w:rPr>
          <w:sz w:val="20"/>
          <w:szCs w:val="20"/>
          <w:color w:val="auto"/>
        </w:rPr>
      </w:pPr>
    </w:p>
    <w:p>
      <w:pPr>
        <w:ind w:left="172" w:right="40"/>
        <w:spacing w:after="0"/>
        <w:rPr>
          <w:sz w:val="20"/>
          <w:szCs w:val="20"/>
          <w:color w:val="auto"/>
        </w:rPr>
      </w:pPr>
      <w:r>
        <w:rPr>
          <w:rFonts w:ascii="Arial" w:cs="Arial" w:eastAsia="Arial" w:hAnsi="Arial"/>
          <w:sz w:val="16"/>
          <w:szCs w:val="16"/>
          <w:color w:val="auto"/>
        </w:rPr>
        <w:t>Vesting of restricted stock units, net of shares withheld for taxes</w:t>
      </w:r>
    </w:p>
    <w:p>
      <w:pPr>
        <w:spacing w:after="0" w:line="10" w:lineRule="exact"/>
        <w:rPr>
          <w:sz w:val="20"/>
          <w:szCs w:val="20"/>
          <w:color w:val="auto"/>
        </w:rPr>
      </w:pPr>
    </w:p>
    <w:p>
      <w:pPr>
        <w:ind w:left="172" w:right="360"/>
        <w:spacing w:after="0"/>
        <w:rPr>
          <w:sz w:val="20"/>
          <w:szCs w:val="20"/>
          <w:color w:val="auto"/>
        </w:rPr>
      </w:pPr>
      <w:r>
        <w:rPr>
          <w:rFonts w:ascii="Arial" w:cs="Arial" w:eastAsia="Arial" w:hAnsi="Arial"/>
          <w:sz w:val="16"/>
          <w:szCs w:val="16"/>
          <w:color w:val="auto"/>
        </w:rPr>
        <w:t>Issuance of common stock under Employee Stock Purchase Plan</w:t>
      </w:r>
    </w:p>
    <w:p>
      <w:pPr>
        <w:spacing w:after="0" w:line="10" w:lineRule="exact"/>
        <w:rPr>
          <w:sz w:val="20"/>
          <w:szCs w:val="20"/>
          <w:color w:val="auto"/>
        </w:rPr>
      </w:pPr>
    </w:p>
    <w:p>
      <w:pPr>
        <w:ind w:left="172"/>
        <w:spacing w:after="0"/>
        <w:rPr>
          <w:sz w:val="20"/>
          <w:szCs w:val="20"/>
          <w:color w:val="auto"/>
        </w:rPr>
      </w:pPr>
      <w:r>
        <w:rPr>
          <w:rFonts w:ascii="Arial" w:cs="Arial" w:eastAsia="Arial" w:hAnsi="Arial"/>
          <w:sz w:val="16"/>
          <w:szCs w:val="16"/>
          <w:color w:val="auto"/>
        </w:rPr>
        <w:t>Exercise of common stock warrants</w:t>
      </w:r>
    </w:p>
    <w:p>
      <w:pPr>
        <w:spacing w:after="0" w:line="32" w:lineRule="exact"/>
        <w:rPr>
          <w:sz w:val="20"/>
          <w:szCs w:val="20"/>
          <w:color w:val="auto"/>
        </w:rPr>
      </w:pPr>
    </w:p>
    <w:p>
      <w:pPr>
        <w:ind w:left="172"/>
        <w:spacing w:after="0"/>
        <w:rPr>
          <w:sz w:val="20"/>
          <w:szCs w:val="20"/>
          <w:color w:val="auto"/>
        </w:rPr>
      </w:pPr>
      <w:r>
        <w:rPr>
          <w:rFonts w:ascii="Arial" w:cs="Arial" w:eastAsia="Arial" w:hAnsi="Arial"/>
          <w:sz w:val="16"/>
          <w:szCs w:val="16"/>
          <w:color w:val="auto"/>
        </w:rPr>
        <w:t>Stock-based compensation expense</w:t>
      </w:r>
    </w:p>
    <w:p>
      <w:pPr>
        <w:spacing w:after="0" w:line="32" w:lineRule="exact"/>
        <w:rPr>
          <w:sz w:val="20"/>
          <w:szCs w:val="20"/>
          <w:color w:val="auto"/>
        </w:rPr>
      </w:pPr>
    </w:p>
    <w:p>
      <w:pPr>
        <w:ind w:left="172"/>
        <w:spacing w:after="0"/>
        <w:rPr>
          <w:sz w:val="20"/>
          <w:szCs w:val="20"/>
          <w:color w:val="auto"/>
        </w:rPr>
      </w:pPr>
      <w:r>
        <w:rPr>
          <w:rFonts w:ascii="Arial" w:cs="Arial" w:eastAsia="Arial" w:hAnsi="Arial"/>
          <w:sz w:val="16"/>
          <w:szCs w:val="16"/>
          <w:color w:val="auto"/>
        </w:rPr>
        <w:t>Unrealized loss on short-term investments</w:t>
      </w:r>
    </w:p>
    <w:p>
      <w:pPr>
        <w:spacing w:after="0" w:line="32" w:lineRule="exact"/>
        <w:rPr>
          <w:sz w:val="20"/>
          <w:szCs w:val="20"/>
          <w:color w:val="auto"/>
        </w:rPr>
      </w:pPr>
    </w:p>
    <w:p>
      <w:pPr>
        <w:ind w:left="172"/>
        <w:spacing w:after="0"/>
        <w:rPr>
          <w:sz w:val="20"/>
          <w:szCs w:val="20"/>
          <w:color w:val="auto"/>
        </w:rPr>
      </w:pPr>
      <w:r>
        <w:rPr>
          <w:rFonts w:ascii="Arial" w:cs="Arial" w:eastAsia="Arial" w:hAnsi="Arial"/>
          <w:sz w:val="16"/>
          <w:szCs w:val="16"/>
          <w:color w:val="auto"/>
        </w:rPr>
        <w:t>Foreign currency translation gains</w:t>
      </w:r>
    </w:p>
    <w:p>
      <w:pPr>
        <w:spacing w:after="0" w:line="32" w:lineRule="exact"/>
        <w:rPr>
          <w:sz w:val="20"/>
          <w:szCs w:val="20"/>
          <w:color w:val="auto"/>
        </w:rPr>
      </w:pPr>
    </w:p>
    <w:p>
      <w:pPr>
        <w:ind w:left="172"/>
        <w:spacing w:after="0"/>
        <w:rPr>
          <w:sz w:val="20"/>
          <w:szCs w:val="20"/>
          <w:color w:val="auto"/>
        </w:rPr>
      </w:pPr>
      <w:r>
        <w:rPr>
          <w:rFonts w:ascii="Arial" w:cs="Arial" w:eastAsia="Arial" w:hAnsi="Arial"/>
          <w:sz w:val="16"/>
          <w:szCs w:val="16"/>
          <w:color w:val="auto"/>
        </w:rPr>
        <w:t>Net loss</w:t>
      </w:r>
    </w:p>
    <w:p>
      <w:pPr>
        <w:spacing w:after="0" w:line="55" w:lineRule="exact"/>
        <w:rPr>
          <w:sz w:val="20"/>
          <w:szCs w:val="20"/>
          <w:color w:val="auto"/>
        </w:rPr>
      </w:pPr>
    </w:p>
    <w:p>
      <w:pPr>
        <w:ind w:left="12"/>
        <w:spacing w:after="0"/>
        <w:rPr>
          <w:sz w:val="20"/>
          <w:szCs w:val="20"/>
          <w:color w:val="auto"/>
        </w:rPr>
      </w:pPr>
      <w:r>
        <w:rPr>
          <w:rFonts w:ascii="Arial" w:cs="Arial" w:eastAsia="Arial" w:hAnsi="Arial"/>
          <w:sz w:val="16"/>
          <w:szCs w:val="16"/>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
                <w:szCs w:val="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10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7"/>
                <w:szCs w:val="17"/>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59,396</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9"/>
              </w:rPr>
              <w:t>59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819,626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(624,828)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2,341</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57,748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57,750</w:t>
            </w:r>
          </w:p>
        </w:tc>
        <w:tc>
          <w:tcPr>
            <w:tcW w:w="0" w:type="dxa"/>
            <w:vAlign w:val="bottom"/>
          </w:tcPr>
          <w:p>
            <w:pPr>
              <w:spacing w:after="0"/>
              <w:rPr>
                <w:sz w:val="1"/>
                <w:szCs w:val="1"/>
                <w:color w:val="auto"/>
              </w:rPr>
            </w:pPr>
          </w:p>
        </w:tc>
      </w:tr>
      <w:tr>
        <w:trPr>
          <w:trHeight w:val="278"/>
        </w:trPr>
        <w:tc>
          <w:tcPr>
            <w:tcW w:w="960" w:type="dxa"/>
            <w:vAlign w:val="bottom"/>
          </w:tcPr>
          <w:p>
            <w:pPr>
              <w:jc w:val="right"/>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9,116</w:t>
            </w:r>
          </w:p>
        </w:tc>
        <w:tc>
          <w:tcPr>
            <w:tcW w:w="0" w:type="dxa"/>
            <w:vAlign w:val="bottom"/>
          </w:tcPr>
          <w:p>
            <w:pPr>
              <w:spacing w:after="0"/>
              <w:rPr>
                <w:sz w:val="1"/>
                <w:szCs w:val="1"/>
                <w:color w:val="auto"/>
              </w:rPr>
            </w:pPr>
          </w:p>
        </w:tc>
      </w:tr>
      <w:tr>
        <w:trPr>
          <w:trHeight w:val="297"/>
        </w:trPr>
        <w:tc>
          <w:tcPr>
            <w:tcW w:w="9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26,335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26,335</w:t>
            </w:r>
          </w:p>
        </w:tc>
        <w:tc>
          <w:tcPr>
            <w:tcW w:w="0" w:type="dxa"/>
            <w:vAlign w:val="bottom"/>
          </w:tcPr>
          <w:p>
            <w:pPr>
              <w:spacing w:after="0"/>
              <w:rPr>
                <w:sz w:val="1"/>
                <w:szCs w:val="1"/>
                <w:color w:val="auto"/>
              </w:rPr>
            </w:pPr>
          </w:p>
        </w:tc>
      </w:tr>
      <w:tr>
        <w:trPr>
          <w:trHeight w:val="378"/>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378"/>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57,725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57,725</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(34,382)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(34,382)</w:t>
            </w:r>
          </w:p>
        </w:tc>
        <w:tc>
          <w:tcPr>
            <w:tcW w:w="0" w:type="dxa"/>
            <w:vAlign w:val="bottom"/>
          </w:tcPr>
          <w:p>
            <w:pPr>
              <w:spacing w:after="0"/>
              <w:rPr>
                <w:sz w:val="1"/>
                <w:szCs w:val="1"/>
                <w:color w:val="auto"/>
              </w:rPr>
            </w:pPr>
          </w:p>
        </w:tc>
      </w:tr>
      <w:tr>
        <w:trPr>
          <w:trHeight w:val="39"/>
        </w:trPr>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960" w:type="dxa"/>
            <w:vAlign w:val="bottom"/>
          </w:tcPr>
          <w:p>
            <w:pPr>
              <w:jc w:val="right"/>
              <w:spacing w:after="0"/>
              <w:rPr>
                <w:sz w:val="20"/>
                <w:szCs w:val="20"/>
                <w:color w:val="auto"/>
              </w:rPr>
            </w:pPr>
            <w:r>
              <w:rPr>
                <w:rFonts w:ascii="Arial" w:cs="Arial" w:eastAsia="Arial" w:hAnsi="Arial"/>
                <w:sz w:val="14"/>
                <w:szCs w:val="14"/>
                <w:color w:val="auto"/>
              </w:rPr>
              <w:t>62,335</w:t>
            </w:r>
          </w:p>
        </w:tc>
        <w:tc>
          <w:tcPr>
            <w:tcW w:w="12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62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1,025,233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(659,210)</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366,305</w:t>
            </w: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(76,754)</w:t>
            </w:r>
          </w:p>
        </w:tc>
        <w:tc>
          <w:tcPr>
            <w:tcW w:w="0" w:type="dxa"/>
            <w:vAlign w:val="bottom"/>
          </w:tcPr>
          <w:p>
            <w:pPr>
              <w:spacing w:after="0"/>
              <w:rPr>
                <w:sz w:val="1"/>
                <w:szCs w:val="1"/>
                <w:color w:val="auto"/>
              </w:rPr>
            </w:pPr>
          </w:p>
        </w:tc>
      </w:tr>
      <w:tr>
        <w:trPr>
          <w:trHeight w:val="284"/>
        </w:trPr>
        <w:tc>
          <w:tcPr>
            <w:tcW w:w="960" w:type="dxa"/>
            <w:vAlign w:val="bottom"/>
          </w:tcPr>
          <w:p>
            <w:pPr>
              <w:jc w:val="right"/>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41,823</w:t>
            </w:r>
          </w:p>
        </w:tc>
        <w:tc>
          <w:tcPr>
            <w:tcW w:w="0" w:type="dxa"/>
            <w:vAlign w:val="bottom"/>
          </w:tcPr>
          <w:p>
            <w:pPr>
              <w:spacing w:after="0"/>
              <w:rPr>
                <w:sz w:val="1"/>
                <w:szCs w:val="1"/>
                <w:color w:val="auto"/>
              </w:rPr>
            </w:pPr>
          </w:p>
        </w:tc>
      </w:tr>
      <w:tr>
        <w:trPr>
          <w:trHeight w:val="297"/>
        </w:trPr>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378"/>
        </w:trPr>
        <w:tc>
          <w:tcPr>
            <w:tcW w:w="96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11,069</w:t>
            </w:r>
          </w:p>
        </w:tc>
        <w:tc>
          <w:tcPr>
            <w:tcW w:w="0" w:type="dxa"/>
            <w:vAlign w:val="bottom"/>
          </w:tcPr>
          <w:p>
            <w:pPr>
              <w:spacing w:after="0"/>
              <w:rPr>
                <w:sz w:val="1"/>
                <w:szCs w:val="1"/>
                <w:color w:val="auto"/>
              </w:rPr>
            </w:pPr>
          </w:p>
        </w:tc>
      </w:tr>
      <w:tr>
        <w:trPr>
          <w:trHeight w:val="297"/>
        </w:trPr>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15,500</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61,091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61,091</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15,566</w:t>
            </w:r>
          </w:p>
        </w:tc>
        <w:tc>
          <w:tcPr>
            <w:tcW w:w="0" w:type="dxa"/>
            <w:vAlign w:val="bottom"/>
          </w:tcPr>
          <w:p>
            <w:pPr>
              <w:spacing w:after="0"/>
              <w:rPr>
                <w:sz w:val="1"/>
                <w:szCs w:val="1"/>
                <w:color w:val="auto"/>
              </w:rPr>
            </w:pPr>
          </w:p>
        </w:tc>
      </w:tr>
      <w:tr>
        <w:trPr>
          <w:trHeight w:val="39"/>
        </w:trPr>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960" w:type="dxa"/>
            <w:vAlign w:val="bottom"/>
          </w:tcPr>
          <w:p>
            <w:pPr>
              <w:jc w:val="right"/>
              <w:spacing w:after="0"/>
              <w:rPr>
                <w:sz w:val="20"/>
                <w:szCs w:val="20"/>
                <w:color w:val="auto"/>
              </w:rPr>
            </w:pPr>
            <w:r>
              <w:rPr>
                <w:rFonts w:ascii="Arial" w:cs="Arial" w:eastAsia="Arial" w:hAnsi="Arial"/>
                <w:sz w:val="14"/>
                <w:szCs w:val="14"/>
                <w:color w:val="auto"/>
              </w:rPr>
              <w:t>63,833</w:t>
            </w:r>
          </w:p>
        </w:tc>
        <w:tc>
          <w:tcPr>
            <w:tcW w:w="12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64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1,068,259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(634,595)</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433,112</w:t>
            </w: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9,131</w:t>
            </w:r>
          </w:p>
        </w:tc>
        <w:tc>
          <w:tcPr>
            <w:tcW w:w="0" w:type="dxa"/>
            <w:vAlign w:val="bottom"/>
          </w:tcPr>
          <w:p>
            <w:pPr>
              <w:spacing w:after="0"/>
              <w:rPr>
                <w:sz w:val="1"/>
                <w:szCs w:val="1"/>
                <w:color w:val="auto"/>
              </w:rPr>
            </w:pPr>
          </w:p>
        </w:tc>
      </w:tr>
      <w:tr>
        <w:trPr>
          <w:trHeight w:val="278"/>
        </w:trPr>
        <w:tc>
          <w:tcPr>
            <w:tcW w:w="96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(4,374)</w:t>
            </w:r>
          </w:p>
        </w:tc>
        <w:tc>
          <w:tcPr>
            <w:tcW w:w="0" w:type="dxa"/>
            <w:vAlign w:val="bottom"/>
          </w:tcPr>
          <w:p>
            <w:pPr>
              <w:spacing w:after="0"/>
              <w:rPr>
                <w:sz w:val="1"/>
                <w:szCs w:val="1"/>
                <w:color w:val="auto"/>
              </w:rPr>
            </w:pPr>
          </w:p>
        </w:tc>
      </w:tr>
      <w:tr>
        <w:trPr>
          <w:trHeight w:val="378"/>
        </w:trPr>
        <w:tc>
          <w:tcPr>
            <w:tcW w:w="960" w:type="dxa"/>
            <w:vAlign w:val="bottom"/>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12,713</w:t>
            </w:r>
          </w:p>
        </w:tc>
        <w:tc>
          <w:tcPr>
            <w:tcW w:w="0" w:type="dxa"/>
            <w:vAlign w:val="bottom"/>
          </w:tcPr>
          <w:p>
            <w:pPr>
              <w:spacing w:after="0"/>
              <w:rPr>
                <w:sz w:val="1"/>
                <w:szCs w:val="1"/>
                <w:color w:val="auto"/>
              </w:rPr>
            </w:pPr>
          </w:p>
        </w:tc>
      </w:tr>
      <w:tr>
        <w:trPr>
          <w:trHeight w:val="297"/>
        </w:trPr>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85,077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85,077</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(94,594)</w:t>
            </w:r>
          </w:p>
        </w:tc>
        <w:tc>
          <w:tcPr>
            <w:tcW w:w="0" w:type="dxa"/>
            <w:vAlign w:val="bottom"/>
          </w:tcPr>
          <w:p>
            <w:pPr>
              <w:spacing w:after="0"/>
              <w:rPr>
                <w:sz w:val="1"/>
                <w:szCs w:val="1"/>
                <w:color w:val="auto"/>
              </w:rPr>
            </w:pPr>
          </w:p>
        </w:tc>
      </w:tr>
      <w:tr>
        <w:trPr>
          <w:trHeight w:val="39"/>
        </w:trPr>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960" w:type="dxa"/>
            <w:vAlign w:val="bottom"/>
          </w:tcPr>
          <w:p>
            <w:pPr>
              <w:jc w:val="right"/>
              <w:spacing w:after="0"/>
              <w:rPr>
                <w:sz w:val="20"/>
                <w:szCs w:val="20"/>
                <w:color w:val="auto"/>
              </w:rPr>
            </w:pPr>
            <w:r>
              <w:rPr>
                <w:rFonts w:ascii="Arial" w:cs="Arial" w:eastAsia="Arial" w:hAnsi="Arial"/>
                <w:sz w:val="14"/>
                <w:szCs w:val="14"/>
                <w:color w:val="auto"/>
              </w:rPr>
              <w:t>64,513</w:t>
            </w:r>
          </w:p>
        </w:tc>
        <w:tc>
          <w:tcPr>
            <w:tcW w:w="12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65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1,170,888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(729,189)</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439,947</w:t>
            </w: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-5520055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-5219700</wp:posOffset>
            </wp:positionV>
            <wp:extent cx="71323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-4842510</wp:posOffset>
            </wp:positionV>
            <wp:extent cx="71323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-4362450</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-3985260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-3710940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-3419475</wp:posOffset>
            </wp:positionV>
            <wp:extent cx="713232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-3042285</wp:posOffset>
            </wp:positionV>
            <wp:extent cx="713232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-2562225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-2185670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-1910715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-1636395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-1336675</wp:posOffset>
            </wp:positionV>
            <wp:extent cx="7132320"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-856615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-582295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-307975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72" w:space="40"/>
            <w:col w:w="7420"/>
          </w:cols>
          <w:pgMar w:left="328" w:top="891" w:right="339" w:bottom="1440" w:gutter="0" w:footer="0" w:header="0"/>
          <w:type w:val="continuous"/>
        </w:sectPr>
      </w:pPr>
    </w:p>
    <w:p>
      <w:pPr>
        <w:spacing w:after="0" w:line="6" w:lineRule="exact"/>
        <w:rPr>
          <w:sz w:val="20"/>
          <w:szCs w:val="20"/>
          <w:color w:val="auto"/>
        </w:rPr>
      </w:pPr>
    </w:p>
    <w:p>
      <w:pPr>
        <w:ind w:left="252" w:right="460" w:hanging="252"/>
        <w:spacing w:after="0" w:line="275" w:lineRule="auto"/>
        <w:tabs>
          <w:tab w:leader="none" w:pos="238"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The Company adopted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effective January 1, 2021 (see Note 7, “Debt”).</w:t>
      </w:r>
    </w:p>
    <w:p>
      <w:pPr>
        <w:spacing w:after="0" w:line="87" w:lineRule="exact"/>
        <w:rPr>
          <w:sz w:val="20"/>
          <w:szCs w:val="20"/>
          <w:color w:val="auto"/>
        </w:rPr>
      </w:pPr>
    </w:p>
    <w:p>
      <w:pPr>
        <w:jc w:val="center"/>
        <w:ind w:right="248"/>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1"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(94,594)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15,566</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(34,382)</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2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debt discount and issuance costs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10,096</w:t>
            </w:r>
          </w:p>
        </w:tc>
        <w:tc>
          <w:tcPr>
            <w:tcW w:w="0" w:type="dxa"/>
            <w:vAlign w:val="bottom"/>
          </w:tcPr>
          <w:p>
            <w:pPr>
              <w:spacing w:after="0"/>
              <w:rPr>
                <w:sz w:val="1"/>
                <w:szCs w:val="1"/>
                <w:color w:val="auto"/>
              </w:rPr>
            </w:pPr>
          </w:p>
        </w:tc>
      </w:tr>
      <w:tr>
        <w:trPr>
          <w:trHeight w:val="190"/>
        </w:trPr>
        <w:tc>
          <w:tcPr>
            <w:tcW w:w="7420" w:type="dxa"/>
            <w:vAlign w:val="bottom"/>
          </w:tcPr>
          <w:p>
            <w:pPr>
              <w:ind w:left="180"/>
              <w:spacing w:after="0"/>
              <w:rPr>
                <w:sz w:val="20"/>
                <w:szCs w:val="20"/>
                <w:color w:val="auto"/>
              </w:rPr>
            </w:pPr>
            <w:r>
              <w:rPr>
                <w:rFonts w:ascii="Arial" w:cs="Arial" w:eastAsia="Arial" w:hAnsi="Arial"/>
                <w:sz w:val="14"/>
                <w:szCs w:val="14"/>
                <w:color w:val="auto"/>
              </w:rPr>
              <w:t>Provision for expected credit losses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3,016</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termination and impairment charges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420" w:type="dxa"/>
            <w:vAlign w:val="bottom"/>
          </w:tcPr>
          <w:p>
            <w:pPr>
              <w:ind w:left="180"/>
              <w:spacing w:after="0"/>
              <w:rPr>
                <w:sz w:val="20"/>
                <w:szCs w:val="20"/>
                <w:color w:val="auto"/>
              </w:rPr>
            </w:pPr>
            <w:r>
              <w:rPr>
                <w:rFonts w:ascii="Arial" w:cs="Arial" w:eastAsia="Arial" w:hAnsi="Arial"/>
                <w:sz w:val="14"/>
                <w:szCs w:val="14"/>
                <w:color w:val="auto"/>
              </w:rPr>
              <w:t>Change in fair value of common stock warrants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17,087</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of premium (discount) on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c>
          <w:tcPr>
            <w:tcW w:w="0" w:type="dxa"/>
            <w:vAlign w:val="bottom"/>
          </w:tcPr>
          <w:p>
            <w:pPr>
              <w:spacing w:after="0"/>
              <w:rPr>
                <w:sz w:val="1"/>
                <w:szCs w:val="1"/>
                <w:color w:val="auto"/>
              </w:rPr>
            </w:pPr>
          </w:p>
        </w:tc>
      </w:tr>
      <w:tr>
        <w:trPr>
          <w:trHeight w:val="204"/>
        </w:trPr>
        <w:tc>
          <w:tcPr>
            <w:tcW w:w="7420" w:type="dxa"/>
            <w:vAlign w:val="bottom"/>
          </w:tcPr>
          <w:p>
            <w:pPr>
              <w:ind w:left="180"/>
              <w:spacing w:after="0"/>
              <w:rPr>
                <w:sz w:val="20"/>
                <w:szCs w:val="20"/>
                <w:color w:val="auto"/>
              </w:rPr>
            </w:pPr>
            <w:r>
              <w:rPr>
                <w:rFonts w:ascii="Arial" w:cs="Arial" w:eastAsia="Arial" w:hAnsi="Arial"/>
                <w:sz w:val="14"/>
                <w:szCs w:val="14"/>
                <w:color w:val="auto"/>
              </w:rPr>
              <w:t>Benefit for deferred income taxes</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6"/>
        </w:trPr>
        <w:tc>
          <w:tcPr>
            <w:tcW w:w="7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60,752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58,431</w:t>
            </w:r>
          </w:p>
        </w:tc>
        <w:tc>
          <w:tcPr>
            <w:tcW w:w="0" w:type="dxa"/>
            <w:vAlign w:val="bottom"/>
          </w:tcPr>
          <w:p>
            <w:pPr>
              <w:spacing w:after="0"/>
              <w:rPr>
                <w:sz w:val="1"/>
                <w:szCs w:val="1"/>
                <w:color w:val="auto"/>
              </w:rPr>
            </w:pPr>
          </w:p>
        </w:tc>
      </w:tr>
      <w:tr>
        <w:trPr>
          <w:trHeight w:val="190"/>
        </w:trPr>
        <w:tc>
          <w:tcPr>
            <w:tcW w:w="7420" w:type="dxa"/>
            <w:vAlign w:val="bottom"/>
          </w:tcPr>
          <w:p>
            <w:pPr>
              <w:ind w:left="180"/>
              <w:spacing w:after="0"/>
              <w:rPr>
                <w:sz w:val="20"/>
                <w:szCs w:val="20"/>
                <w:color w:val="auto"/>
              </w:rPr>
            </w:pPr>
            <w:r>
              <w:rPr>
                <w:rFonts w:ascii="Arial" w:cs="Arial" w:eastAsia="Arial" w:hAnsi="Arial"/>
                <w:sz w:val="14"/>
                <w:szCs w:val="14"/>
                <w:color w:val="auto"/>
              </w:rPr>
              <w:t>Acquired in-process research and development expenses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7420" w:type="dxa"/>
            <w:vAlign w:val="bottom"/>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(38,837)</w:t>
            </w:r>
          </w:p>
        </w:tc>
        <w:tc>
          <w:tcPr>
            <w:tcW w:w="0" w:type="dxa"/>
            <w:vAlign w:val="bottom"/>
          </w:tcPr>
          <w:p>
            <w:pPr>
              <w:spacing w:after="0"/>
              <w:rPr>
                <w:sz w:val="1"/>
                <w:szCs w:val="1"/>
                <w:color w:val="auto"/>
              </w:rPr>
            </w:pPr>
          </w:p>
        </w:tc>
      </w:tr>
      <w:tr>
        <w:trPr>
          <w:trHeight w:val="190"/>
        </w:trPr>
        <w:tc>
          <w:tcPr>
            <w:tcW w:w="7420" w:type="dxa"/>
            <w:vAlign w:val="bottom"/>
          </w:tcPr>
          <w:p>
            <w:pPr>
              <w:ind w:left="36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(42,452)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(15,361)</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0" w:type="dxa"/>
            <w:vAlign w:val="bottom"/>
          </w:tcPr>
          <w:p>
            <w:pPr>
              <w:spacing w:after="0"/>
              <w:rPr>
                <w:sz w:val="1"/>
                <w:szCs w:val="1"/>
                <w:color w:val="auto"/>
              </w:rPr>
            </w:pPr>
          </w:p>
        </w:tc>
      </w:tr>
      <w:tr>
        <w:trPr>
          <w:trHeight w:val="190"/>
        </w:trPr>
        <w:tc>
          <w:tcPr>
            <w:tcW w:w="7420" w:type="dxa"/>
            <w:vAlign w:val="bottom"/>
          </w:tcPr>
          <w:p>
            <w:pPr>
              <w:ind w:left="360"/>
              <w:spacing w:after="0"/>
              <w:rPr>
                <w:sz w:val="20"/>
                <w:szCs w:val="20"/>
                <w:color w:val="auto"/>
              </w:rPr>
            </w:pPr>
            <w:r>
              <w:rPr>
                <w:rFonts w:ascii="Arial" w:cs="Arial" w:eastAsia="Arial" w:hAnsi="Arial"/>
                <w:sz w:val="14"/>
                <w:szCs w:val="14"/>
                <w:color w:val="auto"/>
              </w:rPr>
              <w:t>Other long-term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24,493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10,275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90"/>
        </w:trPr>
        <w:tc>
          <w:tcPr>
            <w:tcW w:w="7420" w:type="dxa"/>
            <w:vAlign w:val="bottom"/>
          </w:tcPr>
          <w:p>
            <w:pPr>
              <w:ind w:left="360"/>
              <w:spacing w:after="0"/>
              <w:rPr>
                <w:sz w:val="20"/>
                <w:szCs w:val="20"/>
                <w:color w:val="auto"/>
              </w:rPr>
            </w:pPr>
            <w:r>
              <w:rPr>
                <w:rFonts w:ascii="Arial" w:cs="Arial" w:eastAsia="Arial" w:hAnsi="Arial"/>
                <w:sz w:val="14"/>
                <w:szCs w:val="14"/>
                <w:color w:val="auto"/>
              </w:rPr>
              <w:t>Accrued expenses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Employee-related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17,399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5,339</w:t>
            </w:r>
          </w:p>
        </w:tc>
        <w:tc>
          <w:tcPr>
            <w:tcW w:w="0" w:type="dxa"/>
            <w:vAlign w:val="bottom"/>
          </w:tcPr>
          <w:p>
            <w:pPr>
              <w:spacing w:after="0"/>
              <w:rPr>
                <w:sz w:val="1"/>
                <w:szCs w:val="1"/>
                <w:color w:val="auto"/>
              </w:rPr>
            </w:pPr>
          </w:p>
        </w:tc>
      </w:tr>
      <w:tr>
        <w:trPr>
          <w:trHeight w:val="191"/>
        </w:trPr>
        <w:tc>
          <w:tcPr>
            <w:tcW w:w="74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10,611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Operating leases and other 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6,217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190"/>
        </w:trPr>
        <w:tc>
          <w:tcPr>
            <w:tcW w:w="742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3,888</w:t>
            </w:r>
          </w:p>
        </w:tc>
        <w:tc>
          <w:tcPr>
            <w:tcW w:w="0" w:type="dxa"/>
            <w:vAlign w:val="bottom"/>
          </w:tcPr>
          <w:p>
            <w:pPr>
              <w:spacing w:after="0"/>
              <w:rPr>
                <w:sz w:val="1"/>
                <w:szCs w:val="1"/>
                <w:color w:val="auto"/>
              </w:rPr>
            </w:pPr>
          </w:p>
        </w:tc>
      </w:tr>
      <w:tr>
        <w:trPr>
          <w:trHeight w:val="3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111,359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24,669</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(467,652)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(733,388)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(497,076)</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maturities and redemptions of short-term investments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569,492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570,023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233,314</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(34,097)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(27,408)</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Acquisition, including in-process research and development,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intangible assets and strategic investments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(4,886)</w:t>
            </w:r>
          </w:p>
        </w:tc>
        <w:tc>
          <w:tcPr>
            <w:tcW w:w="0" w:type="dxa"/>
            <w:vAlign w:val="bottom"/>
          </w:tcPr>
          <w:p>
            <w:pPr>
              <w:spacing w:after="0"/>
              <w:rPr>
                <w:sz w:val="1"/>
                <w:szCs w:val="1"/>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33,168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(186,876)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(296,056)</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278,691</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for capped call transactions related to convertible senior notes</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under Company stock plans,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51,340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66,866</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51,932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314,438</w:t>
            </w:r>
          </w:p>
        </w:tc>
        <w:tc>
          <w:tcPr>
            <w:tcW w:w="0" w:type="dxa"/>
            <w:vAlign w:val="bottom"/>
          </w:tcPr>
          <w:p>
            <w:pPr>
              <w:spacing w:after="0"/>
              <w:rPr>
                <w:sz w:val="1"/>
                <w:szCs w:val="1"/>
                <w:color w:val="auto"/>
              </w:rPr>
            </w:pPr>
          </w:p>
        </w:tc>
      </w:tr>
      <w:tr>
        <w:trPr>
          <w:trHeight w:val="190"/>
        </w:trPr>
        <w:tc>
          <w:tcPr>
            <w:tcW w:w="742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3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101,336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(23,432)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43,438</w:t>
            </w:r>
          </w:p>
        </w:tc>
        <w:tc>
          <w:tcPr>
            <w:tcW w:w="0" w:type="dxa"/>
            <w:vAlign w:val="bottom"/>
          </w:tcPr>
          <w:p>
            <w:pPr>
              <w:spacing w:after="0"/>
              <w:rPr>
                <w:sz w:val="1"/>
                <w:szCs w:val="1"/>
                <w:color w:val="auto"/>
              </w:rPr>
            </w:pPr>
          </w:p>
        </w:tc>
      </w:tr>
      <w:tr>
        <w:trPr>
          <w:trHeight w:val="191"/>
        </w:trPr>
        <w:tc>
          <w:tcPr>
            <w:tcW w:w="742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71,181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94,613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51,175</w:t>
            </w:r>
          </w:p>
        </w:tc>
        <w:tc>
          <w:tcPr>
            <w:tcW w:w="0" w:type="dxa"/>
            <w:vAlign w:val="bottom"/>
          </w:tcPr>
          <w:p>
            <w:pPr>
              <w:spacing w:after="0"/>
              <w:rPr>
                <w:sz w:val="1"/>
                <w:szCs w:val="1"/>
                <w:color w:val="auto"/>
              </w:rPr>
            </w:pPr>
          </w:p>
        </w:tc>
      </w:tr>
      <w:tr>
        <w:trPr>
          <w:trHeight w:val="39"/>
        </w:trPr>
        <w:tc>
          <w:tcPr>
            <w:tcW w:w="74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94,613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2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obligations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114,003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15,191</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11,022</w:t>
            </w:r>
          </w:p>
        </w:tc>
        <w:tc>
          <w:tcPr>
            <w:tcW w:w="0" w:type="dxa"/>
            <w:vAlign w:val="bottom"/>
          </w:tcPr>
          <w:p>
            <w:pPr>
              <w:spacing w:after="0"/>
              <w:rPr>
                <w:sz w:val="1"/>
                <w:szCs w:val="1"/>
                <w:color w:val="auto"/>
              </w:rPr>
            </w:pPr>
          </w:p>
        </w:tc>
      </w:tr>
      <w:tr>
        <w:trPr>
          <w:trHeight w:val="25"/>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included in accounts payable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20" w:type="dxa"/>
            <w:vAlign w:val="bottom"/>
          </w:tcPr>
          <w:p>
            <w:pPr>
              <w:ind w:left="20"/>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39"/>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 in the United States, Canada and the Netherlands.</w:t>
      </w:r>
    </w:p>
    <w:p>
      <w:pPr>
        <w:spacing w:after="0" w:line="187"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t:connect mobile app and cloud-based diabetes management application (t:connect), and the Tandem Device Updater, a Mac- and PC-compatible tool which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jc w:val="both"/>
        <w:ind w:right="60" w:firstLine="810"/>
        <w:spacing w:after="0" w:line="311" w:lineRule="auto"/>
        <w:rPr>
          <w:sz w:val="20"/>
          <w:szCs w:val="20"/>
          <w:color w:val="auto"/>
        </w:rPr>
      </w:pPr>
      <w:r>
        <w:rPr>
          <w:rFonts w:ascii="Arial" w:cs="Arial" w:eastAsia="Arial" w:hAnsi="Arial"/>
          <w:sz w:val="16"/>
          <w:szCs w:val="16"/>
          <w:color w:val="auto"/>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subsidiaries in the United States, Canada, and the Netherlands. All significant intercompany balances and transactions have been eliminated in consolidation.</w:t>
      </w:r>
    </w:p>
    <w:p>
      <w:pPr>
        <w:spacing w:after="0" w:line="14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and in accumulated other comprehensive income (loss) in the stockholders’ equity section of the Company’s consolidated balance sheets. Foreign exchange gains or losses resulting from balances denominated in a currency other than the functional currency are recognized in interest income and other, net in the Company’s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280" w:firstLine="810"/>
        <w:spacing w:after="0" w:line="301" w:lineRule="auto"/>
        <w:rPr>
          <w:sz w:val="20"/>
          <w:szCs w:val="20"/>
          <w:color w:val="auto"/>
        </w:rPr>
      </w:pPr>
      <w:r>
        <w:rPr>
          <w:rFonts w:ascii="Arial" w:cs="Arial" w:eastAsia="Arial" w:hAnsi="Arial"/>
          <w:sz w:val="16"/>
          <w:szCs w:val="16"/>
          <w:color w:val="auto"/>
        </w:rPr>
        <w:t>Deferred revenue long-term, which was reported as a component of other long-term liabilities in 2021, is now separately reported on the consolidated balance sheet. The Company also reclassified the 2021 liability of $0.1 million related to common stock warrants (see Note 5, “Fair Value Measurements”), which was previously reported separately, to other current liabilities on the Company’s consolidated balance sheet. In addition, certain prior year balances on the consolidated statements of cash flows have been reclassified to conform to the current year presentation.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right="280" w:firstLine="810"/>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during the year ended December 31, 2022, except for adding the accounting policies related to an asset acquisition and the recently launched Tandem Choice technology access program (Tandem Choice), which are included herein.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85" w:lineRule="exact"/>
        <w:rPr>
          <w:sz w:val="20"/>
          <w:szCs w:val="20"/>
          <w:color w:val="auto"/>
        </w:rPr>
      </w:pPr>
    </w:p>
    <w:p>
      <w:pPr>
        <w:ind w:right="720" w:firstLine="810"/>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98"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that are not related to credit factors are reported as a component of other comprehensive income (loss) within the statements of operations and accumulated other comprehensive income (loss) as a separate component of stockholders’ equity on the consolidated balance sheets. The Company determines realized gains or losses on the sale of available-for-sale securities using the specific identification method and includes net realized gains and losses as a component of other income or expense within the consolidated statements of operations.</w:t>
      </w:r>
    </w:p>
    <w:p>
      <w:pPr>
        <w:spacing w:after="0" w:line="154"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The Company reviews its available-for-sale debt securities for credit losses quarterly, considering a variety of factors, including the significance of the decline in value as compared to the amortized cost basis; underlying factors contributing to a decline in the prices of securities in a single asset class; the security’s relative performance versus its peers, sector or asset class; the market and economy in general; views of external investment managers; news or financial information that has been released specific to the investee; and the outlook for the overall industry in which the investee operates. Losses on available-for-sale debt securities as a result of credit factors are recognized by recording an impairment loss as a component of other income or expense within the consolidated statements of operations and a corresponding allowance for credit losses. The Company has not recognized any impairment losses related to its short-term investments during the years ended December 31, 2022,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including credit risks as a result of the coronavirus pandemic,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79" w:name="page80"/>
    <w:bookmarkEnd w:id="79"/>
    <w:p>
      <w:pPr>
        <w:ind w:right="60" w:firstLine="810"/>
        <w:spacing w:after="0" w:line="277" w:lineRule="auto"/>
        <w:rPr>
          <w:sz w:val="20"/>
          <w:szCs w:val="20"/>
          <w:color w:val="auto"/>
        </w:rPr>
      </w:pPr>
      <w:r>
        <w:rPr>
          <w:rFonts w:ascii="Arial" w:cs="Arial" w:eastAsia="Arial" w:hAnsi="Arial"/>
          <w:sz w:val="18"/>
          <w:szCs w:val="18"/>
          <w:color w:val="auto"/>
        </w:rPr>
        <w:t>The following table summarizes the percentages of total sales and accounts receivable, net for customers who accounted for 10% or more of the respective amounts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w w:val="87"/>
              </w:rPr>
              <w:t>Total Sales</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Accounts Receivable, net</w:t>
            </w:r>
          </w:p>
        </w:tc>
      </w:tr>
      <w:tr>
        <w:trPr>
          <w:trHeight w:val="210"/>
        </w:trPr>
        <w:tc>
          <w:tcPr>
            <w:tcW w:w="3900" w:type="dxa"/>
            <w:vAlign w:val="bottom"/>
          </w:tcPr>
          <w:p>
            <w:pPr>
              <w:spacing w:after="0"/>
              <w:rPr>
                <w:sz w:val="18"/>
                <w:szCs w:val="18"/>
                <w:color w:val="auto"/>
              </w:rPr>
            </w:pPr>
          </w:p>
        </w:tc>
        <w:tc>
          <w:tcPr>
            <w:tcW w:w="3300" w:type="dxa"/>
            <w:vAlign w:val="bottom"/>
            <w:tcBorders>
              <w:bottom w:val="single" w:sz="8" w:color="auto"/>
            </w:tcBorders>
            <w:gridSpan w:val="5"/>
          </w:tcPr>
          <w:p>
            <w:pPr>
              <w:jc w:val="center"/>
              <w:ind w:left="974"/>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bottom w:val="single" w:sz="8" w:color="auto"/>
            </w:tcBorders>
            <w:gridSpan w:val="3"/>
          </w:tcPr>
          <w:p>
            <w:pPr>
              <w:jc w:val="center"/>
              <w:ind w:left="855"/>
              <w:spacing w:after="0"/>
              <w:rPr>
                <w:sz w:val="20"/>
                <w:szCs w:val="20"/>
                <w:color w:val="auto"/>
              </w:rPr>
            </w:pPr>
            <w:r>
              <w:rPr>
                <w:rFonts w:ascii="Arial" w:cs="Arial" w:eastAsia="Arial" w:hAnsi="Arial"/>
                <w:sz w:val="16"/>
                <w:szCs w:val="16"/>
                <w:b w:val="1"/>
                <w:bCs w:val="1"/>
                <w:color w:val="auto"/>
                <w:w w:val="90"/>
              </w:rPr>
              <w:t>December 31,</w:t>
            </w:r>
          </w:p>
        </w:tc>
        <w:tc>
          <w:tcPr>
            <w:tcW w:w="920" w:type="dxa"/>
            <w:vAlign w:val="bottom"/>
            <w:tcBorders>
              <w:bottom w:val="single" w:sz="8" w:color="auto"/>
            </w:tcBorders>
          </w:tcPr>
          <w:p>
            <w:pPr>
              <w:spacing w:after="0"/>
              <w:rPr>
                <w:sz w:val="18"/>
                <w:szCs w:val="18"/>
                <w:color w:val="auto"/>
              </w:rPr>
            </w:pPr>
          </w:p>
        </w:tc>
      </w:tr>
      <w:tr>
        <w:trPr>
          <w:trHeight w:val="209"/>
        </w:trPr>
        <w:tc>
          <w:tcPr>
            <w:tcW w:w="39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B</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Distributor 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Distributor 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Amount related to the respective customer represented less than 10% for the period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carrying value and estimated fair value of certain of the Company’s common stock warrants was determined using the Black-Scholes pricing model as of December 31, 2021 (see Note 5, “Fair Value Measurements”).</w:t>
      </w:r>
    </w:p>
    <w:p>
      <w:pPr>
        <w:spacing w:after="0" w:line="160" w:lineRule="exact"/>
        <w:rPr>
          <w:sz w:val="20"/>
          <w:szCs w:val="20"/>
          <w:color w:val="auto"/>
        </w:rPr>
      </w:pPr>
    </w:p>
    <w:p>
      <w:pPr>
        <w:jc w:val="both"/>
        <w:ind w:right="260" w:firstLine="810"/>
        <w:spacing w:after="0" w:line="311" w:lineRule="auto"/>
        <w:rPr>
          <w:sz w:val="20"/>
          <w:szCs w:val="20"/>
          <w:color w:val="auto"/>
        </w:rPr>
      </w:pPr>
      <w:r>
        <w:rPr>
          <w:rFonts w:ascii="Arial" w:cs="Arial" w:eastAsia="Arial" w:hAnsi="Arial"/>
          <w:sz w:val="16"/>
          <w:szCs w:val="16"/>
          <w:color w:val="auto"/>
        </w:rPr>
        <w:t>The Company’s convertible senior notes are carried at amortized cost on the consolidated balance sheets (see Note 7, “Debt”). The Company measures the fair value of its convertible senior notes for disclosure purposes. The Company estimated the fair value of its convertible senior notes to be $260.5 million and $430.0 million at December 31, 2022 and December 31, 2021, respectively, based on Level 2 quoted market prices as of those 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85"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Property and Equipment</w:t>
      </w:r>
    </w:p>
    <w:p>
      <w:pPr>
        <w:spacing w:after="0" w:line="185" w:lineRule="exact"/>
        <w:rPr>
          <w:sz w:val="20"/>
          <w:szCs w:val="20"/>
          <w:color w:val="auto"/>
        </w:rPr>
      </w:pPr>
    </w:p>
    <w:p>
      <w:pPr>
        <w:ind w:right="80" w:firstLine="810"/>
        <w:spacing w:after="0" w:line="275" w:lineRule="auto"/>
        <w:rPr>
          <w:sz w:val="20"/>
          <w:szCs w:val="20"/>
          <w:color w:val="auto"/>
        </w:rPr>
      </w:pPr>
      <w:r>
        <w:rPr>
          <w:rFonts w:ascii="Arial" w:cs="Arial" w:eastAsia="Arial" w:hAnsi="Arial"/>
          <w:sz w:val="17"/>
          <w:szCs w:val="17"/>
          <w:color w:val="auto"/>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and related equipment are amortized over the lesser of the estimated useful lives of the assets or the remaining lease term, unless there is a transfer of title or purchase option that is reasonably certain to be exercised. Maintenance and repair costs are expensed as incurred.</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Operating Lease Right-of-Use Assets and Liabilities</w:t>
      </w:r>
    </w:p>
    <w:p>
      <w:pPr>
        <w:spacing w:after="0" w:line="185"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(the Commencement Date) based on the present value of lease payments over the lease term. For lease agreements entered into or reassessed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0" w:name="page81"/>
    <w:bookmarkEnd w:id="80"/>
    <w:p>
      <w:pPr>
        <w:ind w:left="820"/>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198" w:lineRule="exact"/>
        <w:rPr>
          <w:sz w:val="20"/>
          <w:szCs w:val="20"/>
          <w:color w:val="auto"/>
        </w:rPr>
      </w:pPr>
    </w:p>
    <w:p>
      <w:pPr>
        <w:ind w:right="500" w:firstLine="810"/>
        <w:spacing w:after="0" w:line="263" w:lineRule="auto"/>
        <w:rPr>
          <w:sz w:val="20"/>
          <w:szCs w:val="20"/>
          <w:color w:val="auto"/>
        </w:rPr>
      </w:pPr>
      <w:r>
        <w:rPr>
          <w:rFonts w:ascii="Arial" w:cs="Arial" w:eastAsia="Arial" w:hAnsi="Arial"/>
          <w:sz w:val="18"/>
          <w:szCs w:val="18"/>
          <w:color w:val="auto"/>
        </w:rPr>
        <w:t>Finite-lived intangible assets (see Note 4, “Composition of Certain Financial Statement Items”) are recorded at cost, net of accumulated amortization and, if applicable, impairment charges. Amortization of finite-lived intangible assets is recognized over their estimated useful lives on a straight-line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additional impairment charges in future periods. Other than the impairment of operating lease right-of-use assets recognized in the fourth quarter of 2022 (see Note 6, “Leases”), there were no impairments of long-lived assets, including acquired intangible assets, during the years ended December 31, 2022 and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85"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During the third quarter of 2022, the Company made an investment of Swiss Francs (“CHF”) 8.0 million, or $8.3 million, in AMF Medical SA (“AMF Medical”), a privately held company. The investment is included as a component of other long-term assets on the consolidated balance sheet at December 31, 2022. On January 19, 2023, the Company completed the acquisition of AMF Medical, pursuant to the terms of the Purchase Agreement entered into on December 13, 2022 (see Note 15, “Subsequent Event”).</w:t>
      </w:r>
    </w:p>
    <w:p>
      <w:pPr>
        <w:spacing w:after="0" w:line="146"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During the second quarter of 2021, the Company made an $8.1 million equity investment in a private company, which represented less than 5% of the outstanding equity of that company as of the date of investment. The investment is carried at cost minus impairment, if any, adjusted for changes in observable prices and is included as a component of other long-term assets on the consolidated balance sheets. The Company monitors this investment to evaluate whether any increase or decline in its value has occurred, based on the implied value of recent company financings, public market prices of comparable companies and general market conditions.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1" w:name="page82"/>
    <w:bookmarkEnd w:id="81"/>
    <w:p>
      <w:pPr>
        <w:ind w:left="820"/>
        <w:spacing w:after="0"/>
        <w:rPr>
          <w:sz w:val="20"/>
          <w:szCs w:val="20"/>
          <w:color w:val="auto"/>
        </w:rPr>
      </w:pPr>
      <w:r>
        <w:rPr>
          <w:rFonts w:ascii="Arial" w:cs="Arial" w:eastAsia="Arial" w:hAnsi="Arial"/>
          <w:sz w:val="18"/>
          <w:szCs w:val="18"/>
          <w:i w:val="1"/>
          <w:iCs w:val="1"/>
          <w:color w:val="auto"/>
        </w:rPr>
        <w:t>Revenue Recognition for Arrangements with Multiple Performance Obligations</w:t>
      </w:r>
    </w:p>
    <w:p>
      <w:pPr>
        <w:spacing w:after="0" w:line="198" w:lineRule="exact"/>
        <w:rPr>
          <w:sz w:val="20"/>
          <w:szCs w:val="20"/>
          <w:color w:val="auto"/>
        </w:rPr>
      </w:pPr>
    </w:p>
    <w:p>
      <w:pPr>
        <w:ind w:right="20" w:firstLine="810"/>
        <w:spacing w:after="0" w:line="288"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2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Tandem Choice Program</w:t>
      </w:r>
    </w:p>
    <w:p>
      <w:pPr>
        <w:spacing w:after="0" w:line="185" w:lineRule="exact"/>
        <w:rPr>
          <w:sz w:val="20"/>
          <w:szCs w:val="20"/>
          <w:color w:val="auto"/>
        </w:rPr>
      </w:pPr>
    </w:p>
    <w:p>
      <w:pPr>
        <w:ind w:right="80" w:firstLine="810"/>
        <w:spacing w:after="0" w:line="259" w:lineRule="auto"/>
        <w:rPr>
          <w:sz w:val="20"/>
          <w:szCs w:val="20"/>
          <w:color w:val="auto"/>
        </w:rPr>
      </w:pPr>
      <w:r>
        <w:rPr>
          <w:rFonts w:ascii="Arial" w:cs="Arial" w:eastAsia="Arial" w:hAnsi="Arial"/>
          <w:sz w:val="18"/>
          <w:szCs w:val="18"/>
          <w:color w:val="auto"/>
        </w:rPr>
        <w:t>In September 2022, the Company announced and launched a new technology access program, (Tandem Choice) that provides eligible, in-warranty t:slim X2 customers in the United States with the flexibility to obtain the newest hardware platform when it is commercially available. Participating customers have the right to purchase the alternative Tandem pump for a fee (the Choice Right). The Tandem Choice expires on December 31, 2024.</w:t>
      </w:r>
    </w:p>
    <w:p>
      <w:pPr>
        <w:spacing w:after="0" w:line="160"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For purposes of evaluating the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contemplates the likelihood that the respective option will be exercised. At December 31, 2022, $6.8 million was allocated to the material right and recorded in current deferred revenue on the consolidated balance sheet.</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18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Company offers a 90-day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$0.5 million and $0.6 million at December 31, 2022 and 2021, respectively. Actual product returns have not differed materially from estimated amounts recorded in the accompanying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consolidated statements of operations.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2" w:name="page83"/>
    <w:bookmarkEnd w:id="82"/>
    <w:p>
      <w:pPr>
        <w:ind w:right="40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changes in product warranty liabilities for the years ended months ended December 31, 2022 and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110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Provision for warranties issued during the period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in warranty estimates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48"/>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As of December 31, 2022 and December 31, 2021, total product warranty reserves were included in the following consolidated balance sheet accounts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2021</w:t>
            </w:r>
          </w:p>
        </w:tc>
      </w:tr>
      <w:tr>
        <w:trPr>
          <w:trHeight w:val="226"/>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w:t>
            </w: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w:t>
            </w:r>
          </w:p>
        </w:tc>
      </w:tr>
      <w:tr>
        <w:trPr>
          <w:trHeight w:val="248"/>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warranty reserve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60" w:firstLine="810"/>
        <w:spacing w:after="0" w:line="287"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Shipping and handling expenses associated with product delivery are included within cost of sales in the Company’s statements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Amounts billed to a customer for shipping and handling are reported as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100" w:firstLine="810"/>
        <w:spacing w:after="0" w:line="311" w:lineRule="auto"/>
        <w:rPr>
          <w:sz w:val="20"/>
          <w:szCs w:val="20"/>
          <w:color w:val="auto"/>
        </w:rPr>
      </w:pPr>
      <w:r>
        <w:rPr>
          <w:rFonts w:ascii="Arial" w:cs="Arial" w:eastAsia="Arial" w:hAnsi="Arial"/>
          <w:sz w:val="16"/>
          <w:szCs w:val="16"/>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licensing, development and commercialization agreements, and other indirect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98"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Acquired in-process research and development (IPR&amp;D) expenses reflect the costs of externally developed IPR&amp;D projects acquired directly in a transaction other than a business combination that do not have an alternative future use, including the initial costs of rights to IPR&amp;D projects. The acquired IPR&amp;D is expensed on acquisition date. Future costs to develop these IPR&amp;D projects are recorded in research and development expenses on the consolidated statements of operations as incurred.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00" w:firstLine="810"/>
        <w:spacing w:after="0" w:line="270" w:lineRule="auto"/>
        <w:rPr>
          <w:sz w:val="20"/>
          <w:szCs w:val="20"/>
          <w:color w:val="auto"/>
        </w:rPr>
      </w:pPr>
      <w:r>
        <w:rPr>
          <w:rFonts w:ascii="Arial" w:cs="Arial" w:eastAsia="Arial" w:hAnsi="Arial"/>
          <w:sz w:val="17"/>
          <w:szCs w:val="17"/>
          <w:color w:val="auto"/>
        </w:rPr>
        <w:t>The Company uses the asset and liability method of accounting for income taxes. Deferred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statement of operations for the period that the adjustment is determined to be required.</w:t>
      </w:r>
    </w:p>
    <w:p>
      <w:pPr>
        <w:spacing w:after="0" w:line="14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to be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The Company includes interest and penalties related to income taxes, including unrecognized tax benefits, within income tax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98" w:lineRule="exact"/>
        <w:rPr>
          <w:sz w:val="20"/>
          <w:szCs w:val="20"/>
          <w:color w:val="auto"/>
        </w:rPr>
      </w:pPr>
    </w:p>
    <w:p>
      <w:pPr>
        <w:ind w:right="60" w:firstLine="810"/>
        <w:spacing w:after="0" w:line="311" w:lineRule="auto"/>
        <w:rPr>
          <w:sz w:val="20"/>
          <w:szCs w:val="20"/>
          <w:color w:val="auto"/>
        </w:rPr>
      </w:pPr>
      <w:r>
        <w:rPr>
          <w:rFonts w:ascii="Arial" w:cs="Arial" w:eastAsia="Arial" w:hAnsi="Arial"/>
          <w:sz w:val="16"/>
          <w:szCs w:val="16"/>
          <w:color w:val="auto"/>
        </w:rPr>
        <w:t>All components of comprehensive income (loss), including net income (loss), are reported in the consolidated financial statements in the period in which they are recognized. Comprehensive income (loss) is defined as the change in equity during a period from transactions and other events and circumstances from non-owner sources, including unrealized gains and losses on marketable securities and foreign currency translation adjustments.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85"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w:t>
      </w:r>
    </w:p>
    <w:p>
      <w:pPr>
        <w:spacing w:after="0" w:line="165"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For the years ended December 31, 2022, 2021 and 2020, the numerator and denominator of the diluted net income (loss) per share computation were calculated as follows (in thousands):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0"/>
        </w:trPr>
        <w:tc>
          <w:tcPr>
            <w:tcW w:w="60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r>
      <w:tr>
        <w:trPr>
          <w:trHeight w:val="224"/>
        </w:trPr>
        <w:tc>
          <w:tcPr>
            <w:tcW w:w="608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Net income (loss) - basic and diluted</w:t>
            </w:r>
          </w:p>
        </w:tc>
        <w:tc>
          <w:tcPr>
            <w:tcW w:w="1000" w:type="dxa"/>
            <w:vAlign w:val="bottom"/>
            <w:tcBorders>
              <w:bottom w:val="single" w:sz="8" w:color="auto"/>
            </w:tcBorders>
            <w:shd w:val="clear" w:color="auto" w:fill="CCEEFF"/>
          </w:tcPr>
          <w:p>
            <w:pPr>
              <w:jc w:val="right"/>
              <w:ind w:right="795"/>
              <w:spacing w:after="0" w:line="199"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w w:val="89"/>
              </w:rPr>
              <w:t>(94,594)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199"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15,566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199"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(34,382)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60,990</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Dilutive common share equivalents: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Unvested restricted stock units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Awards to be granted under the ESPP</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810"/>
        <w:spacing w:after="0" w:line="261" w:lineRule="auto"/>
        <w:rPr>
          <w:sz w:val="20"/>
          <w:szCs w:val="20"/>
          <w:color w:val="auto"/>
        </w:rPr>
      </w:pPr>
      <w:r>
        <w:rPr>
          <w:rFonts w:ascii="Arial" w:cs="Arial" w:eastAsia="Arial" w:hAnsi="Arial"/>
          <w:sz w:val="18"/>
          <w:szCs w:val="18"/>
          <w:color w:val="auto"/>
        </w:rPr>
        <w:t>Potentially dilutive securities outstanding and not included in the calculation of diluted net income (loss) per share (because inclusion would be anti-dilutive) are as follows (in thousands, in common stock equivalent shares):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302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w w:val="97"/>
              </w:rPr>
              <w:t>Year Ended December 31,</w:t>
            </w:r>
          </w:p>
        </w:tc>
        <w:tc>
          <w:tcPr>
            <w:tcW w:w="940" w:type="dxa"/>
            <w:vAlign w:val="bottom"/>
            <w:tcBorders>
              <w:bottom w:val="single" w:sz="8" w:color="auto"/>
            </w:tcBorders>
          </w:tcPr>
          <w:p>
            <w:pPr>
              <w:spacing w:after="0"/>
              <w:rPr>
                <w:sz w:val="18"/>
                <w:szCs w:val="18"/>
                <w:color w:val="auto"/>
              </w:rPr>
            </w:pPr>
          </w:p>
        </w:tc>
      </w:tr>
      <w:tr>
        <w:trPr>
          <w:trHeight w:val="210"/>
        </w:trPr>
        <w:tc>
          <w:tcPr>
            <w:tcW w:w="72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r>
      <w:tr>
        <w:trPr>
          <w:trHeight w:val="22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2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Awards granted under the ESPP</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(if-converted)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23"/>
        </w:trPr>
        <w:tc>
          <w:tcPr>
            <w:tcW w:w="7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w:t>
            </w:r>
          </w:p>
        </w:tc>
      </w:tr>
      <w:tr>
        <w:trPr>
          <w:trHeight w:val="21"/>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189"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December 31, 2022 and December 31, 2021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2022</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213,105</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211,161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At December 31, 2021</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Gross Unrealized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Gross Unrealized</w:t>
            </w:r>
          </w:p>
        </w:tc>
        <w:tc>
          <w:tcPr>
            <w:tcW w:w="200" w:type="dxa"/>
            <w:vAlign w:val="bottom"/>
          </w:tcPr>
          <w:p>
            <w:pPr>
              <w:spacing w:after="0"/>
              <w:rPr>
                <w:sz w:val="16"/>
                <w:szCs w:val="16"/>
                <w:color w:val="auto"/>
              </w:rPr>
            </w:pPr>
          </w:p>
        </w:tc>
        <w:tc>
          <w:tcPr>
            <w:tcW w:w="1120" w:type="dxa"/>
            <w:vAlign w:val="bottom"/>
          </w:tcPr>
          <w:p>
            <w:pPr>
              <w:jc w:val="right"/>
              <w:ind w:right="232"/>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4"/>
              </w:rPr>
              <w:t>Cost</w:t>
            </w:r>
          </w:p>
        </w:tc>
        <w:tc>
          <w:tcPr>
            <w:tcW w:w="30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95"/>
              </w:rPr>
              <w:t>Gain</w:t>
            </w:r>
          </w:p>
        </w:tc>
        <w:tc>
          <w:tcPr>
            <w:tcW w:w="320" w:type="dxa"/>
            <w:vAlign w:val="bottom"/>
          </w:tcPr>
          <w:p>
            <w:pPr>
              <w:spacing w:after="0"/>
              <w:rPr>
                <w:sz w:val="15"/>
                <w:szCs w:val="15"/>
                <w:color w:val="auto"/>
              </w:rPr>
            </w:pPr>
          </w:p>
        </w:tc>
        <w:tc>
          <w:tcPr>
            <w:tcW w:w="112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5"/>
                <w:szCs w:val="15"/>
                <w:color w:val="auto"/>
              </w:rPr>
            </w:pPr>
          </w:p>
        </w:tc>
        <w:tc>
          <w:tcPr>
            <w:tcW w:w="1120" w:type="dxa"/>
            <w:vAlign w:val="bottom"/>
          </w:tcPr>
          <w:p>
            <w:pPr>
              <w:jc w:val="right"/>
              <w:ind w:right="212"/>
              <w:spacing w:after="0" w:line="175"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222,206</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U.S. Government-sponsored enterprises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80"/>
              <w:spacing w:after="0"/>
              <w:rPr>
                <w:sz w:val="20"/>
                <w:szCs w:val="20"/>
                <w:color w:val="auto"/>
              </w:rPr>
            </w:pPr>
            <w:r>
              <w:rPr>
                <w:rFonts w:ascii="Arial" w:cs="Arial" w:eastAsia="Arial" w:hAnsi="Arial"/>
                <w:sz w:val="18"/>
                <w:szCs w:val="18"/>
                <w:color w:val="auto"/>
              </w:rPr>
              <w:t>Supranational bonds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contractual maturities of available-for-sale debt securities as of December 31, 2022,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5"/>
          </w:tcPr>
          <w:p>
            <w:pPr>
              <w:ind w:left="1060"/>
              <w:spacing w:after="0"/>
              <w:rPr>
                <w:sz w:val="20"/>
                <w:szCs w:val="20"/>
                <w:color w:val="auto"/>
              </w:rPr>
            </w:pPr>
            <w:r>
              <w:rPr>
                <w:rFonts w:ascii="Arial" w:cs="Arial" w:eastAsia="Arial" w:hAnsi="Arial"/>
                <w:sz w:val="16"/>
                <w:szCs w:val="16"/>
                <w:b w:val="1"/>
                <w:bCs w:val="1"/>
                <w:color w:val="auto"/>
              </w:rPr>
              <w:t>Years to Maturity</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54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At December 31, 2022</w:t>
            </w:r>
          </w:p>
        </w:tc>
        <w:tc>
          <w:tcPr>
            <w:tcW w:w="2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ind w:left="120"/>
              <w:spacing w:after="0" w:line="175" w:lineRule="exact"/>
              <w:rPr>
                <w:sz w:val="20"/>
                <w:szCs w:val="20"/>
                <w:color w:val="auto"/>
              </w:rPr>
            </w:pPr>
            <w:r>
              <w:rPr>
                <w:rFonts w:ascii="Arial" w:cs="Arial" w:eastAsia="Arial" w:hAnsi="Arial"/>
                <w:sz w:val="16"/>
                <w:szCs w:val="16"/>
                <w:b w:val="1"/>
                <w:bCs w:val="1"/>
                <w:color w:val="auto"/>
              </w:rPr>
              <w:t>Within One Year</w:t>
            </w:r>
          </w:p>
        </w:tc>
        <w:tc>
          <w:tcPr>
            <w:tcW w:w="2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211"/>
              <w:spacing w:after="0" w:line="175" w:lineRule="exact"/>
              <w:rPr>
                <w:sz w:val="20"/>
                <w:szCs w:val="20"/>
                <w:color w:val="auto"/>
              </w:rPr>
            </w:pPr>
            <w:r>
              <w:rPr>
                <w:rFonts w:ascii="Arial" w:cs="Arial" w:eastAsia="Arial" w:hAnsi="Arial"/>
                <w:sz w:val="16"/>
                <w:szCs w:val="16"/>
                <w:b w:val="1"/>
                <w:bCs w:val="1"/>
                <w:color w:val="auto"/>
                <w:w w:val="97"/>
              </w:rPr>
              <w:t>One to Two Years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right"/>
              <w:ind w:right="111"/>
              <w:spacing w:after="0" w:line="175" w:lineRule="exact"/>
              <w:rPr>
                <w:sz w:val="20"/>
                <w:szCs w:val="20"/>
                <w:color w:val="auto"/>
              </w:rPr>
            </w:pPr>
            <w:r>
              <w:rPr>
                <w:rFonts w:ascii="Arial" w:cs="Arial" w:eastAsia="Arial" w:hAnsi="Arial"/>
                <w:sz w:val="16"/>
                <w:szCs w:val="16"/>
                <w:b w:val="1"/>
                <w:bCs w:val="1"/>
                <w:color w:val="auto"/>
                <w:w w:val="95"/>
              </w:rPr>
              <w:t>Estimated 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211,161</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112,610</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Government-sponsored enterprises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w:t>
            </w:r>
          </w:p>
        </w:tc>
      </w:tr>
      <w:tr>
        <w:trPr>
          <w:trHeight w:val="229"/>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18,114</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23"/>
        </w:trPr>
        <w:tc>
          <w:tcPr>
            <w:tcW w:w="20" w:type="dxa"/>
            <w:vAlign w:val="bottom"/>
          </w:tcPr>
          <w:p>
            <w:pPr>
              <w:spacing w:after="0"/>
              <w:rPr>
                <w:sz w:val="19"/>
                <w:szCs w:val="19"/>
                <w:color w:val="auto"/>
              </w:rPr>
            </w:pPr>
          </w:p>
        </w:tc>
        <w:tc>
          <w:tcPr>
            <w:tcW w:w="54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444,384</w:t>
            </w:r>
          </w:p>
        </w:tc>
      </w:tr>
      <w:tr>
        <w:trPr>
          <w:trHeight w:val="21"/>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firstLine="810"/>
        <w:spacing w:after="0" w:line="261"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44"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December 31, 2022 were primarily due to the recent increase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Composition of Certain Financial Statement Items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net consisted of the following at December 31, 2022 and December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tcPr>
          <w:p>
            <w:pPr>
              <w:spacing w:after="0"/>
              <w:rPr>
                <w:sz w:val="18"/>
                <w:szCs w:val="18"/>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2021</w:t>
            </w:r>
          </w:p>
        </w:tc>
      </w:tr>
      <w:tr>
        <w:trPr>
          <w:trHeight w:val="22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119,044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114,974</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114,717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provides a reconciliation of the changes in the allowance for estimated accounts receivable credit losses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6"/>
                <w:szCs w:val="16"/>
                <w:b w:val="1"/>
                <w:bCs w:val="1"/>
                <w:color w:val="auto"/>
                <w:w w:val="91"/>
              </w:rPr>
              <w:t>Year Ended December 31,</w:t>
            </w:r>
          </w:p>
        </w:tc>
        <w:tc>
          <w:tcPr>
            <w:tcW w:w="96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8"/>
              </w:rPr>
              <w:t>4,249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3"/>
              </w:rPr>
              <w:t>3,857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12"/>
              <w:spacing w:after="0"/>
              <w:rPr>
                <w:sz w:val="20"/>
                <w:szCs w:val="20"/>
                <w:color w:val="auto"/>
              </w:rPr>
            </w:pPr>
            <w:r>
              <w:rPr>
                <w:rFonts w:ascii="Arial" w:cs="Arial" w:eastAsia="Arial" w:hAnsi="Arial"/>
                <w:sz w:val="18"/>
                <w:szCs w:val="18"/>
                <w:color w:val="auto"/>
                <w:w w:val="88"/>
              </w:rPr>
              <w:t>3,304</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Provision for expected credit losses</w:t>
            </w:r>
          </w:p>
        </w:tc>
        <w:tc>
          <w:tcPr>
            <w:tcW w:w="300" w:type="dxa"/>
            <w:vAlign w:val="bottom"/>
          </w:tcPr>
          <w:p>
            <w:pPr>
              <w:spacing w:after="0"/>
              <w:rPr>
                <w:sz w:val="19"/>
                <w:szCs w:val="19"/>
                <w:color w:val="auto"/>
              </w:rPr>
            </w:pPr>
          </w:p>
        </w:tc>
        <w:tc>
          <w:tcPr>
            <w:tcW w:w="1000" w:type="dxa"/>
            <w:vAlign w:val="bottom"/>
          </w:tcPr>
          <w:p>
            <w:pPr>
              <w:jc w:val="center"/>
              <w:ind w:left="353"/>
              <w:spacing w:after="0"/>
              <w:rPr>
                <w:sz w:val="20"/>
                <w:szCs w:val="20"/>
                <w:color w:val="auto"/>
              </w:rPr>
            </w:pPr>
            <w:r>
              <w:rPr>
                <w:rFonts w:ascii="Arial" w:cs="Arial" w:eastAsia="Arial" w:hAnsi="Arial"/>
                <w:sz w:val="18"/>
                <w:szCs w:val="18"/>
                <w:color w:val="auto"/>
                <w:w w:val="88"/>
              </w:rPr>
              <w:t>4,782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352"/>
              <w:spacing w:after="0"/>
              <w:rPr>
                <w:sz w:val="20"/>
                <w:szCs w:val="20"/>
                <w:color w:val="auto"/>
              </w:rPr>
            </w:pPr>
            <w:r>
              <w:rPr>
                <w:rFonts w:ascii="Arial" w:cs="Arial" w:eastAsia="Arial" w:hAnsi="Arial"/>
                <w:sz w:val="18"/>
                <w:szCs w:val="18"/>
                <w:color w:val="auto"/>
                <w:w w:val="93"/>
              </w:rPr>
              <w:t>2,333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2"/>
              <w:spacing w:after="0"/>
              <w:rPr>
                <w:sz w:val="20"/>
                <w:szCs w:val="20"/>
                <w:color w:val="auto"/>
              </w:rPr>
            </w:pPr>
            <w:r>
              <w:rPr>
                <w:rFonts w:ascii="Arial" w:cs="Arial" w:eastAsia="Arial" w:hAnsi="Arial"/>
                <w:sz w:val="18"/>
                <w:szCs w:val="18"/>
                <w:color w:val="auto"/>
                <w:w w:val="88"/>
              </w:rPr>
              <w:t>3,016</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and adjustments, net of recoveries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333"/>
              <w:spacing w:after="0"/>
              <w:rPr>
                <w:sz w:val="20"/>
                <w:szCs w:val="20"/>
                <w:color w:val="auto"/>
              </w:rPr>
            </w:pPr>
            <w:r>
              <w:rPr>
                <w:rFonts w:ascii="Arial" w:cs="Arial" w:eastAsia="Arial" w:hAnsi="Arial"/>
                <w:sz w:val="18"/>
                <w:szCs w:val="18"/>
                <w:color w:val="auto"/>
                <w:w w:val="94"/>
              </w:rPr>
              <w:t>(4,704)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91"/>
              </w:rPr>
              <w:t>(1,941)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4"/>
              </w:rPr>
              <w:t>(2,463)</w:t>
            </w:r>
          </w:p>
        </w:tc>
      </w:tr>
      <w:tr>
        <w:trPr>
          <w:trHeight w:val="223"/>
        </w:trPr>
        <w:tc>
          <w:tcPr>
            <w:tcW w:w="7200" w:type="dxa"/>
            <w:vAlign w:val="bottom"/>
          </w:tcPr>
          <w:p>
            <w:pPr>
              <w:ind w:left="180"/>
              <w:spacing w:after="0"/>
              <w:rPr>
                <w:sz w:val="20"/>
                <w:szCs w:val="20"/>
                <w:color w:val="auto"/>
              </w:rPr>
            </w:pPr>
            <w:r>
              <w:rPr>
                <w:rFonts w:ascii="Arial" w:cs="Arial" w:eastAsia="Arial" w:hAnsi="Arial"/>
                <w:sz w:val="18"/>
                <w:szCs w:val="18"/>
                <w:color w:val="auto"/>
              </w:rPr>
              <w:t>Balance at end of the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8"/>
              </w:rPr>
              <w:t>4,327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w w:val="93"/>
              </w:rPr>
              <w:t>4,249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color w:val="auto"/>
                <w:w w:val="88"/>
              </w:rPr>
              <w:t>3,857</w:t>
            </w: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Inventories consisted of the following at December 31, 2022 and December 31, 2021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9"/>
              </w:rPr>
              <w:t>2021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111,117</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8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80" w:type="dxa"/>
            <w:vAlign w:val="bottom"/>
          </w:tcPr>
          <w:p>
            <w:pPr>
              <w:ind w:left="820"/>
              <w:spacing w:after="0"/>
              <w:rPr>
                <w:sz w:val="20"/>
                <w:szCs w:val="20"/>
                <w:color w:val="auto"/>
              </w:rPr>
            </w:pPr>
            <w:r>
              <w:rPr>
                <w:rFonts w:ascii="Arial" w:cs="Arial" w:eastAsia="Arial" w:hAnsi="Arial"/>
                <w:sz w:val="18"/>
                <w:szCs w:val="18"/>
                <w:color w:val="auto"/>
              </w:rPr>
              <w:t>Property and equipment, net consisted of the following at (in thousands):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13,772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and scientific equipment</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62,797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(56,175)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68,552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$12.3 million, $11.7 million, and $9.2 million for the years ended December 31, 2022, 2021, and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198" w:lineRule="exact"/>
        <w:rPr>
          <w:sz w:val="20"/>
          <w:szCs w:val="20"/>
          <w:color w:val="auto"/>
        </w:rPr>
      </w:pPr>
    </w:p>
    <w:p>
      <w:pPr>
        <w:ind w:right="120" w:firstLine="810"/>
        <w:spacing w:after="0" w:line="286" w:lineRule="auto"/>
        <w:rPr>
          <w:sz w:val="20"/>
          <w:szCs w:val="20"/>
          <w:color w:val="auto"/>
        </w:rPr>
      </w:pPr>
      <w:r>
        <w:rPr>
          <w:rFonts w:ascii="Arial" w:cs="Arial" w:eastAsia="Arial" w:hAnsi="Arial"/>
          <w:sz w:val="17"/>
          <w:szCs w:val="17"/>
          <w:color w:val="auto"/>
        </w:rPr>
        <w:t>Intangible assets subject to amortization consist of technology-based intangibles related to the Company’s acquisition of Sugarmate, as well as patents purchased or licensed that are related to the Company’s commercialized products. Intangible assets at December 31, 2022 and 2021, which were included in other long-term assets on the consolidated balance sheets,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2021</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gross amount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12,502</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4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remaining amortization period (in months)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Amortization expense related to intangible assets subject to amortization amounted to $2.0 million, $2.2 million and $1.2 million for the years ended December 31, 2022, 2021 and 2020, respectively. The amortization expense is recorded in cost of sales and selling, general and administrative expense in the consolidated statement of operations. The estimated aggregate amortization expense for each of the three succeeding years is $1.9 million for 2023, $1.9 million for 2024, and the remaining $0.9 million in 2025, all of which will be recorded in selling, general and administrative expense in the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firstLine="810"/>
        <w:spacing w:after="0" w:line="243"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06" w:lineRule="exact"/>
        <w:rPr>
          <w:sz w:val="20"/>
          <w:szCs w:val="20"/>
          <w:color w:val="auto"/>
        </w:rPr>
      </w:pPr>
    </w:p>
    <w:p>
      <w:pPr>
        <w:ind w:left="1000" w:right="220" w:hanging="971"/>
        <w:spacing w:after="0" w:line="246" w:lineRule="auto"/>
        <w:tabs>
          <w:tab w:leader="none" w:pos="9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48" w:lineRule="exact"/>
        <w:rPr>
          <w:sz w:val="20"/>
          <w:szCs w:val="20"/>
          <w:color w:val="auto"/>
        </w:rPr>
      </w:pPr>
    </w:p>
    <w:p>
      <w:pPr>
        <w:ind w:left="1000" w:right="40" w:hanging="971"/>
        <w:spacing w:after="0" w:line="246" w:lineRule="auto"/>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48" w:lineRule="exact"/>
        <w:rPr>
          <w:sz w:val="20"/>
          <w:szCs w:val="20"/>
          <w:color w:val="auto"/>
        </w:rPr>
      </w:pPr>
    </w:p>
    <w:p>
      <w:pPr>
        <w:ind w:left="1000" w:right="560" w:hanging="971"/>
        <w:spacing w:after="0" w:line="246" w:lineRule="auto"/>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2022 and December 31, 2021, and indicates the fair value hierarchy of the valuation techniques used by the Company to determine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150,742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150,742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595,126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1"/>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Fair Value Measurements at</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5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09"/>
        </w:trPr>
        <w:tc>
          <w:tcPr>
            <w:tcW w:w="5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jc w:val="right"/>
              <w:ind w:right="311"/>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Cash equivalents</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Government-sponsored enterprises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600,916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270,010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330,906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Common stock warrants</w:t>
            </w:r>
            <w:r>
              <w:rPr>
                <w:rFonts w:ascii="Arial" w:cs="Arial" w:eastAsia="Arial" w:hAnsi="Arial"/>
                <w:sz w:val="23"/>
                <w:szCs w:val="23"/>
                <w:color w:val="auto"/>
                <w:vertAlign w:val="superscript"/>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40" w:hanging="308"/>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Generally, cash equivalents include money market funds and investments with a maturity of three months or less from the date of purchase.</w:t>
      </w:r>
    </w:p>
    <w:p>
      <w:pPr>
        <w:spacing w:after="0" w:line="34" w:lineRule="exact"/>
        <w:rPr>
          <w:rFonts w:ascii="Arial" w:cs="Arial" w:eastAsia="Arial" w:hAnsi="Arial"/>
          <w:sz w:val="17"/>
          <w:szCs w:val="17"/>
          <w:color w:val="auto"/>
        </w:rPr>
      </w:pPr>
    </w:p>
    <w:p>
      <w:pPr>
        <w:ind w:left="640" w:hanging="30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Included in other current liabilities on the Company’s consolidated balance sheet.</w:t>
      </w:r>
    </w:p>
    <w:p>
      <w:pPr>
        <w:spacing w:after="0" w:line="211"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46"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The Company's Level 3 liabilities at December 31, 2021 included outstanding Series A warrants to purchase 1,000 shares of the Company’s common stock, issued by the Company in connection with the public offering of common stock in October 2017 and which expired in October 2022. The fair value of the outstanding Series A common stock warrants was remeasured at each financial reporting date using a Black-Scholes pricing model with any changes in fair value being recognized as a component of other income (expense) in the consolidated statements of operations and comprehensive income (loss). The assumptions used to estimate the fair values of the outstanding Series A warrants at December 31, 2021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84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55" w:lineRule="exact"/>
        <w:rPr>
          <w:sz w:val="20"/>
          <w:szCs w:val="20"/>
          <w:color w:val="auto"/>
        </w:rPr>
      </w:pPr>
    </w:p>
    <w:p>
      <w:pPr>
        <w:jc w:val="both"/>
        <w:ind w:right="20" w:firstLine="810"/>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Level 3 financial liabilities for the years ended December 31, 2022, 2021 and 2020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87"/>
              </w:rPr>
              <w:t>23,509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(Gain) loss recognized from the change in fair value of common stock warrants</w:t>
            </w:r>
          </w:p>
        </w:tc>
        <w:tc>
          <w:tcPr>
            <w:tcW w:w="10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432"/>
              <w:spacing w:after="0"/>
              <w:rPr>
                <w:sz w:val="20"/>
                <w:szCs w:val="20"/>
                <w:color w:val="auto"/>
              </w:rPr>
            </w:pPr>
            <w:r>
              <w:rPr>
                <w:rFonts w:ascii="Arial" w:cs="Arial" w:eastAsia="Arial" w:hAnsi="Arial"/>
                <w:sz w:val="18"/>
                <w:szCs w:val="18"/>
                <w:color w:val="auto"/>
                <w:w w:val="87"/>
              </w:rPr>
              <w:t>17,087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exercised during the period</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92"/>
              </w:rPr>
              <w:t>(26,335)</w:t>
            </w:r>
          </w:p>
        </w:tc>
        <w:tc>
          <w:tcPr>
            <w:tcW w:w="0" w:type="dxa"/>
            <w:vAlign w:val="bottom"/>
          </w:tcPr>
          <w:p>
            <w:pPr>
              <w:spacing w:after="0"/>
              <w:rPr>
                <w:sz w:val="1"/>
                <w:szCs w:val="1"/>
                <w:color w:val="auto"/>
              </w:rPr>
            </w:pPr>
          </w:p>
        </w:tc>
      </w:tr>
      <w:tr>
        <w:trPr>
          <w:trHeight w:val="223"/>
        </w:trPr>
        <w:tc>
          <w:tcPr>
            <w:tcW w:w="656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87"/>
              </w:rPr>
              <w:t>14,261</w:t>
            </w:r>
          </w:p>
        </w:tc>
        <w:tc>
          <w:tcPr>
            <w:tcW w:w="0" w:type="dxa"/>
            <w:vAlign w:val="bottom"/>
          </w:tcPr>
          <w:p>
            <w:pPr>
              <w:spacing w:after="0"/>
              <w:rPr>
                <w:sz w:val="1"/>
                <w:szCs w:val="1"/>
                <w:color w:val="auto"/>
              </w:rPr>
            </w:pPr>
          </w:p>
        </w:tc>
      </w:tr>
      <w:tr>
        <w:trPr>
          <w:trHeight w:val="21"/>
        </w:trPr>
        <w:tc>
          <w:tcPr>
            <w:tcW w:w="6560" w:type="dxa"/>
            <w:vAlign w:val="bottom"/>
            <w:vMerge w:val="restart"/>
          </w:tcPr>
          <w:p>
            <w:pPr>
              <w:ind w:left="5540"/>
              <w:spacing w:after="0"/>
              <w:rPr>
                <w:sz w:val="20"/>
                <w:szCs w:val="20"/>
                <w:color w:val="auto"/>
              </w:rPr>
            </w:pPr>
            <w:r>
              <w:rPr>
                <w:rFonts w:ascii="Arial" w:cs="Arial" w:eastAsia="Arial" w:hAnsi="Arial"/>
                <w:sz w:val="18"/>
                <w:szCs w:val="18"/>
                <w:color w:val="auto"/>
              </w:rPr>
              <w:t>88</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5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consolidated balance sheets. The Company is required to recognize operating lease right-of-use assets and liabilities, and begin recording lease expense when the Company takes possession of the leased property (the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before that date.</w:t>
      </w:r>
    </w:p>
    <w:p>
      <w:pPr>
        <w:spacing w:after="0" w:line="12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 Sorrento Lease</w:t>
      </w:r>
    </w:p>
    <w:p>
      <w:pPr>
        <w:spacing w:after="0" w:line="19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March 2021, the Company entered into a second amendment (Second Amendment) to its lease agreement for office space located on Vista Sorrento Parkway in San Diego, California (Vista Sorrento Lease) covering 59,013 square feet of general administrative office space (Existing Premises). The Second Amendment expanded the Existing Premises by adding 14,916 square feet of general administrative office space (Expansion Space), and extended the lease term for the Existing Premises through January 2028. The Expansion Space lease Commencement Date occurred in March 2021, and the lease term expires in January 2028. The Company has two options to extend the term of the Vista Sorrento Lease, covering both the Existing Premises and the Expansion Space, with each option providing for an additional period of five years. The Vista Sorrento Lease term was determined assuming the renewal options would not be exercised. The Company recognized operating lease right-of-use assets and corresponding operating lease liabilities of $15.1 million on the consolidated balance sheet in the first quarter of 2021 related to the Second Amendment.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 Center Lease</w:t>
      </w:r>
    </w:p>
    <w:p>
      <w:pPr>
        <w:spacing w:after="0" w:line="185"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occupying 77,458 square feet of leased space, located on Roselle Street in San Diego, California, that is scheduled to expire in May 2023. The Tech Center Lease also includes a first right of offer with respect to an additional 34,569 rentable square feet of general office space should the space become available.</w:t>
      </w:r>
    </w:p>
    <w:p>
      <w:pPr>
        <w:spacing w:after="0" w:line="137"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The initial lease term Phase I Commencement Date occurred in March 2022 when the Company was tendered possession of the Phase I portion of the Premises, and rent payments commenced in September 2022 (the Phase I Rent Commencement Date). The Phase II Commencement Date is expected to occur upon the earlier of (i) the date upon which the Company first commences business in the Phase II portion of the Premises, and (ii) May 1, 2025 (the Phase II Rent Commencement Date). The Tech Center Lease term expires in April 2035. The Company has two options to extend the term of the lease, with each option providing for an additional period of five years. The Tech Center Lease term was determined assuming the renewal options would not be exercised.</w:t>
      </w:r>
    </w:p>
    <w:p>
      <w:pPr>
        <w:spacing w:after="0" w:line="152"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initial base rent for the Tech Center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consolidated balance sheet on the Phase I Commencement Date in the first quarter of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High Bluff Lease</w:t>
      </w:r>
    </w:p>
    <w:p>
      <w:pPr>
        <w:spacing w:after="0" w:line="225" w:lineRule="exact"/>
        <w:rPr>
          <w:sz w:val="20"/>
          <w:szCs w:val="20"/>
          <w:color w:val="auto"/>
        </w:rPr>
      </w:pPr>
    </w:p>
    <w:p>
      <w:pPr>
        <w:ind w:right="120" w:firstLine="810"/>
        <w:spacing w:after="0" w:line="275" w:lineRule="auto"/>
        <w:rPr>
          <w:sz w:val="20"/>
          <w:szCs w:val="20"/>
          <w:color w:val="auto"/>
        </w:rPr>
      </w:pPr>
      <w:r>
        <w:rPr>
          <w:rFonts w:ascii="Arial" w:cs="Arial" w:eastAsia="Arial" w:hAnsi="Arial"/>
          <w:sz w:val="17"/>
          <w:szCs w:val="17"/>
          <w:color w:val="auto"/>
        </w:rPr>
        <w:t>In May 2021, the Company entered into a lease agreement for approximately 31,372 square feet of general office space located on High Bluff Drive, in San Diego, California (High Bluff Lease). The High Bluff Lease is a direct lease agreement for property the Company previously occupied subject to a sublease agreement. The lease term began in April 2022 following the termination of the High Bluff sublease in March 2022, and is scheduled to expire in March 2024. The Company recognized operating lease right-of-use assets and corresponding operating lease liabilities of $3.0 million on the consolidated balance sheet on the Commencement Date in the second quarter of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Barnes Canyon Lease</w:t>
      </w:r>
    </w:p>
    <w:p>
      <w:pPr>
        <w:spacing w:after="0" w:line="225" w:lineRule="exact"/>
        <w:rPr>
          <w:sz w:val="20"/>
          <w:szCs w:val="20"/>
          <w:color w:val="auto"/>
        </w:rPr>
      </w:pPr>
    </w:p>
    <w:p>
      <w:pPr>
        <w:ind w:right="340" w:firstLine="810"/>
        <w:spacing w:after="0" w:line="301" w:lineRule="auto"/>
        <w:rPr>
          <w:sz w:val="20"/>
          <w:szCs w:val="20"/>
          <w:color w:val="auto"/>
        </w:rPr>
      </w:pPr>
      <w:r>
        <w:rPr>
          <w:rFonts w:ascii="Arial" w:cs="Arial" w:eastAsia="Arial" w:hAnsi="Arial"/>
          <w:sz w:val="16"/>
          <w:szCs w:val="16"/>
          <w:color w:val="auto"/>
        </w:rPr>
        <w:t>In November 2022, the Company exercised its one-time option to extend the term of the lease covering 48,880 square feet of general office, manufacturing and warehouse space located on Barnes Canyon Road in San Diego, California (Barnes Canyon Lease) for an additional five years from November 2023 to November 2028. The Company recognized operating lease right-of-use assets and corresponding operating lease liabilities of $3.0 million on the consolidated balance sheet in the fourth quarter of 2022 related to the Barnes Canyon Lease term extension.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and Impairment Charges</w:t>
      </w:r>
    </w:p>
    <w:p>
      <w:pPr>
        <w:spacing w:after="0" w:line="225"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During the fourth quarter of 2022, the Company recorded $12.4 million of lease termination and impairment charges primarily related to our customer and technical support office space in Boise, Idaho. The $12.4 million charge consisted of a $6.7 million loss on disposal of fixed assets, including leasehold improvements, furniture and fixtures, $3.8 million net loss on lease termination, and $1.9 million impairment of operating lease right-of-use assets, and is recorded as a component of selling, general and administrative expenses in the consolidated statement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Lease Disclosure Information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costs recorded in the consolidated statements of operations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Loss on lease termination and right-of-use asset impairment charge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676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7,733</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Maturities of operating lease liabilities at December 31, 2022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4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720" w:type="dxa"/>
            <w:vAlign w:val="bottom"/>
            <w:shd w:val="clear" w:color="auto" w:fill="CCEEFF"/>
          </w:tcPr>
          <w:p>
            <w:pPr>
              <w:spacing w:after="0"/>
              <w:rPr>
                <w:sz w:val="20"/>
                <w:szCs w:val="20"/>
                <w:color w:val="auto"/>
              </w:rPr>
            </w:pP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2024</w:t>
            </w:r>
          </w:p>
        </w:tc>
        <w:tc>
          <w:tcPr>
            <w:tcW w:w="4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17,198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2026</w:t>
            </w:r>
          </w:p>
        </w:tc>
        <w:tc>
          <w:tcPr>
            <w:tcW w:w="4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17,068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185,599</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(48,954)</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4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136,645</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47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long-term</w:t>
            </w:r>
          </w:p>
        </w:tc>
        <w:tc>
          <w:tcPr>
            <w:tcW w:w="4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123,524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3450"/>
              <w:spacing w:after="0"/>
              <w:rPr>
                <w:sz w:val="20"/>
                <w:szCs w:val="20"/>
                <w:color w:val="auto"/>
              </w:rPr>
            </w:pPr>
            <w:r>
              <w:rPr>
                <w:rFonts w:ascii="Arial" w:cs="Arial" w:eastAsia="Arial" w:hAnsi="Arial"/>
                <w:sz w:val="18"/>
                <w:szCs w:val="18"/>
                <w:color w:val="auto"/>
              </w:rPr>
              <w:t>90</w:t>
            </w: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54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1" w:name="page92"/>
    <w:bookmarkEnd w:id="91"/>
    <w:p>
      <w:pPr>
        <w:ind w:left="820"/>
        <w:spacing w:after="0"/>
        <w:rPr>
          <w:sz w:val="20"/>
          <w:szCs w:val="20"/>
          <w:color w:val="auto"/>
        </w:rPr>
      </w:pPr>
      <w:r>
        <w:rPr>
          <w:rFonts w:ascii="Arial" w:cs="Arial" w:eastAsia="Arial" w:hAnsi="Arial"/>
          <w:sz w:val="18"/>
          <w:szCs w:val="18"/>
          <w:color w:val="212529"/>
        </w:rPr>
        <w:t>The weighted-average remaining lease term and weighted-average discount rate for operating leases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Arial" w:cs="Arial" w:eastAsia="Arial" w:hAnsi="Arial"/>
                <w:sz w:val="16"/>
                <w:szCs w:val="16"/>
                <w:b w:val="1"/>
                <w:bCs w:val="1"/>
                <w:color w:val="auto"/>
              </w:rPr>
              <w:t>December 31, 2022</w:t>
            </w:r>
          </w:p>
        </w:tc>
        <w:tc>
          <w:tcPr>
            <w:tcW w:w="2080" w:type="dxa"/>
            <w:vAlign w:val="bottom"/>
          </w:tcPr>
          <w:p>
            <w:pPr>
              <w:jc w:val="right"/>
              <w:ind w:right="293"/>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08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5.6 %</w:t>
            </w:r>
          </w:p>
        </w:tc>
      </w:tr>
    </w:tbl>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$16.7 million, which included a $4.8 million lease termination payment, $9.5 million, and $8.2 million for the years ended December 31, 2022,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For Which Accounting Has Not Yet Commenced</w:t>
      </w:r>
    </w:p>
    <w:p>
      <w:pPr>
        <w:spacing w:after="0" w:line="198" w:lineRule="exact"/>
        <w:rPr>
          <w:sz w:val="20"/>
          <w:szCs w:val="20"/>
          <w:color w:val="auto"/>
        </w:rPr>
      </w:pPr>
    </w:p>
    <w:p>
      <w:pPr>
        <w:ind w:right="160" w:firstLine="810"/>
        <w:spacing w:after="0" w:line="275" w:lineRule="auto"/>
        <w:rPr>
          <w:sz w:val="20"/>
          <w:szCs w:val="20"/>
          <w:color w:val="auto"/>
        </w:rPr>
      </w:pPr>
      <w:r>
        <w:rPr>
          <w:rFonts w:ascii="Arial" w:cs="Arial" w:eastAsia="Arial" w:hAnsi="Arial"/>
          <w:sz w:val="17"/>
          <w:szCs w:val="17"/>
          <w:color w:val="auto"/>
        </w:rPr>
        <w:t>As of December 31, 2022, the Commencement Date for Phase II of the Tech Center Lease had not yet occurred. Accordingly, the consolidated balance sheet at December 31, 2022 does not include operating lease right-of-use assets and operating lease liabilities, and the consolidated statement of operations for the year ended December 31, 2022 does not include any lease costs, related to Phase II of the Tech Center Lease. In addition, the above disclosures of the Company’s lease costs, maturities of operating lease liabilities, and the weighted-average remaining lease term and weighted-average discount rate, do not include any amounts related to Phase II of the Tech Center Lease.</w:t>
      </w:r>
    </w:p>
    <w:p>
      <w:pPr>
        <w:spacing w:after="0" w:line="136" w:lineRule="exact"/>
        <w:rPr>
          <w:sz w:val="20"/>
          <w:szCs w:val="20"/>
          <w:color w:val="auto"/>
        </w:rPr>
      </w:pPr>
    </w:p>
    <w:p>
      <w:pPr>
        <w:jc w:val="both"/>
        <w:ind w:right="40" w:firstLine="810"/>
        <w:spacing w:after="0" w:line="287" w:lineRule="auto"/>
        <w:rPr>
          <w:sz w:val="20"/>
          <w:szCs w:val="20"/>
          <w:color w:val="auto"/>
        </w:rPr>
      </w:pPr>
      <w:r>
        <w:rPr>
          <w:rFonts w:ascii="Arial" w:cs="Arial" w:eastAsia="Arial" w:hAnsi="Arial"/>
          <w:sz w:val="16"/>
          <w:szCs w:val="16"/>
          <w:color w:val="auto"/>
        </w:rPr>
        <w:t>The Company currently estimates that Phase II Commencement Date will occur in the first quarter of 2025, at which time the Phase II operating lease right-of-use assets and liabilities will be recorded. Future minimum payments for monthly base rent due under Phase II of the Tech Center Lease, are currently estimated to total $34.7 million from 2025 through 2035, subject to a number of factors, including the actual Commencement Date of Phase II.</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Because the incremental borrowing rate will not be available until the Phase II Commencement Date, we are not yet able to determine the Phase II operating lease right-of-use assets and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8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spacing w:after="0" w:line="214"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211" w:lineRule="exact"/>
        <w:rPr>
          <w:sz w:val="20"/>
          <w:szCs w:val="20"/>
          <w:color w:val="auto"/>
        </w:rPr>
      </w:pPr>
    </w:p>
    <w:p>
      <w:pPr>
        <w:ind w:right="240" w:firstLine="810"/>
        <w:spacing w:after="0" w:line="255"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The Company expects to settle conversions through a combination settlement, which involves payment in cash equal to the principal portion and delivery of shares of common stock for the excess of the conversion value over the principal portion.</w:t>
      </w:r>
    </w:p>
    <w:p>
      <w:pPr>
        <w:spacing w:after="0" w:line="219"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The Company may not redeem the Notes before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215"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before November 1, 2024, in multiples of $1,000 principal amounts, only under the following circumstances: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2" w:name="page93"/>
    <w:bookmarkEnd w:id="92"/>
    <w:p>
      <w:pPr>
        <w:ind w:left="1300" w:right="120" w:hanging="482"/>
        <w:spacing w:after="0" w:line="263" w:lineRule="auto"/>
        <w:tabs>
          <w:tab w:leader="none" w:pos="1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spacing w:after="0" w:line="210" w:lineRule="exact"/>
        <w:rPr>
          <w:rFonts w:ascii="Arial" w:cs="Arial" w:eastAsia="Arial" w:hAnsi="Arial"/>
          <w:sz w:val="18"/>
          <w:szCs w:val="18"/>
          <w:color w:val="auto"/>
        </w:rPr>
      </w:pPr>
    </w:p>
    <w:p>
      <w:pPr>
        <w:ind w:left="1300" w:right="20" w:hanging="482"/>
        <w:spacing w:after="0" w:line="286" w:lineRule="auto"/>
        <w:tabs>
          <w:tab w:leader="none" w:pos="12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92" w:lineRule="exact"/>
        <w:rPr>
          <w:rFonts w:ascii="Arial" w:cs="Arial" w:eastAsia="Arial" w:hAnsi="Arial"/>
          <w:sz w:val="17"/>
          <w:szCs w:val="17"/>
          <w:color w:val="auto"/>
        </w:rPr>
      </w:pPr>
    </w:p>
    <w:p>
      <w:pPr>
        <w:ind w:left="1300" w:right="560" w:hanging="482"/>
        <w:spacing w:after="0" w:line="277" w:lineRule="auto"/>
        <w:tabs>
          <w:tab w:leader="none" w:pos="1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52"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97"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spacing w:after="0" w:line="211" w:lineRule="exact"/>
        <w:rPr>
          <w:sz w:val="20"/>
          <w:szCs w:val="20"/>
          <w:color w:val="auto"/>
        </w:rPr>
      </w:pPr>
    </w:p>
    <w:p>
      <w:pPr>
        <w:ind w:right="120" w:firstLine="810"/>
        <w:spacing w:after="0" w:line="253" w:lineRule="auto"/>
        <w:rPr>
          <w:sz w:val="20"/>
          <w:szCs w:val="20"/>
          <w:color w:val="auto"/>
        </w:rPr>
      </w:pPr>
      <w:r>
        <w:rPr>
          <w:rFonts w:ascii="Arial" w:cs="Arial" w:eastAsia="Arial" w:hAnsi="Arial"/>
          <w:sz w:val="18"/>
          <w:szCs w:val="18"/>
          <w:color w:val="auto"/>
        </w:rPr>
        <w:t xml:space="preserve">In accounting for the issuance of the Notes in 2020,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recorded as a debt discount, which was being amortized to interest expense. On January 1, 2021, the Company early adopted ASU No. 2020-06, </w:t>
      </w:r>
      <w:r>
        <w:rPr>
          <w:rFonts w:ascii="Arial" w:cs="Arial" w:eastAsia="Arial" w:hAnsi="Arial"/>
          <w:sz w:val="18"/>
          <w:szCs w:val="18"/>
          <w:i w:val="1"/>
          <w:iCs w:val="1"/>
          <w:color w:val="auto"/>
        </w:rPr>
        <w:t>Accounting for Convertible Instruments and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an Entity’s Own Equity</w:t>
      </w:r>
      <w:r>
        <w:rPr>
          <w:rFonts w:ascii="Arial" w:cs="Arial" w:eastAsia="Arial" w:hAnsi="Arial"/>
          <w:sz w:val="18"/>
          <w:szCs w:val="18"/>
          <w:color w:val="auto"/>
        </w:rPr>
        <w:t>, which is intended to simplify the accounting for convertible instruments. The Company adopted the new standard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retrospective method, and accordingly, recorded a net reduction to accumulated deficit of $9.0 million, a decrease to additional paid-in capital of $85.8 million, and an increase to convertible senior notes, net - long-term of $76.8 million to reflect the impact of the accounting change. As of January 1, 2021, the Notes are accounted for as a single liability measured at amortized cost, as no other embedded features require bifurcation and recognition as derivatives.</w:t>
      </w:r>
    </w:p>
    <w:p>
      <w:pPr>
        <w:spacing w:after="0" w:line="19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net carrying amount of the Notes on the consolidated balance sheets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Principal amount</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287,500</w:t>
            </w:r>
          </w:p>
        </w:tc>
      </w:tr>
      <w:tr>
        <w:trPr>
          <w:trHeight w:val="229"/>
        </w:trPr>
        <w:tc>
          <w:tcPr>
            <w:tcW w:w="72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r>
      <w:tr>
        <w:trPr>
          <w:trHeight w:val="248"/>
        </w:trPr>
        <w:tc>
          <w:tcPr>
            <w:tcW w:w="7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283,232</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281,467</w:t>
            </w:r>
          </w:p>
        </w:tc>
      </w:tr>
      <w:tr>
        <w:trPr>
          <w:trHeight w:val="20"/>
        </w:trPr>
        <w:tc>
          <w:tcPr>
            <w:tcW w:w="7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The Notes will have a dilutive effect to the extent the average market price per share of common stock for a given reporting period exceeds the conversion price of $112.57. As of December 31, 2022, the if-converted value of the Notes did not exceed the principal amount. As of December 31, 2021, the if-converted value of the Notes exceeded the principal amount by $96.9 million.</w:t>
      </w:r>
    </w:p>
    <w:p>
      <w:pPr>
        <w:spacing w:after="0" w:line="143"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As of December 31, 2022, the unamortized debt issuance costs of $4.3 million associated with the Notes will be amortized to interest expense, at an effective interest rate of 2.2% over the remaining period of approximately 2.3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3" w:name="page94"/>
    <w:bookmarkEnd w:id="93"/>
    <w:p>
      <w:pPr>
        <w:ind w:left="820"/>
        <w:spacing w:after="0"/>
        <w:rPr>
          <w:sz w:val="20"/>
          <w:szCs w:val="20"/>
          <w:color w:val="auto"/>
        </w:rPr>
      </w:pPr>
      <w:r>
        <w:rPr>
          <w:rFonts w:ascii="Arial" w:cs="Arial" w:eastAsia="Arial" w:hAnsi="Arial"/>
          <w:sz w:val="16"/>
          <w:szCs w:val="16"/>
          <w:color w:val="auto"/>
        </w:rPr>
        <w:t>The following table details interest expense related to the Notes recognized for the years ended December 31, 2022 and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4"/>
              </w:rPr>
              <w:t>Year Ended December 31,</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2020</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16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 (1)</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Total interest expense</w:t>
            </w:r>
          </w:p>
        </w:tc>
        <w:tc>
          <w:tcPr>
            <w:tcW w:w="116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12,805</w:t>
            </w:r>
          </w:p>
        </w:tc>
      </w:tr>
      <w:tr>
        <w:trPr>
          <w:trHeight w:val="20"/>
        </w:trPr>
        <w:tc>
          <w:tcPr>
            <w:tcW w:w="5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The debt discount was reversed upon the adoption of ASU No. 2020-06.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219" w:lineRule="exact"/>
        <w:rPr>
          <w:sz w:val="20"/>
          <w:szCs w:val="20"/>
          <w:color w:val="auto"/>
        </w:rPr>
      </w:pPr>
    </w:p>
    <w:p>
      <w:pPr>
        <w:ind w:right="120" w:firstLine="810"/>
        <w:spacing w:after="0" w:line="279" w:lineRule="auto"/>
        <w:rPr>
          <w:sz w:val="20"/>
          <w:szCs w:val="20"/>
          <w:color w:val="auto"/>
        </w:rPr>
      </w:pPr>
      <w:r>
        <w:rPr>
          <w:rFonts w:ascii="Arial" w:cs="Arial" w:eastAsia="Arial" w:hAnsi="Arial"/>
          <w:sz w:val="17"/>
          <w:szCs w:val="17"/>
          <w:color w:val="auto"/>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consolidated balance sheet and will not be remeasured.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52"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color w:val="auto"/>
        </w:rPr>
        <w:t>On May 18, 2022, the Company entered into a three-year Revolving Line of Credit Agreement that provides the Company with a maximum principal borrowing amount of $100.0 million (the Line of Credit), reduced by any letters of credit issued and outstanding under a $15.0 million letter of credit sub-limit.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prior to the May 1, 2025 maturity date of the Company’s Convertible Senior Notes, that the Company does not satisfy a predefined liquidity threshold. During the term of the Line of Credit, the Company is required to maintain compliance with two financial maintenance covenants: a minimum consolidated interest coverage ratio and a maximum consolidated net leverage ratio. The Company was in compliance with these financial maintenance covenants as of December 31, 2022. The Line of Credit is secured by a first priority security interest in substantially all of the assets of the Company and its subsidiaries.</w:t>
      </w:r>
    </w:p>
    <w:p>
      <w:pPr>
        <w:spacing w:after="0" w:line="139" w:lineRule="exact"/>
        <w:rPr>
          <w:sz w:val="20"/>
          <w:szCs w:val="20"/>
          <w:color w:val="auto"/>
        </w:rPr>
      </w:pPr>
    </w:p>
    <w:p>
      <w:pPr>
        <w:ind w:right="100" w:firstLine="810"/>
        <w:spacing w:after="0" w:line="296" w:lineRule="auto"/>
        <w:rPr>
          <w:sz w:val="20"/>
          <w:szCs w:val="20"/>
          <w:color w:val="auto"/>
        </w:rPr>
      </w:pPr>
      <w:r>
        <w:rPr>
          <w:rFonts w:ascii="Arial" w:cs="Arial" w:eastAsia="Arial" w:hAnsi="Arial"/>
          <w:sz w:val="16"/>
          <w:szCs w:val="16"/>
          <w:color w:val="auto"/>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before the maturity date, without premium or penalty.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p>
      <w:pPr>
        <w:ind w:left="820"/>
        <w:spacing w:after="0"/>
        <w:rPr>
          <w:sz w:val="20"/>
          <w:szCs w:val="20"/>
          <w:color w:val="auto"/>
        </w:rPr>
      </w:pPr>
      <w:r>
        <w:rPr>
          <w:rFonts w:ascii="Arial" w:cs="Arial" w:eastAsia="Arial" w:hAnsi="Arial"/>
          <w:sz w:val="16"/>
          <w:szCs w:val="16"/>
          <w:color w:val="auto"/>
        </w:rPr>
        <w:t>As of December 31, 2022, the Company’s outstanding borrowings and available balance under the Line of Credit were as follows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principal borrowing amount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Less: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borrowings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 letters of credit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 balance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Stockholders’ Equity</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880" w:type="dxa"/>
            <w:vAlign w:val="bottom"/>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20" w:type="dxa"/>
            <w:vAlign w:val="bottom"/>
            <w:gridSpan w:val="2"/>
          </w:tcPr>
          <w:p>
            <w:pPr>
              <w:ind w:left="820"/>
              <w:spacing w:after="0"/>
              <w:rPr>
                <w:sz w:val="20"/>
                <w:szCs w:val="20"/>
                <w:color w:val="auto"/>
              </w:rPr>
            </w:pPr>
            <w:r>
              <w:rPr>
                <w:rFonts w:ascii="Arial" w:cs="Arial" w:eastAsia="Arial" w:hAnsi="Arial"/>
                <w:sz w:val="18"/>
                <w:szCs w:val="18"/>
                <w:color w:val="auto"/>
                <w:w w:val="93"/>
              </w:rPr>
              <w:t>The following shares of the Company's common stock were reserved for future issuance at December 31, 2022 (in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reserved for issuance upon conversion of Convertible Senior Notes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outstanding warrants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outstanding stock options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Shares underlying unvested restricted stock units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authorized for future equity award grants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9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Warrants outstanding to purchase shares of the Company's common stock as of December 31, 2022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ind w:left="2120"/>
              <w:spacing w:after="0"/>
              <w:rPr>
                <w:sz w:val="20"/>
                <w:szCs w:val="20"/>
                <w:color w:val="auto"/>
              </w:rPr>
            </w:pPr>
            <w:r>
              <w:rPr>
                <w:rFonts w:ascii="Arial" w:cs="Arial" w:eastAsia="Arial" w:hAnsi="Arial"/>
                <w:sz w:val="16"/>
                <w:szCs w:val="16"/>
                <w:b w:val="1"/>
                <w:bCs w:val="1"/>
                <w:color w:val="auto"/>
              </w:rPr>
              <w:t>Issue Date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Exercise Price Per</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Warrants</w:t>
            </w:r>
          </w:p>
        </w:tc>
        <w:tc>
          <w:tcPr>
            <w:tcW w:w="3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Expiration Date of Warrants Outstanding</w:t>
            </w:r>
          </w:p>
        </w:tc>
        <w:tc>
          <w:tcPr>
            <w:tcW w:w="0" w:type="dxa"/>
            <w:vAlign w:val="bottom"/>
          </w:tcPr>
          <w:p>
            <w:pPr>
              <w:spacing w:after="0"/>
              <w:rPr>
                <w:sz w:val="1"/>
                <w:szCs w:val="1"/>
                <w:color w:val="auto"/>
              </w:rPr>
            </w:pPr>
          </w:p>
        </w:tc>
      </w:tr>
      <w:tr>
        <w:trPr>
          <w:trHeight w:val="213"/>
        </w:trPr>
        <w:tc>
          <w:tcPr>
            <w:tcW w:w="508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March 2017</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$23.50</w:t>
            </w:r>
          </w:p>
        </w:tc>
        <w:tc>
          <w:tcPr>
            <w:tcW w:w="1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193,788</w:t>
            </w:r>
          </w:p>
        </w:tc>
        <w:tc>
          <w:tcPr>
            <w:tcW w:w="120" w:type="dxa"/>
            <w:vAlign w:val="bottom"/>
            <w:tcBorders>
              <w:top w:val="single" w:sz="8" w:color="CFF0FC"/>
            </w:tcBorders>
            <w:shd w:val="clear" w:color="auto" w:fill="CFF0FC"/>
          </w:tcPr>
          <w:p>
            <w:pPr>
              <w:spacing w:after="0"/>
              <w:rPr>
                <w:sz w:val="19"/>
                <w:szCs w:val="19"/>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60" w:firstLine="810"/>
        <w:spacing w:after="0" w:line="263" w:lineRule="auto"/>
        <w:rPr>
          <w:sz w:val="20"/>
          <w:szCs w:val="20"/>
          <w:color w:val="auto"/>
        </w:rPr>
      </w:pPr>
      <w:r>
        <w:rPr>
          <w:rFonts w:ascii="Arial" w:cs="Arial" w:eastAsia="Arial" w:hAnsi="Arial"/>
          <w:sz w:val="18"/>
          <w:szCs w:val="18"/>
          <w:color w:val="auto"/>
        </w:rPr>
        <w:t>Each warrant allows the holder to purchase one share of the Company's common stock at the exercise price per share of the warrant. The Company issued 5,678 shares and 155,517 shares of its common stock, respectively, upon the exercise of warrants during the years ended December 31, 2022, and 2021,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Company’s Amended and Restated 2013 Stock Incentive Plan (2013 Plan) was originally approved by the Company’s board of directors in October 2013. Under the 2013 Plan, the Company may grant stock options, stock appreciation rights, restricted stock and restricted stock units to individuals who are then employees, officers, directors or consultants of the Company.</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Common Stock Options</w:t>
      </w:r>
    </w:p>
    <w:p>
      <w:pPr>
        <w:spacing w:after="0" w:line="185" w:lineRule="exact"/>
        <w:rPr>
          <w:sz w:val="20"/>
          <w:szCs w:val="20"/>
          <w:color w:val="auto"/>
        </w:rPr>
      </w:pPr>
    </w:p>
    <w:p>
      <w:pPr>
        <w:ind w:right="80" w:firstLine="810"/>
        <w:spacing w:after="0" w:line="296" w:lineRule="auto"/>
        <w:rPr>
          <w:sz w:val="20"/>
          <w:szCs w:val="20"/>
          <w:color w:val="auto"/>
        </w:rPr>
      </w:pPr>
      <w:r>
        <w:rPr>
          <w:rFonts w:ascii="Arial" w:cs="Arial" w:eastAsia="Arial" w:hAnsi="Arial"/>
          <w:sz w:val="16"/>
          <w:szCs w:val="16"/>
          <w:color w:val="auto"/>
        </w:rPr>
        <w:t>The maximum term of stock options granted under the 2006 Plan and 2013 Plan is ten years. Common stock options have an exercise price equal to the closing price of the Company's common stock on the applicable award date.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5" w:name="page96"/>
    <w:bookmarkEnd w:id="95"/>
    <w:p>
      <w:pPr>
        <w:ind w:left="82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200" w:type="dxa"/>
            <w:vAlign w:val="bottom"/>
          </w:tcPr>
          <w:p>
            <w:pPr>
              <w:spacing w:after="0"/>
              <w:rPr>
                <w:sz w:val="16"/>
                <w:szCs w:val="16"/>
                <w:color w:val="auto"/>
              </w:rPr>
            </w:pPr>
          </w:p>
        </w:tc>
        <w:tc>
          <w:tcPr>
            <w:tcW w:w="1120" w:type="dxa"/>
            <w:vAlign w:val="bottom"/>
            <w:vMerge w:val="restart"/>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Average</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Exercise</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120" w:type="dxa"/>
            <w:vAlign w:val="bottom"/>
          </w:tcPr>
          <w:p>
            <w:pPr>
              <w:jc w:val="center"/>
              <w:ind w:right="112"/>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Price Per</w:t>
            </w:r>
          </w:p>
        </w:tc>
        <w:tc>
          <w:tcPr>
            <w:tcW w:w="14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4"/>
                <w:szCs w:val="14"/>
                <w:color w:val="auto"/>
              </w:rPr>
            </w:pPr>
          </w:p>
        </w:tc>
        <w:tc>
          <w:tcPr>
            <w:tcW w:w="1120" w:type="dxa"/>
            <w:vAlign w:val="bottom"/>
          </w:tcPr>
          <w:p>
            <w:pPr>
              <w:jc w:val="center"/>
              <w:ind w:right="132"/>
              <w:spacing w:after="0" w:line="162" w:lineRule="exact"/>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320" w:type="dxa"/>
            <w:vAlign w:val="bottom"/>
          </w:tcPr>
          <w:p>
            <w:pPr>
              <w:jc w:val="right"/>
              <w:ind w:right="291"/>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Life (in years)</w:t>
            </w:r>
          </w:p>
        </w:tc>
        <w:tc>
          <w:tcPr>
            <w:tcW w:w="200" w:type="dxa"/>
            <w:vAlign w:val="bottom"/>
          </w:tcPr>
          <w:p>
            <w:pPr>
              <w:spacing w:after="0"/>
              <w:rPr>
                <w:sz w:val="18"/>
                <w:szCs w:val="18"/>
                <w:color w:val="auto"/>
              </w:rPr>
            </w:pPr>
          </w:p>
        </w:tc>
        <w:tc>
          <w:tcPr>
            <w:tcW w:w="112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7,174,927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181,408</w:t>
            </w: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1,130,040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(2,339,467)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161,688</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(161,995)</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5,803,505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355,008</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(1,128,791)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(214,876)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76.29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4,814,846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452,081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65.28</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83,008</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(175,266)</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4,442,313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57.87</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30,236</w:t>
            </w: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4,423,803</w:t>
            </w:r>
          </w:p>
        </w:tc>
        <w:tc>
          <w:tcPr>
            <w:tcW w:w="3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3,701,918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Restricted stock units (RSUs) have a grant value equal to the closing price of the Company’s common stock on the award date. RSUs granted before March 2022 generally vest over a four-year period based only on service as to 25% of the underlying shares on the first anniversary of the award, with the balance of the RSUs vesting quarterly over the following three years. RSUs granted in March 2022 and thereafter generally vest over a three-year period based on continued service to the Company as to 33% of the underlying shares on the first anniversary of the award, with the balance of the RSUs vesting quarterly over the following two years. In addition, the Company granted 53,662 and 25,674 performance-based RSUs during the years ended December 31, 2022 and 2021, respectively. The performance-based RSUs have a grant value equal to the closing price of the Company’s common stock on the award date, and vest upon the Company’s actual performance relative to predefined performance metrics and subject to the awardee’s continuing service through the December 31, 2024 measurement date.</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RSU activities, which includes performance-based RSUs, for the 2013 Plan: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94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 RSUs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Weighted-Average Grant</w:t>
            </w:r>
          </w:p>
        </w:tc>
        <w:tc>
          <w:tcPr>
            <w:tcW w:w="198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w w:val="96"/>
              </w:rPr>
              <w:t>Aggregate Intrinsic Value</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Date Fair Value</w:t>
            </w:r>
          </w:p>
        </w:tc>
        <w:tc>
          <w:tcPr>
            <w:tcW w:w="300" w:type="dxa"/>
            <w:vAlign w:val="bottom"/>
          </w:tcPr>
          <w:p>
            <w:pPr>
              <w:spacing w:after="0"/>
              <w:rPr>
                <w:sz w:val="18"/>
                <w:szCs w:val="18"/>
                <w:color w:val="auto"/>
              </w:rPr>
            </w:pPr>
          </w:p>
        </w:tc>
        <w:tc>
          <w:tcPr>
            <w:tcW w:w="1680" w:type="dxa"/>
            <w:vAlign w:val="bottom"/>
          </w:tcPr>
          <w:p>
            <w:pPr>
              <w:jc w:val="right"/>
              <w:ind w:right="41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outstanding at December 31, 2019</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134,694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Unvested awards outstanding at December 31, 2020</w:t>
            </w:r>
          </w:p>
        </w:tc>
        <w:tc>
          <w:tcPr>
            <w:tcW w:w="1940" w:type="dxa"/>
            <w:vAlign w:val="bottom"/>
          </w:tcPr>
          <w:p>
            <w:pPr>
              <w:jc w:val="right"/>
              <w:spacing w:after="0"/>
              <w:rPr>
                <w:sz w:val="20"/>
                <w:szCs w:val="20"/>
                <w:color w:val="auto"/>
              </w:rPr>
            </w:pPr>
            <w:r>
              <w:rPr>
                <w:rFonts w:ascii="Arial" w:cs="Arial" w:eastAsia="Arial" w:hAnsi="Arial"/>
                <w:sz w:val="18"/>
                <w:szCs w:val="18"/>
                <w:color w:val="auto"/>
              </w:rPr>
              <w:t>132,802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(53,957)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82.74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Unvested awards outstanding at December 31, 2021</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95.08</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91,927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(202,215)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91.99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Unvested awards outstanding at December 31, 2022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1,833,832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72.57</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82,431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expected to vest at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The aggregate fair value of RSUs that vested during the years ended December 31, 2022, 2021 and 2020 was $12.7 million, $5.1 million, and $0.2 million, respectively, which represents the market value of the Company’s common stock on the date the RSUs vested. The number of RSUs vested includes shares of common stock the Company withheld on behalf of employees to satisfy the minimum statutory tax withholding requirements. RSUs that are expected to vest are net of estimated future forfeitures.</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ind w:right="120" w:firstLine="810"/>
        <w:spacing w:after="0" w:line="273" w:lineRule="auto"/>
        <w:rPr>
          <w:sz w:val="20"/>
          <w:szCs w:val="20"/>
          <w:color w:val="auto"/>
        </w:rPr>
      </w:pPr>
      <w:r>
        <w:rPr>
          <w:rFonts w:ascii="Arial" w:cs="Arial" w:eastAsia="Arial" w:hAnsi="Arial"/>
          <w:sz w:val="17"/>
          <w:szCs w:val="17"/>
          <w:color w:val="auto"/>
        </w:rPr>
        <w:t>In October 2013, the Company adopted the ESPP, which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37"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During the years ended December 31, 2022 and 2021, 262,936 shares and 172,694 shares of our common stock, respectively, were purchased under the ESPP for proceeds of $12.7 million and $11.1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statements of operations for all stock-based compensation arrangements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6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57,196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41,563</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20,037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r>
      <w:tr>
        <w:trPr>
          <w:trHeight w:val="223"/>
        </w:trPr>
        <w:tc>
          <w:tcPr>
            <w:tcW w:w="606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84,918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58,431</w:t>
            </w:r>
          </w:p>
        </w:tc>
      </w:tr>
      <w:tr>
        <w:trPr>
          <w:trHeight w:val="21"/>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$1.1 million at December 31, 2022, and $1.0 million at December 31, 2021.</w:t>
      </w:r>
    </w:p>
    <w:p>
      <w:pPr>
        <w:spacing w:after="0" w:line="143" w:lineRule="exact"/>
        <w:rPr>
          <w:sz w:val="20"/>
          <w:szCs w:val="20"/>
          <w:color w:val="auto"/>
        </w:rPr>
      </w:pPr>
    </w:p>
    <w:p>
      <w:pPr>
        <w:ind w:right="220" w:firstLine="810"/>
        <w:spacing w:after="0" w:line="277" w:lineRule="auto"/>
        <w:rPr>
          <w:sz w:val="20"/>
          <w:szCs w:val="20"/>
          <w:color w:val="auto"/>
        </w:rPr>
      </w:pPr>
      <w:r>
        <w:rPr>
          <w:rFonts w:ascii="Arial" w:cs="Arial" w:eastAsia="Arial" w:hAnsi="Arial"/>
          <w:sz w:val="18"/>
          <w:szCs w:val="18"/>
          <w:color w:val="auto"/>
        </w:rPr>
        <w:t>At December 31, 2022, the total unamortized stock-based compensation expense of approximately $143.9 million will be recognized over the remaining weighted average vesting term of approximately 2.3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97" w:name="page98"/>
    <w:bookmarkEnd w:id="97"/>
    <w:p>
      <w:pPr>
        <w:ind w:right="20" w:firstLine="81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option-pricing model on the grant date. The assumptions used in the Black-Scholes option-pricing model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Stock Options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2020</w:t>
            </w:r>
          </w:p>
        </w:tc>
      </w:tr>
      <w:tr>
        <w:trPr>
          <w:trHeight w:val="22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3"/>
              </w:rPr>
              <w:t>42.16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54.20</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74.6 %</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bl>
    <w:p>
      <w:pPr>
        <w:spacing w:after="0" w:line="256"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 The assumptions used in the Black-Scholes option-pricing model for the ESPP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6"/>
                <w:szCs w:val="16"/>
                <w:b w:val="1"/>
                <w:bCs w:val="1"/>
                <w:color w:val="auto"/>
                <w:w w:val="93"/>
              </w:rPr>
              <w:t>ESPP</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3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2020</w:t>
            </w: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160" w:type="dxa"/>
            <w:vAlign w:val="bottom"/>
            <w:shd w:val="clear" w:color="auto" w:fill="CCEEFF"/>
          </w:tcPr>
          <w:p>
            <w:pPr>
              <w:jc w:val="right"/>
              <w:ind w:right="95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21.89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36.83</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60.3 %</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323" w:lineRule="exact"/>
        <w:rPr>
          <w:sz w:val="20"/>
          <w:szCs w:val="20"/>
          <w:color w:val="auto"/>
        </w:rPr>
      </w:pPr>
    </w:p>
    <w:p>
      <w:pPr>
        <w:ind w:right="340" w:firstLine="81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w:t>
      </w:r>
      <w:r>
        <w:rPr>
          <w:rFonts w:ascii="Arial" w:cs="Arial" w:eastAsia="Arial" w:hAnsi="Arial"/>
          <w:sz w:val="18"/>
          <w:szCs w:val="18"/>
          <w:i w:val="1"/>
          <w:iCs w:val="1"/>
          <w:color w:val="auto"/>
        </w:rPr>
        <w:t xml:space="preserve"> </w:t>
      </w:r>
      <w:r>
        <w:rPr>
          <w:rFonts w:ascii="Arial" w:cs="Arial" w:eastAsia="Arial" w:hAnsi="Arial"/>
          <w:sz w:val="18"/>
          <w:szCs w:val="18"/>
          <w:color w:val="auto"/>
        </w:rPr>
        <w:t>bonds with maturities similar to those of the expected term of the award being valued.</w:t>
      </w:r>
    </w:p>
    <w:p>
      <w:pPr>
        <w:spacing w:after="0" w:line="130"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dividend yield is zero because the Company has never declared or paid any cash dividends and does not presently</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pay cash dividends in the foreseeable future.</w:t>
      </w:r>
    </w:p>
    <w:p>
      <w:pPr>
        <w:spacing w:after="0" w:line="130"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weighted-average of the Company’s actual historical volatility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measured over the expected term.</w:t>
      </w:r>
    </w:p>
    <w:p>
      <w:pPr>
        <w:spacing w:after="0" w:line="143" w:lineRule="exact"/>
        <w:rPr>
          <w:sz w:val="20"/>
          <w:szCs w:val="20"/>
          <w:color w:val="auto"/>
        </w:rPr>
      </w:pPr>
    </w:p>
    <w:p>
      <w:pPr>
        <w:ind w:right="200" w:firstLine="810"/>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utilized the simplified method for estimating the expected term of stock option grants. Under this approach,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43"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185"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the Company may elect to match a discretionary percentage of employee contributions. The total amount contributed by the Company to the 401(k) plan was $4.2 million for the year ended December 31, 2022. The Company did not provide a matching contribution prior to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8" w:name="page99"/>
    <w:bookmarkEnd w:id="98"/>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income (loss) before provision for income taxes for the Company’s operations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(36,667)</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6840" w:type="dxa"/>
            <w:vAlign w:val="bottom"/>
            <w:gridSpan w:val="2"/>
          </w:tcPr>
          <w:p>
            <w:pPr>
              <w:ind w:left="820"/>
              <w:spacing w:after="0"/>
              <w:rPr>
                <w:sz w:val="20"/>
                <w:szCs w:val="20"/>
                <w:color w:val="auto"/>
              </w:rPr>
            </w:pPr>
            <w:r>
              <w:rPr>
                <w:rFonts w:ascii="Arial" w:cs="Arial" w:eastAsia="Arial" w:hAnsi="Arial"/>
                <w:sz w:val="18"/>
                <w:szCs w:val="18"/>
                <w:color w:val="auto"/>
                <w:w w:val="93"/>
              </w:rPr>
              <w:t>The components of income tax expense (benefit) were as follows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1"/>
        </w:trPr>
        <w:tc>
          <w:tcPr>
            <w:tcW w:w="64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24"/>
                <w:szCs w:val="24"/>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40" w:type="dxa"/>
            <w:vAlign w:val="bottom"/>
          </w:tcPr>
          <w:p>
            <w:pPr>
              <w:ind w:left="18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benefit</w:t>
            </w: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The expense (benefit) for income taxes reconciles to the amount computed by applying the federal statutory rate to loss before taxes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6"/>
                <w:szCs w:val="16"/>
                <w:b w:val="1"/>
                <w:bCs w:val="1"/>
                <w:color w:val="auto"/>
                <w:w w:val="90"/>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6"/>
        </w:trPr>
        <w:tc>
          <w:tcPr>
            <w:tcW w:w="64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Income tax expense (benefit) at federal statutory rate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revaluation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(5,330)</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382 limitation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(18,309)</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Acquired IPR&amp;D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540" w:right="3700" w:hanging="5208"/>
        <w:spacing w:after="0" w:line="919" w:lineRule="auto"/>
        <w:tabs>
          <w:tab w:leader="none" w:pos="6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years ended December 31, 2022, 2021 and 2020, the federal statutory tax rate was 21%.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ind w:right="100" w:firstLine="810"/>
        <w:spacing w:after="0" w:line="290" w:lineRule="auto"/>
        <w:rPr>
          <w:sz w:val="20"/>
          <w:szCs w:val="20"/>
          <w:color w:val="auto"/>
        </w:rPr>
      </w:pPr>
      <w:r>
        <w:rPr>
          <w:rFonts w:ascii="Arial" w:cs="Arial" w:eastAsia="Arial" w:hAnsi="Arial"/>
          <w:sz w:val="16"/>
          <w:szCs w:val="16"/>
          <w:color w:val="auto"/>
        </w:rPr>
        <w:t>Significant components of the Company’s net deferred income tax assets at December 31, 2022 and 2021 are shown in the table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2022. Such objective evidence limits the ability to consider other subjective evidence, such as projections for future growth. On the basis of this analysis, a valuation allowance of $162.7 million and $146.4 million at December 31, 2022 and 2021, respectively, was recorded to offset the net deferred tax asset as realization of such asset is uncertain. However, the amount of the deferred tax asset considered realizable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Net operating loss (NOL)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54,598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78,961</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tax credits carryforwards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16,761</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Capitalized research and development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29,760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32,738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8,012</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194,801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158,447</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(6,637)</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(146,423)</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As of December 31, 2022, the Company had accumulated federal and state NOL carryforwards of approximately $193.1 million, and $255.9 million, respectively, Of the total federal net operating loss carryforwards, approximately $95.6 million were generated after January 1, 2018, and therefore do not expire. NOL generated after January 1, 2018, is subject to 80% limitation in accordance with the Tax Cuts and Jobs Act of 2017. The remaining federal net operating loss carryforwards of $97.5 million will begin to expire in 2033, and state tax loss carryforwards continue to expire in 2023, unless previously utilized. The remaining California NOL carryforwards of $169.5 million will begin expiring in 2031. The Company had no foreign tax loss carryforwards as of December 31, 2022.</w:t>
      </w:r>
    </w:p>
    <w:p>
      <w:pPr>
        <w:spacing w:after="0" w:line="152"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also has federal and California research credit carryforwards of approximately $18.1 million and $20.1 million, respectively, as of December 31, 2022. The federal research credit carryforwards will begin expiring in 2038, unless previously utilized. The California research credit will carry forward indefinitely.</w:t>
      </w:r>
    </w:p>
    <w:p>
      <w:pPr>
        <w:spacing w:after="0" w:line="157" w:lineRule="exact"/>
        <w:rPr>
          <w:sz w:val="20"/>
          <w:szCs w:val="20"/>
          <w:color w:val="auto"/>
        </w:rPr>
      </w:pPr>
    </w:p>
    <w:p>
      <w:pPr>
        <w:ind w:right="80" w:firstLine="810"/>
        <w:spacing w:after="0" w:line="253" w:lineRule="auto"/>
        <w:rPr>
          <w:sz w:val="20"/>
          <w:szCs w:val="20"/>
          <w:color w:val="auto"/>
        </w:rPr>
      </w:pPr>
      <w:r>
        <w:rPr>
          <w:rFonts w:ascii="Arial" w:cs="Arial" w:eastAsia="Arial" w:hAnsi="Arial"/>
          <w:sz w:val="18"/>
          <w:szCs w:val="18"/>
          <w:color w:val="auto"/>
        </w:rPr>
        <w:t>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analyses through December 31, 2021 to determine whether its net operating losses and credits are likely to be limited by Section 382. Based on the 2018 study completed in 2019,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were projected to expire unused with a corresponding offset to the valuation allowance recorded against such assets. Additionally, future ownership changes under Section 382 may also limit the Company's ability to fully utilize any remaining tax benefits.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0" w:name="page101"/>
    <w:bookmarkEnd w:id="100"/>
    <w:p>
      <w:pPr>
        <w:ind w:right="40" w:firstLine="810"/>
        <w:spacing w:after="0" w:line="254" w:lineRule="auto"/>
        <w:rPr>
          <w:sz w:val="20"/>
          <w:szCs w:val="20"/>
          <w:color w:val="auto"/>
        </w:rPr>
      </w:pPr>
      <w:r>
        <w:rPr>
          <w:rFonts w:ascii="Arial" w:cs="Arial" w:eastAsia="Arial" w:hAnsi="Arial"/>
          <w:sz w:val="18"/>
          <w:szCs w:val="18"/>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5"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2022, 2021 and 2020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unrecognized tax benefits at the beginning of the year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Increases related to current year positions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2,234</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(decreases) related to prior year positions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Gross unrecognized tax benefits at the end of the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As of December 31, 2022, the Company had $15.0 million of unrecognized tax benefits that, if recognized and realized would impact the effective tax rate, subject to the valuation allowance.</w:t>
      </w:r>
    </w:p>
    <w:p>
      <w:pPr>
        <w:spacing w:after="0" w:line="143" w:lineRule="exact"/>
        <w:rPr>
          <w:sz w:val="20"/>
          <w:szCs w:val="20"/>
          <w:color w:val="auto"/>
        </w:rPr>
      </w:pPr>
    </w:p>
    <w:p>
      <w:pPr>
        <w:ind w:right="20" w:firstLine="810"/>
        <w:spacing w:after="0" w:line="279" w:lineRule="auto"/>
        <w:rPr>
          <w:sz w:val="20"/>
          <w:szCs w:val="20"/>
          <w:color w:val="auto"/>
        </w:rPr>
      </w:pPr>
      <w:r>
        <w:rPr>
          <w:rFonts w:ascii="Arial" w:cs="Arial" w:eastAsia="Arial" w:hAnsi="Arial"/>
          <w:sz w:val="17"/>
          <w:szCs w:val="17"/>
          <w:color w:val="auto"/>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2022, 2021 and 2020. The Company does not expect any significant increases or decreases, other than the potential reduction as a result of the Section 382 limitation, to its unrecognized tax benefits within the next 12 months.</w:t>
      </w:r>
    </w:p>
    <w:p>
      <w:pPr>
        <w:spacing w:after="0" w:line="131"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Company is subject to taxation in the United States and various foreign and state jurisdictions. Prior to 2018, the losses were all attributable to the United States. The Company’s tax years from 2006 (inception) are subject to examination by the United States and state authorities due to the carry forward of unutilized NOLs and research and development credits.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ind w:right="20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and by major sales channel as management believes these categories best depict how the nature, amount and timing of revenues and cash flows are affected by economic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by Geographic Region and Customer Sales Channel</w:t>
      </w:r>
    </w:p>
    <w:p>
      <w:pPr>
        <w:spacing w:after="0" w:line="185"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During the years ended December 31, 2022, 2021 and 2020,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8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588,765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415,680</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the United States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212,452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83,150</w:t>
            </w:r>
          </w:p>
        </w:tc>
      </w:tr>
      <w:tr>
        <w:trPr>
          <w:trHeight w:val="248"/>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801,217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702,799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498,830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Sales to distributors accounted for 65%, 67%, and 70% of the Company’s total United States sales for the years ended December 31, 2022, 2021 and 2020, respectively. Sales to distributors accounted for 96%, 95%, and 94% of the Company’s total sales outside the United States for the years ended December 31, 2022, 2021 and 2020,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Acquisitions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Capillary Biomedical Acquisition</w:t>
      </w:r>
    </w:p>
    <w:p>
      <w:pPr>
        <w:spacing w:after="0" w:line="185"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On July 21, 2022, the Company acquired Capillary Biomedical, Inc. (Capillary Biomedical) an infusion set developer, for total cash consideration of $24.7 million, and the assumption of $4.7 million of long-term debt. The debt becomes due and payable upon the first sale or license of the commercialized product, and is included as a component of other long-term liabilities on the consolidated balance sheet at December 31, 2022. Capillary Biomedical’s extended-wear infusion set technology is currently in development and is not yet commercially available. The Company funded the purchase price using existing cash balances. The transaction was accounted for as an asset acquisition as substantially all the value of the gross assets were concentrated in a single asset. The Company recorded a $31.0 million charge representing the value of acquired in-process research and development assets with no alternative future use, and acquisition related expenses, on its consolidated statements of operations in acquired in-process research and development expenses. The Company’s results of operations for the year ended December 31, 2022 included the operating results of Capillary Biomedical since the date of acquisition, the amounts of which were not material.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18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 xml:space="preserve">In May 2020, we were named as a defendant in three California state court class action lawsuits arising from a phishing incident that occurred in January 2020. Collectively, these lawsuits sought statutory, compensatory, actual, and punitive damages; equitable relief, including restitution; pre- and post-judgment interest; injunctive relief; and attorney fees, costs, and expenses from us. On July 24, 2020, these three lawsuits were consolidated into a single case in the Superior Court of the State of California in the County of San Bernardino entitled </w:t>
      </w:r>
      <w:r>
        <w:rPr>
          <w:rFonts w:ascii="Arial" w:cs="Arial" w:eastAsia="Arial" w:hAnsi="Arial"/>
          <w:sz w:val="17"/>
          <w:szCs w:val="17"/>
          <w:i w:val="1"/>
          <w:iCs w:val="1"/>
          <w:color w:val="auto"/>
        </w:rPr>
        <w:t>Joseph Deluna et al. v. Tandem Diabetes Care, Inc.</w:t>
      </w:r>
      <w:r>
        <w:rPr>
          <w:rFonts w:ascii="Arial" w:cs="Arial" w:eastAsia="Arial" w:hAnsi="Arial"/>
          <w:sz w:val="17"/>
          <w:szCs w:val="17"/>
          <w:color w:val="auto"/>
        </w:rPr>
        <w:t xml:space="preserve"> The consolidated case alleged violations of the Confidentiality of Medical Information Act (CMIA), CCPA, California’s Unfair Competition Law (UCL), and breach of contract. We filed a demurrer on all claims, which was heard by the Court on October 20, 2020, and our demurrer to the CCPA claim was sustained. The plaintiffs filed a motion for class certification on January 7, 2022 and we filed a motion for summary adjudication on the CMIA claim on April 7, 2022. On February 8, 2023, the Court granted plaintiffs’ request to dismiss their remaining two claims with prejudice, and dismissed the motion for class certification, terminating the case in the Superior Court. The plaintiffs have to decide whether to appeal the Court’s decision granting our motion for summary adjudication.</w:t>
      </w:r>
    </w:p>
    <w:p>
      <w:pPr>
        <w:spacing w:after="0" w:line="145" w:lineRule="exact"/>
        <w:rPr>
          <w:sz w:val="20"/>
          <w:szCs w:val="20"/>
          <w:color w:val="auto"/>
        </w:rPr>
      </w:pPr>
    </w:p>
    <w:p>
      <w:pPr>
        <w:ind w:right="70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or range of potential losses associated with the lawsuits.</w:t>
      </w:r>
    </w:p>
    <w:p>
      <w:pPr>
        <w:spacing w:after="0" w:line="97"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From time to time, we are involved in various other legal proceedings, regulatory matters, and other disputes or claims arising from or related to claims incident to the normal course of our business activities, including actions with respect to intellectual property, data privacy, employment, regulatory, product liability and contractual matters.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 flows. However, regardless of the merit of the claims raised or the outcome, legal proceedings may have an adverse impact on us as a result of defense and settlement costs, diversion of management time and resources, and other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85" w:lineRule="exact"/>
        <w:rPr>
          <w:sz w:val="20"/>
          <w:szCs w:val="20"/>
          <w:color w:val="auto"/>
        </w:rPr>
      </w:pPr>
    </w:p>
    <w:p>
      <w:pPr>
        <w:ind w:right="60" w:firstLine="810"/>
        <w:spacing w:after="0" w:line="263" w:lineRule="auto"/>
        <w:rPr>
          <w:sz w:val="20"/>
          <w:szCs w:val="20"/>
          <w:color w:val="auto"/>
        </w:rPr>
      </w:pPr>
      <w:r>
        <w:rPr>
          <w:rFonts w:ascii="Arial" w:cs="Arial" w:eastAsia="Arial" w:hAnsi="Arial"/>
          <w:sz w:val="18"/>
          <w:szCs w:val="18"/>
          <w:color w:val="auto"/>
        </w:rPr>
        <w:t>In connection with one of the Company’s operating leases (see Note 6, “Leases”), the Company has a $4.9 million unsecured irrevocable standby letter of credit arrangement with a bank (see Note 7, “Debt”), under which the landlord of the building is the beneficiary. The Company is required to maintain the standby letter of credit throughout the term of the lease, which expires in April 2035.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85" w:lineRule="exact"/>
        <w:rPr>
          <w:sz w:val="20"/>
          <w:szCs w:val="20"/>
          <w:color w:val="auto"/>
        </w:rPr>
      </w:pPr>
    </w:p>
    <w:p>
      <w:pPr>
        <w:ind w:right="160" w:firstLine="810"/>
        <w:spacing w:after="0" w:line="296" w:lineRule="auto"/>
        <w:rPr>
          <w:sz w:val="20"/>
          <w:szCs w:val="20"/>
          <w:color w:val="auto"/>
        </w:rPr>
      </w:pPr>
      <w:r>
        <w:rPr>
          <w:rFonts w:ascii="Arial" w:cs="Arial" w:eastAsia="Arial" w:hAnsi="Arial"/>
          <w:sz w:val="16"/>
          <w:szCs w:val="16"/>
          <w:color w:val="auto"/>
        </w:rPr>
        <w:t>The Company has agreements with suppliers and other parties to purchase inventory, other goods and services and long-lived assets. Product inventory obligations consist primarily of purchase order commitments for raw materials used in the production of insulin pumps and cartridges, and finished goods infusion sets. Cancellation of outstanding purchase orders is generally allowed under the standard terms of our purchase order agreements, but may require payment of costs incurred through the date of cancellation. At December 31, 2022, obligations under our purchase agreements totaled approximately $351.4 million, of which approximately $320.3 million is scheduled to be received and become payable within one-year.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14. Fourth Quarter Financial Data (Unaudited)</w:t>
      </w:r>
    </w:p>
    <w:p>
      <w:pPr>
        <w:spacing w:after="0" w:line="202" w:lineRule="exact"/>
        <w:rPr>
          <w:sz w:val="20"/>
          <w:szCs w:val="20"/>
          <w:color w:val="auto"/>
        </w:rPr>
      </w:pPr>
    </w:p>
    <w:p>
      <w:pPr>
        <w:jc w:val="both"/>
        <w:ind w:right="40" w:firstLine="810"/>
        <w:spacing w:after="0" w:line="342" w:lineRule="auto"/>
        <w:rPr>
          <w:sz w:val="20"/>
          <w:szCs w:val="20"/>
          <w:color w:val="auto"/>
        </w:rPr>
      </w:pPr>
      <w:r>
        <w:rPr>
          <w:rFonts w:ascii="Arial" w:cs="Arial" w:eastAsia="Arial" w:hAnsi="Arial"/>
          <w:sz w:val="16"/>
          <w:szCs w:val="16"/>
          <w:color w:val="auto"/>
        </w:rPr>
        <w:t>The financial information for the three months ended December 31, 2022 and 2021 presented in the following table reflects all normal recurring adjustments that are, in the opinion of management, necessary for a fair statement of the results of the interim periods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Quarter Ended</w:t>
            </w:r>
          </w:p>
        </w:tc>
      </w:t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209,996</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115,523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113,729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100,991</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12,738</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bl>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numerator and denominator of the basic and diluted net income per share computations are calculated as follows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6"/>
                <w:szCs w:val="16"/>
                <w:b w:val="1"/>
                <w:bCs w:val="1"/>
                <w:color w:val="auto"/>
              </w:rPr>
              <w:t>For the Quarter Ended</w:t>
            </w:r>
          </w:p>
        </w:tc>
      </w:tr>
      <w:tr>
        <w:trPr>
          <w:trHeight w:val="210"/>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2021</w:t>
            </w:r>
          </w:p>
        </w:tc>
      </w:tr>
      <w:tr>
        <w:trPr>
          <w:trHeight w:val="22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basic</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Less: change in fair value of common stock warrants</w:t>
            </w:r>
          </w:p>
        </w:tc>
        <w:tc>
          <w:tcPr>
            <w:tcW w:w="2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 diluted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Dilutive common share equivalents: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to purchase common stock</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Unvested restricted stock units</w:t>
            </w:r>
          </w:p>
        </w:tc>
        <w:tc>
          <w:tcPr>
            <w:tcW w:w="2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to purchase common stock</w:t>
            </w: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Awards to be granted under the ESPP</w:t>
            </w:r>
          </w:p>
        </w:tc>
        <w:tc>
          <w:tcPr>
            <w:tcW w:w="2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AMF Medical Acquisition</w:t>
      </w:r>
    </w:p>
    <w:p>
      <w:pPr>
        <w:spacing w:after="0" w:line="185"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On December 10, 2022, the Company, entered into a Share Purchase Agreement (the “Purchase Agreement”) with AMF Medical SA, a corporation organized and existing under the laws of Switzerland (“AMF Medical”), and its shareholders to acquire all of the registered shares of AMF Medical (the “Transaction”), the privately held Swiss developer of the Sigi Patch Pump. The Sigi Patch Pump, designed to be an ergonomic, rechargeable patch pump that reduces the burden of managing diabetes through its use of pre-filled insulin cartridges, is under development and not commercially available.</w:t>
      </w:r>
    </w:p>
    <w:p>
      <w:pPr>
        <w:spacing w:after="0" w:line="147" w:lineRule="exact"/>
        <w:rPr>
          <w:sz w:val="20"/>
          <w:szCs w:val="20"/>
          <w:color w:val="auto"/>
        </w:rPr>
      </w:pPr>
    </w:p>
    <w:p>
      <w:pPr>
        <w:ind w:right="100" w:firstLine="810"/>
        <w:spacing w:after="0" w:line="254" w:lineRule="auto"/>
        <w:rPr>
          <w:sz w:val="20"/>
          <w:szCs w:val="20"/>
          <w:color w:val="auto"/>
        </w:rPr>
      </w:pPr>
      <w:r>
        <w:rPr>
          <w:rFonts w:ascii="Arial" w:cs="Arial" w:eastAsia="Arial" w:hAnsi="Arial"/>
          <w:sz w:val="18"/>
          <w:szCs w:val="18"/>
          <w:color w:val="auto"/>
        </w:rPr>
        <w:t>On January 19, 2023, the Company completed the acquisition of AMF Medical, pursuant to the terms of the Purchase Agreement. The total aggregate consideration for the Transaction includes a previous strategic investment of Swiss Francs (“CHF”) 8.0 million paid in the third quarter of 2022 (see Note 2, “Strategic Investments”), a cash payment of CHF 62.4 million paid at the closing of the Transaction, and additional contingent earnout payments. The additional earnout payments of up to CHF 129.6 million, in aggregate, become payable upon the achievement of certain milestones and are comprised of a payment of up to CHF 38.4 million upon the successful completion of key development milestones over the next two years, and a payment of up to CHF 91.2 million upon obtaining regulatory clearance of an automated controller enabled (ACE) pump by the United States Food and Drug Administration. The Company funded the initial closing payment using existing cash balances, and is in the process of determining the accounting treatment for the acquisition.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4" w:name="page105"/>
    <w:bookmarkEnd w:id="104"/>
    <w:p>
      <w:pPr>
        <w:spacing w:after="0" w:line="59" w:lineRule="exact"/>
        <w:rPr>
          <w:sz w:val="20"/>
          <w:szCs w:val="20"/>
          <w:color w:val="auto"/>
        </w:rPr>
      </w:pPr>
    </w:p>
    <w:p>
      <w:pPr>
        <w:jc w:val="center"/>
        <w:ind w:right="3620"/>
        <w:spacing w:after="0"/>
        <w:tabs>
          <w:tab w:leader="none" w:pos="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jc w:val="center"/>
        <w:ind w:right="85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8420"/>
        <w:spacing w:after="0"/>
        <w:tabs>
          <w:tab w:leader="none" w:pos="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ind w:right="120" w:firstLine="810"/>
        <w:spacing w:after="0" w:line="259" w:lineRule="auto"/>
        <w:rPr>
          <w:sz w:val="20"/>
          <w:szCs w:val="20"/>
          <w:color w:val="auto"/>
        </w:rPr>
      </w:pPr>
      <w:r>
        <w:rPr>
          <w:rFonts w:ascii="Arial" w:cs="Arial" w:eastAsia="Arial" w:hAnsi="Arial"/>
          <w:sz w:val="18"/>
          <w:szCs w:val="18"/>
          <w:color w:val="auto"/>
        </w:rPr>
        <w:t>As of December 31, 2022,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December 31, 2022.</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89"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spacing w:after="0" w:line="161" w:lineRule="exact"/>
        <w:rPr>
          <w:sz w:val="20"/>
          <w:szCs w:val="20"/>
          <w:color w:val="auto"/>
        </w:rPr>
      </w:pPr>
    </w:p>
    <w:p>
      <w:pPr>
        <w:ind w:right="100" w:firstLine="810"/>
        <w:spacing w:after="0" w:line="311" w:lineRule="auto"/>
        <w:rPr>
          <w:sz w:val="20"/>
          <w:szCs w:val="20"/>
          <w:color w:val="auto"/>
        </w:rPr>
      </w:pPr>
      <w:r>
        <w:rPr>
          <w:rFonts w:ascii="Arial" w:cs="Arial" w:eastAsia="Arial" w:hAnsi="Arial"/>
          <w:sz w:val="16"/>
          <w:szCs w:val="16"/>
          <w:color w:val="auto"/>
        </w:rPr>
        <w:t>As of December 31, 2022, our management assessed the effectiveness of our internal control over financial reporting using the criteria set forth by the Committee of Sponsoring Organizations of the Treadway Commission in Internal Control-Integrated Framework (2013 Framework) (the COSO criteria). Based on this assessment, our management concluded that, as of December 31, 2022, our internal control over financial reporting was effective.</w:t>
      </w:r>
    </w:p>
    <w:p>
      <w:pPr>
        <w:spacing w:after="0" w:line="108"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the effectiveness of our internal control over financial reporting as of December 31, 2022 as stated in its report, which is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6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December 31, 2022 that materially affected, or are reasonably likely to materially affect, our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w:t>
      </w:r>
    </w:p>
    <w:p>
      <w:pPr>
        <w:spacing w:after="0" w:line="18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ind w:firstLine="810"/>
        <w:spacing w:after="0" w:line="259" w:lineRule="auto"/>
        <w:rPr>
          <w:sz w:val="20"/>
          <w:szCs w:val="20"/>
          <w:color w:val="auto"/>
        </w:rPr>
      </w:pPr>
      <w:r>
        <w:rPr>
          <w:rFonts w:ascii="Arial" w:cs="Arial" w:eastAsia="Arial" w:hAnsi="Arial"/>
          <w:sz w:val="18"/>
          <w:szCs w:val="18"/>
          <w:color w:val="auto"/>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our policies and procedures, the existence of this relationship may create additional risk, or the perception of additional risk, that our controls and procedures may not be effective.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Tandem Diabetes Care,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have audited Tandem Diabetes Care, Inc.’s internal control over financial reporting as of December 31, 2022,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2022, based on the COSO criteria.</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income (loss), stockholders‘ equity, and cash flows, for each of the three years in the period ended December 31, 2022, and the related notes and our report dated February 22, 2023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8" w:lineRule="exact"/>
        <w:rPr>
          <w:sz w:val="20"/>
          <w:szCs w:val="20"/>
          <w:color w:val="auto"/>
        </w:rPr>
      </w:pPr>
    </w:p>
    <w:p>
      <w:pPr>
        <w:jc w:val="both"/>
        <w:ind w:right="32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Certain information regarding our executive officers and family relationships is set forth under the caption “Business” in Part I, Item 1 of this Annual Report.</w:t>
      </w:r>
    </w:p>
    <w:p>
      <w:pPr>
        <w:spacing w:after="0" w:line="130"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45"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information required by this item that is not referenced or set forth above, will be set forth in our Proxy Statement, or in an amendment to this Annual Report, to be filed with the SEC not later than 120 days after the end of the fiscal year ended December 31, 2022, and is incorporated herein by reference.</w:t>
      </w:r>
    </w:p>
    <w:p>
      <w:pPr>
        <w:spacing w:after="0" w:line="1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89"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2"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89"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89" w:lineRule="exact"/>
        <w:rPr>
          <w:sz w:val="20"/>
          <w:szCs w:val="20"/>
          <w:color w:val="auto"/>
        </w:rPr>
      </w:pPr>
    </w:p>
    <w:p>
      <w:pPr>
        <w:ind w:right="180" w:firstLine="81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or in an amendment to this Annual Report,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The following documents are included in Part II, Item 8 of this Annual Report and are incorporated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1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3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71</w:t>
            </w: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0000FF"/>
            </w:tcBorders>
            <w:gridSpan w:val="5"/>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3900" w:type="dxa"/>
            <w:vAlign w:val="bottom"/>
            <w:tcBorders>
              <w:top w:val="single" w:sz="8" w:color="CCEEFF"/>
            </w:tcBorders>
            <w:gridSpan w:val="2"/>
          </w:tcPr>
          <w:p>
            <w:pPr>
              <w:spacing w:after="0"/>
              <w:rPr>
                <w:sz w:val="16"/>
                <w:szCs w:val="16"/>
                <w:color w:val="auto"/>
              </w:rPr>
            </w:pPr>
          </w:p>
        </w:tc>
        <w:tc>
          <w:tcPr>
            <w:tcW w:w="306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0000FF"/>
              </w:rPr>
              <w:t>73</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1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 and Comprehensive Income (Loss)</w:t>
            </w:r>
          </w:p>
        </w:tc>
        <w:tc>
          <w:tcPr>
            <w:tcW w:w="3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0000FF"/>
              </w:rPr>
              <w:t>74</w:t>
            </w:r>
          </w:p>
        </w:tc>
      </w:tr>
      <w:tr>
        <w:trPr>
          <w:trHeight w:val="189"/>
        </w:trPr>
        <w:tc>
          <w:tcPr>
            <w:tcW w:w="20" w:type="dxa"/>
            <w:vAlign w:val="bottom"/>
            <w:tcBorders>
              <w:top w:val="single" w:sz="8" w:color="CCEEFF"/>
            </w:tcBorders>
          </w:tcPr>
          <w:p>
            <w:pPr>
              <w:spacing w:after="0"/>
              <w:rPr>
                <w:sz w:val="16"/>
                <w:szCs w:val="16"/>
                <w:color w:val="auto"/>
              </w:rPr>
            </w:pPr>
          </w:p>
        </w:tc>
        <w:tc>
          <w:tcPr>
            <w:tcW w:w="538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Consolidated Statements of Stockholders’ Equity</w:t>
            </w:r>
          </w:p>
        </w:tc>
        <w:tc>
          <w:tcPr>
            <w:tcW w:w="274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0000FF"/>
              </w:rPr>
              <w:t>75</w:t>
            </w: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Statements of Cash Flows</w:t>
            </w:r>
          </w:p>
        </w:tc>
        <w:tc>
          <w:tcPr>
            <w:tcW w:w="5240" w:type="dxa"/>
            <w:vAlign w:val="bottom"/>
            <w:tcBorders>
              <w:bottom w:val="single" w:sz="8" w:color="CCEEFF"/>
            </w:tcBorders>
            <w:gridSpan w:val="5"/>
            <w:shd w:val="clear" w:color="auto" w:fill="CCEEFF"/>
          </w:tcPr>
          <w:p>
            <w:pPr>
              <w:spacing w:after="0"/>
              <w:rPr>
                <w:sz w:val="18"/>
                <w:szCs w:val="18"/>
                <w:color w:val="auto"/>
              </w:rPr>
            </w:pPr>
          </w:p>
        </w:tc>
        <w:tc>
          <w:tcPr>
            <w:tcW w:w="306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rPr>
              <w:t>76</w:t>
            </w:r>
          </w:p>
        </w:tc>
      </w:tr>
      <w:tr>
        <w:trPr>
          <w:trHeight w:val="189"/>
        </w:trPr>
        <w:tc>
          <w:tcPr>
            <w:tcW w:w="20" w:type="dxa"/>
            <w:vAlign w:val="bottom"/>
          </w:tcPr>
          <w:p>
            <w:pPr>
              <w:spacing w:after="0"/>
              <w:rPr>
                <w:sz w:val="16"/>
                <w:szCs w:val="16"/>
                <w:color w:val="auto"/>
              </w:rPr>
            </w:pPr>
          </w:p>
        </w:tc>
        <w:tc>
          <w:tcPr>
            <w:tcW w:w="316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89"/>
              </w:rPr>
              <w:t>Notes to Consolidated Financial Statements</w:t>
            </w:r>
          </w:p>
        </w:tc>
        <w:tc>
          <w:tcPr>
            <w:tcW w:w="4960" w:type="dxa"/>
            <w:vAlign w:val="bottom"/>
            <w:gridSpan w:val="4"/>
          </w:tcPr>
          <w:p>
            <w:pPr>
              <w:spacing w:after="0"/>
              <w:rPr>
                <w:sz w:val="16"/>
                <w:szCs w:val="16"/>
                <w:color w:val="auto"/>
              </w:rPr>
            </w:pPr>
          </w:p>
        </w:tc>
        <w:tc>
          <w:tcPr>
            <w:tcW w:w="3060" w:type="dxa"/>
            <w:vAlign w:val="bottom"/>
          </w:tcPr>
          <w:p>
            <w:pPr>
              <w:jc w:val="right"/>
              <w:spacing w:after="0" w:line="189" w:lineRule="exact"/>
              <w:rPr>
                <w:sz w:val="20"/>
                <w:szCs w:val="20"/>
                <w:color w:val="auto"/>
              </w:rPr>
            </w:pPr>
            <w:r>
              <w:rPr>
                <w:rFonts w:ascii="Arial" w:cs="Arial" w:eastAsia="Arial" w:hAnsi="Arial"/>
                <w:sz w:val="18"/>
                <w:szCs w:val="18"/>
                <w:color w:val="0000FF"/>
              </w:rPr>
              <w:t>77</w:t>
            </w:r>
          </w:p>
        </w:tc>
      </w:tr>
    </w:tbl>
    <w:p>
      <w:pPr>
        <w:spacing w:after="0" w:line="283" w:lineRule="exact"/>
        <w:rPr>
          <w:sz w:val="20"/>
          <w:szCs w:val="20"/>
          <w:color w:val="auto"/>
        </w:rPr>
      </w:pPr>
    </w:p>
    <w:p>
      <w:pPr>
        <w:ind w:right="240" w:firstLine="818"/>
        <w:spacing w:after="0" w:line="277" w:lineRule="auto"/>
        <w:tabs>
          <w:tab w:leader="none" w:pos="99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consolidated financial statements or notes thereto.</w:t>
      </w:r>
    </w:p>
    <w:p>
      <w:pPr>
        <w:spacing w:after="0" w:line="197" w:lineRule="exact"/>
        <w:rPr>
          <w:rFonts w:ascii="Arial" w:cs="Arial" w:eastAsia="Arial" w:hAnsi="Arial"/>
          <w:sz w:val="18"/>
          <w:szCs w:val="18"/>
          <w:color w:val="auto"/>
        </w:rPr>
      </w:pPr>
    </w:p>
    <w:p>
      <w:pPr>
        <w:ind w:left="1000" w:hanging="182"/>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tcBorders>
              <w:top w:val="single" w:sz="8" w:color="auto"/>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178"/>
        </w:trPr>
        <w:tc>
          <w:tcPr>
            <w:tcW w:w="136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3"/>
              </w:rPr>
              <w:t>Date of First</w:t>
            </w: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7" w:lineRule="exact"/>
              <w:rPr>
                <w:sz w:val="20"/>
                <w:szCs w:val="20"/>
                <w:color w:val="auto"/>
              </w:rPr>
            </w:pPr>
            <w:r>
              <w:rPr>
                <w:rFonts w:ascii="Arial" w:cs="Arial" w:eastAsia="Arial" w:hAnsi="Arial"/>
                <w:sz w:val="18"/>
                <w:szCs w:val="18"/>
                <w:b w:val="1"/>
                <w:bCs w:val="1"/>
                <w:color w:val="auto"/>
                <w:w w:val="93"/>
              </w:rPr>
              <w:t>Exhibit</w:t>
            </w:r>
          </w:p>
        </w:tc>
        <w:tc>
          <w:tcPr>
            <w:tcW w:w="1200" w:type="dxa"/>
            <w:vAlign w:val="bottom"/>
          </w:tcPr>
          <w:p>
            <w:pPr>
              <w:ind w:left="260"/>
              <w:spacing w:after="0" w:line="177" w:lineRule="exact"/>
              <w:rPr>
                <w:sz w:val="20"/>
                <w:szCs w:val="20"/>
                <w:color w:val="auto"/>
              </w:rPr>
            </w:pPr>
            <w:r>
              <w:rPr>
                <w:rFonts w:ascii="Arial" w:cs="Arial" w:eastAsia="Arial" w:hAnsi="Arial"/>
                <w:sz w:val="18"/>
                <w:szCs w:val="18"/>
                <w:b w:val="1"/>
                <w:bCs w:val="1"/>
                <w:color w:val="auto"/>
              </w:rPr>
              <w:t>Provided</w:t>
            </w:r>
          </w:p>
        </w:tc>
      </w:tr>
      <w:tr>
        <w:trPr>
          <w:trHeight w:val="234"/>
        </w:trPr>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20"/>
                <w:szCs w:val="20"/>
                <w:color w:val="auto"/>
              </w:rPr>
            </w:pPr>
          </w:p>
        </w:tc>
        <w:tc>
          <w:tcPr>
            <w:tcW w:w="3380" w:type="dxa"/>
            <w:vAlign w:val="bottom"/>
            <w:gridSpan w:val="26"/>
          </w:tcPr>
          <w:p>
            <w:pPr>
              <w:spacing w:after="0"/>
              <w:rPr>
                <w:sz w:val="20"/>
                <w:szCs w:val="20"/>
                <w:color w:val="auto"/>
              </w:rPr>
            </w:pPr>
            <w:r>
              <w:rPr>
                <w:rFonts w:ascii="Arial" w:cs="Arial" w:eastAsia="Arial" w:hAnsi="Arial"/>
                <w:sz w:val="18"/>
                <w:szCs w:val="18"/>
                <w:b w:val="1"/>
                <w:bCs w:val="1"/>
                <w:color w:val="auto"/>
              </w:rPr>
              <w:t>Exhibit Description</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File No.</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Filing</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Herewith</w:t>
            </w:r>
          </w:p>
        </w:tc>
      </w:tr>
      <w:tr>
        <w:trPr>
          <w:trHeight w:val="183"/>
        </w:trPr>
        <w:tc>
          <w:tcPr>
            <w:tcW w:w="1240" w:type="dxa"/>
            <w:vAlign w:val="bottom"/>
            <w:tcBorders>
              <w:top w:val="single" w:sz="8" w:color="auto"/>
            </w:tcBorders>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80" w:type="dxa"/>
            <w:vAlign w:val="bottom"/>
            <w:tcBorders>
              <w:top w:val="single" w:sz="8" w:color="auto"/>
            </w:tcBorders>
            <w:gridSpan w:val="25"/>
            <w:shd w:val="clear" w:color="auto" w:fill="CCEEFF"/>
          </w:tcPr>
          <w:p>
            <w:pPr>
              <w:spacing w:after="0" w:line="182" w:lineRule="exact"/>
              <w:rPr>
                <w:rFonts w:ascii="Arial" w:cs="Arial" w:eastAsia="Arial" w:hAnsi="Arial"/>
                <w:sz w:val="18"/>
                <w:szCs w:val="18"/>
                <w:color w:val="auto"/>
              </w:rPr>
            </w:pPr>
            <w:hyperlink r:id="rId144">
              <w:r>
                <w:rPr>
                  <w:rFonts w:ascii="Arial" w:cs="Arial" w:eastAsia="Arial" w:hAnsi="Arial"/>
                  <w:sz w:val="18"/>
                  <w:szCs w:val="18"/>
                  <w:color w:val="auto"/>
                </w:rPr>
                <w:t>Amended and Restated Certificate of</w:t>
              </w:r>
            </w:hyperlink>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10-Q</w:t>
            </w: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001-36189</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1-Nov-18</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gridSpan w:val="11"/>
            <w:shd w:val="clear" w:color="auto" w:fill="CCEEFF"/>
          </w:tcPr>
          <w:p>
            <w:pPr>
              <w:spacing w:after="0" w:line="169" w:lineRule="exact"/>
              <w:rPr>
                <w:rFonts w:ascii="Arial" w:cs="Arial" w:eastAsia="Arial" w:hAnsi="Arial"/>
                <w:sz w:val="18"/>
                <w:szCs w:val="18"/>
                <w:color w:val="auto"/>
                <w:w w:val="93"/>
              </w:rPr>
            </w:pPr>
            <w:hyperlink r:id="rId144">
              <w:r>
                <w:rPr>
                  <w:rFonts w:ascii="Arial" w:cs="Arial" w:eastAsia="Arial" w:hAnsi="Arial"/>
                  <w:sz w:val="18"/>
                  <w:szCs w:val="18"/>
                  <w:color w:val="auto"/>
                  <w:w w:val="93"/>
                </w:rPr>
                <w:t>Incorporation (as amended through</w:t>
              </w:r>
            </w:hyperlink>
          </w:p>
        </w:tc>
        <w:tc>
          <w:tcPr>
            <w:tcW w:w="720" w:type="dxa"/>
            <w:vAlign w:val="bottom"/>
            <w:tcBorders>
              <w:top w:val="single" w:sz="8" w:color="CCEEFF"/>
            </w:tcBorders>
            <w:gridSpan w:val="15"/>
            <w:shd w:val="clear" w:color="auto" w:fill="CCEEFF"/>
          </w:tcPr>
          <w:p>
            <w:pPr>
              <w:jc w:val="right"/>
              <w:ind w:right="280"/>
              <w:spacing w:after="0" w:line="169" w:lineRule="exact"/>
              <w:rPr>
                <w:rFonts w:ascii="Arial" w:cs="Arial" w:eastAsia="Arial" w:hAnsi="Arial"/>
                <w:sz w:val="18"/>
                <w:szCs w:val="18"/>
                <w:color w:val="auto"/>
                <w:w w:val="74"/>
              </w:rPr>
            </w:pPr>
            <w:hyperlink r:id="rId144">
              <w:r>
                <w:rPr>
                  <w:rFonts w:ascii="Arial" w:cs="Arial" w:eastAsia="Arial" w:hAnsi="Arial"/>
                  <w:sz w:val="18"/>
                  <w:szCs w:val="18"/>
                  <w:color w:val="auto"/>
                  <w:w w:val="74"/>
                </w:rPr>
                <w:t>August</w:t>
              </w:r>
            </w:hyperlink>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100" w:type="dxa"/>
            <w:vAlign w:val="bottom"/>
            <w:tcBorders>
              <w:top w:val="single" w:sz="8" w:color="auto"/>
            </w:tcBorders>
            <w:gridSpan w:val="20"/>
            <w:shd w:val="clear" w:color="auto" w:fill="CCEEFF"/>
          </w:tcPr>
          <w:p>
            <w:pPr>
              <w:spacing w:after="0" w:line="156" w:lineRule="exact"/>
              <w:rPr>
                <w:rFonts w:ascii="Arial" w:cs="Arial" w:eastAsia="Arial" w:hAnsi="Arial"/>
                <w:sz w:val="18"/>
                <w:szCs w:val="18"/>
                <w:color w:val="auto"/>
              </w:rPr>
            </w:pPr>
            <w:hyperlink r:id="rId144">
              <w:r>
                <w:rPr>
                  <w:rFonts w:ascii="Arial" w:cs="Arial" w:eastAsia="Arial" w:hAnsi="Arial"/>
                  <w:sz w:val="18"/>
                  <w:szCs w:val="18"/>
                  <w:color w:val="auto"/>
                </w:rPr>
                <w:t>17, 2018 and currently in effect).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6"/>
          </w:tcPr>
          <w:p>
            <w:pPr>
              <w:spacing w:after="0" w:line="189" w:lineRule="exact"/>
              <w:rPr>
                <w:rFonts w:ascii="Arial" w:cs="Arial" w:eastAsia="Arial" w:hAnsi="Arial"/>
                <w:sz w:val="18"/>
                <w:szCs w:val="18"/>
                <w:color w:val="auto"/>
                <w:w w:val="93"/>
              </w:rPr>
            </w:pPr>
            <w:hyperlink r:id="rId145">
              <w:r>
                <w:rPr>
                  <w:rFonts w:ascii="Arial" w:cs="Arial" w:eastAsia="Arial" w:hAnsi="Arial"/>
                  <w:sz w:val="18"/>
                  <w:szCs w:val="18"/>
                  <w:color w:val="auto"/>
                  <w:w w:val="93"/>
                </w:rPr>
                <w:t>Amended and Restated Bylaws (as amended</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9"/>
              </w:rPr>
              <w:t>24-Feb-21</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auto"/>
            </w:tcBorders>
            <w:gridSpan w:val="24"/>
          </w:tcPr>
          <w:p>
            <w:pPr>
              <w:spacing w:after="0" w:line="169" w:lineRule="exact"/>
              <w:rPr>
                <w:rFonts w:ascii="Arial" w:cs="Arial" w:eastAsia="Arial" w:hAnsi="Arial"/>
                <w:sz w:val="18"/>
                <w:szCs w:val="18"/>
                <w:color w:val="auto"/>
                <w:w w:val="96"/>
              </w:rPr>
            </w:pPr>
            <w:hyperlink r:id="rId145">
              <w:r>
                <w:rPr>
                  <w:rFonts w:ascii="Arial" w:cs="Arial" w:eastAsia="Arial" w:hAnsi="Arial"/>
                  <w:sz w:val="18"/>
                  <w:szCs w:val="18"/>
                  <w:color w:val="auto"/>
                  <w:w w:val="96"/>
                </w:rPr>
                <w:t>through February 4, 2021 and currently in</w:t>
              </w:r>
            </w:hyperlink>
          </w:p>
        </w:tc>
        <w:tc>
          <w:tcPr>
            <w:tcW w:w="1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auto"/>
            </w:tcBorders>
            <w:gridSpan w:val="18"/>
          </w:tcPr>
          <w:p>
            <w:pPr>
              <w:spacing w:after="0" w:line="156" w:lineRule="exact"/>
              <w:rPr>
                <w:rFonts w:ascii="Arial" w:cs="Arial" w:eastAsia="Arial" w:hAnsi="Arial"/>
                <w:sz w:val="18"/>
                <w:szCs w:val="18"/>
                <w:color w:val="auto"/>
              </w:rPr>
            </w:pPr>
            <w:hyperlink r:id="rId145">
              <w:r>
                <w:rPr>
                  <w:rFonts w:ascii="Arial" w:cs="Arial" w:eastAsia="Arial" w:hAnsi="Arial"/>
                  <w:sz w:val="18"/>
                  <w:szCs w:val="18"/>
                  <w:color w:val="auto"/>
                </w:rPr>
                <w:t>effect).</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6"/>
            <w:shd w:val="clear" w:color="auto" w:fill="CCEEFF"/>
          </w:tcPr>
          <w:p>
            <w:pPr>
              <w:spacing w:after="0" w:line="189" w:lineRule="exact"/>
              <w:rPr>
                <w:rFonts w:ascii="Arial" w:cs="Arial" w:eastAsia="Arial" w:hAnsi="Arial"/>
                <w:sz w:val="18"/>
                <w:szCs w:val="18"/>
                <w:color w:val="auto"/>
              </w:rPr>
            </w:pPr>
            <w:hyperlink r:id="rId146">
              <w:r>
                <w:rPr>
                  <w:rFonts w:ascii="Arial" w:cs="Arial" w:eastAsia="Arial" w:hAnsi="Arial"/>
                  <w:sz w:val="18"/>
                  <w:szCs w:val="18"/>
                  <w:color w:val="auto"/>
                </w:rPr>
                <w:t>Description of Capital Stock</w:t>
              </w:r>
            </w:hyperlink>
            <w:r>
              <w:rPr>
                <w:rFonts w:ascii="Arial" w:cs="Arial" w:eastAsia="Arial" w:hAnsi="Arial"/>
                <w:sz w:val="18"/>
                <w:szCs w:val="18"/>
                <w:color w:val="auto"/>
              </w:rPr>
              <w:t>.</w:t>
            </w:r>
          </w:p>
        </w:tc>
        <w:tc>
          <w:tcPr>
            <w:tcW w:w="13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10-K</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89"/>
              </w:rPr>
              <w:t>24-Feb-20</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6"/>
          </w:tcPr>
          <w:p>
            <w:pPr>
              <w:spacing w:after="0" w:line="189" w:lineRule="exact"/>
              <w:rPr>
                <w:rFonts w:ascii="Arial" w:cs="Arial" w:eastAsia="Arial" w:hAnsi="Arial"/>
                <w:sz w:val="18"/>
                <w:szCs w:val="18"/>
                <w:color w:val="auto"/>
              </w:rPr>
            </w:pPr>
            <w:hyperlink r:id="rId147">
              <w:r>
                <w:rPr>
                  <w:rFonts w:ascii="Arial" w:cs="Arial" w:eastAsia="Arial" w:hAnsi="Arial"/>
                  <w:sz w:val="18"/>
                  <w:szCs w:val="18"/>
                  <w:color w:val="auto"/>
                </w:rPr>
                <w:t>Form of Common Stock Certificate.</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3"/>
              </w:rPr>
              <w:t>S-1/A</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4"/>
              </w:rPr>
              <w:t>1-Nov-13</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1240" w:type="dxa"/>
            <w:vAlign w:val="bottom"/>
            <w:tcBorders>
              <w:bottom w:val="single" w:sz="8" w:color="CCEEFF"/>
            </w:tcBorders>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auto"/>
            </w:tcBorders>
            <w:gridSpan w:val="15"/>
            <w:shd w:val="clear" w:color="auto" w:fill="CCEEFF"/>
          </w:tcPr>
          <w:p>
            <w:pPr>
              <w:spacing w:after="0" w:line="189" w:lineRule="exact"/>
              <w:rPr>
                <w:rFonts w:ascii="Arial" w:cs="Arial" w:eastAsia="Arial" w:hAnsi="Arial"/>
                <w:sz w:val="18"/>
                <w:szCs w:val="18"/>
                <w:color w:val="auto"/>
                <w:w w:val="90"/>
              </w:rPr>
            </w:pPr>
            <w:hyperlink r:id="rId148">
              <w:r>
                <w:rPr>
                  <w:rFonts w:ascii="Arial" w:cs="Arial" w:eastAsia="Arial" w:hAnsi="Arial"/>
                  <w:sz w:val="18"/>
                  <w:szCs w:val="18"/>
                  <w:color w:val="auto"/>
                  <w:w w:val="90"/>
                </w:rPr>
                <w:t>Third Amended and Restated Investors’</w:t>
              </w:r>
            </w:hyperlink>
          </w:p>
        </w:tc>
        <w:tc>
          <w:tcPr>
            <w:tcW w:w="500" w:type="dxa"/>
            <w:vAlign w:val="bottom"/>
            <w:tcBorders>
              <w:bottom w:val="single" w:sz="8" w:color="CCEEFF"/>
            </w:tcBorders>
            <w:gridSpan w:val="11"/>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4.2</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0"/>
        </w:trPr>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auto"/>
            </w:tcBorders>
            <w:gridSpan w:val="19"/>
            <w:shd w:val="clear" w:color="auto" w:fill="CCEEFF"/>
          </w:tcPr>
          <w:p>
            <w:pPr>
              <w:spacing w:after="0" w:line="169" w:lineRule="exact"/>
              <w:rPr>
                <w:rFonts w:ascii="Arial" w:cs="Arial" w:eastAsia="Arial" w:hAnsi="Arial"/>
                <w:sz w:val="18"/>
                <w:szCs w:val="18"/>
                <w:color w:val="auto"/>
                <w:w w:val="89"/>
              </w:rPr>
            </w:pPr>
            <w:hyperlink r:id="rId148">
              <w:r>
                <w:rPr>
                  <w:rFonts w:ascii="Arial" w:cs="Arial" w:eastAsia="Arial" w:hAnsi="Arial"/>
                  <w:sz w:val="18"/>
                  <w:szCs w:val="18"/>
                  <w:color w:val="auto"/>
                  <w:w w:val="89"/>
                </w:rPr>
                <w:t>Rights Agreement, dated August 30, 2012.</w:t>
              </w:r>
            </w:hyperlink>
          </w:p>
        </w:tc>
        <w:tc>
          <w:tcPr>
            <w:tcW w:w="300" w:type="dxa"/>
            <w:vAlign w:val="bottom"/>
            <w:tcBorders>
              <w:bottom w:val="single" w:sz="8" w:color="CCEEFF"/>
            </w:tcBorders>
            <w:gridSpan w:val="7"/>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6"/>
          </w:tcPr>
          <w:p>
            <w:pPr>
              <w:spacing w:after="0" w:line="189" w:lineRule="exact"/>
              <w:rPr>
                <w:rFonts w:ascii="Arial" w:cs="Arial" w:eastAsia="Arial" w:hAnsi="Arial"/>
                <w:sz w:val="18"/>
                <w:szCs w:val="18"/>
                <w:color w:val="auto"/>
              </w:rPr>
            </w:pPr>
            <w:hyperlink r:id="rId149">
              <w:r>
                <w:rPr>
                  <w:rFonts w:ascii="Arial" w:cs="Arial" w:eastAsia="Arial" w:hAnsi="Arial"/>
                  <w:sz w:val="18"/>
                  <w:szCs w:val="18"/>
                  <w:color w:val="auto"/>
                </w:rPr>
                <w:t>Form of Warrant to Purchase Stock</w:t>
              </w:r>
            </w:hyperlink>
            <w:r>
              <w:rPr>
                <w:rFonts w:ascii="Arial" w:cs="Arial" w:eastAsia="Arial" w:hAnsi="Arial"/>
                <w:sz w:val="18"/>
                <w:szCs w:val="18"/>
                <w:color w:val="auto"/>
              </w:rPr>
              <w:t>.</w:t>
            </w:r>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333-216531</w:t>
            </w:r>
          </w:p>
        </w:tc>
        <w:tc>
          <w:tcPr>
            <w:tcW w:w="120" w:type="dxa"/>
            <w:vAlign w:val="bottom"/>
          </w:tcPr>
          <w:p>
            <w:pPr>
              <w:spacing w:after="0"/>
              <w:rPr>
                <w:sz w:val="16"/>
                <w:szCs w:val="16"/>
                <w:color w:val="auto"/>
              </w:rPr>
            </w:pPr>
          </w:p>
        </w:tc>
        <w:tc>
          <w:tcPr>
            <w:tcW w:w="138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3"/>
              </w:rPr>
              <w:t>8-Mar-17</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6"/>
            <w:shd w:val="clear" w:color="auto" w:fill="CCEEFF"/>
          </w:tcPr>
          <w:p>
            <w:pPr>
              <w:spacing w:after="0" w:line="189" w:lineRule="exact"/>
              <w:rPr>
                <w:rFonts w:ascii="Arial" w:cs="Arial" w:eastAsia="Arial" w:hAnsi="Arial"/>
                <w:sz w:val="18"/>
                <w:szCs w:val="18"/>
                <w:color w:val="auto"/>
              </w:rPr>
            </w:pPr>
            <w:hyperlink r:id="rId150">
              <w:r>
                <w:rPr>
                  <w:rFonts w:ascii="Arial" w:cs="Arial" w:eastAsia="Arial" w:hAnsi="Arial"/>
                  <w:sz w:val="18"/>
                  <w:szCs w:val="18"/>
                  <w:color w:val="auto"/>
                </w:rPr>
                <w:t>Indenture dated May 15, 2020 by and</w:t>
              </w:r>
            </w:hyperlink>
          </w:p>
        </w:tc>
        <w:tc>
          <w:tcPr>
            <w:tcW w:w="130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5"/>
              </w:rPr>
              <w:t>15-May-20</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gridSpan w:val="12"/>
            <w:shd w:val="clear" w:color="auto" w:fill="CCEEFF"/>
          </w:tcPr>
          <w:p>
            <w:pPr>
              <w:spacing w:after="0" w:line="169" w:lineRule="exact"/>
              <w:rPr>
                <w:rFonts w:ascii="Arial" w:cs="Arial" w:eastAsia="Arial" w:hAnsi="Arial"/>
                <w:sz w:val="18"/>
                <w:szCs w:val="18"/>
                <w:color w:val="auto"/>
                <w:w w:val="89"/>
              </w:rPr>
            </w:pPr>
            <w:hyperlink r:id="rId150">
              <w:r>
                <w:rPr>
                  <w:rFonts w:ascii="Arial" w:cs="Arial" w:eastAsia="Arial" w:hAnsi="Arial"/>
                  <w:sz w:val="18"/>
                  <w:szCs w:val="18"/>
                  <w:color w:val="auto"/>
                  <w:w w:val="89"/>
                </w:rPr>
                <w:t>between Tandem Diabetes Care, Inc.</w:t>
              </w:r>
            </w:hyperlink>
          </w:p>
        </w:tc>
        <w:tc>
          <w:tcPr>
            <w:tcW w:w="680" w:type="dxa"/>
            <w:vAlign w:val="bottom"/>
            <w:tcBorders>
              <w:top w:val="single" w:sz="8" w:color="CCEEFF"/>
            </w:tcBorders>
            <w:gridSpan w:val="14"/>
            <w:shd w:val="clear" w:color="auto" w:fill="CCEEFF"/>
          </w:tcPr>
          <w:p>
            <w:pPr>
              <w:spacing w:after="0" w:line="169" w:lineRule="exact"/>
              <w:rPr>
                <w:rFonts w:ascii="Arial" w:cs="Arial" w:eastAsia="Arial" w:hAnsi="Arial"/>
                <w:sz w:val="18"/>
                <w:szCs w:val="18"/>
                <w:color w:val="auto"/>
              </w:rPr>
            </w:pPr>
            <w:hyperlink r:id="rId150">
              <w:r>
                <w:rPr>
                  <w:rFonts w:ascii="Arial" w:cs="Arial" w:eastAsia="Arial" w:hAnsi="Arial"/>
                  <w:sz w:val="18"/>
                  <w:szCs w:val="18"/>
                  <w:color w:val="auto"/>
                </w:rPr>
                <w:t>and</w:t>
              </w:r>
            </w:hyperlink>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r>
      <w:tr>
        <w:trPr>
          <w:trHeight w:val="155"/>
        </w:trPr>
        <w:tc>
          <w:tcPr>
            <w:tcW w:w="1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17"/>
            <w:shd w:val="clear" w:color="auto" w:fill="CCEEFF"/>
          </w:tcPr>
          <w:p>
            <w:pPr>
              <w:spacing w:after="0" w:line="156" w:lineRule="exact"/>
              <w:rPr>
                <w:rFonts w:ascii="Arial" w:cs="Arial" w:eastAsia="Arial" w:hAnsi="Arial"/>
                <w:sz w:val="18"/>
                <w:szCs w:val="18"/>
                <w:color w:val="auto"/>
              </w:rPr>
            </w:pPr>
            <w:hyperlink r:id="rId150">
              <w:r>
                <w:rPr>
                  <w:rFonts w:ascii="Arial" w:cs="Arial" w:eastAsia="Arial" w:hAnsi="Arial"/>
                  <w:sz w:val="18"/>
                  <w:szCs w:val="18"/>
                  <w:color w:val="auto"/>
                </w:rPr>
                <w:t>U.S. Bank National Association.</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4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6"/>
          </w:tcPr>
          <w:p>
            <w:pPr>
              <w:spacing w:after="0" w:line="189" w:lineRule="exact"/>
              <w:rPr>
                <w:rFonts w:ascii="Arial" w:cs="Arial" w:eastAsia="Arial" w:hAnsi="Arial"/>
                <w:sz w:val="18"/>
                <w:szCs w:val="18"/>
                <w:color w:val="auto"/>
                <w:w w:val="97"/>
              </w:rPr>
            </w:pPr>
            <w:hyperlink r:id="rId150">
              <w:r>
                <w:rPr>
                  <w:rFonts w:ascii="Arial" w:cs="Arial" w:eastAsia="Arial" w:hAnsi="Arial"/>
                  <w:sz w:val="18"/>
                  <w:szCs w:val="18"/>
                  <w:color w:val="auto"/>
                  <w:w w:val="97"/>
                </w:rPr>
                <w:t>Form of Global Note, representing Tandem</w:t>
              </w:r>
            </w:hyperlink>
          </w:p>
        </w:tc>
        <w:tc>
          <w:tcPr>
            <w:tcW w:w="13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15-May-20</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top w:val="single" w:sz="8" w:color="auto"/>
              <w:bottom w:val="single" w:sz="8" w:color="auto"/>
            </w:tcBorders>
            <w:gridSpan w:val="16"/>
          </w:tcPr>
          <w:p>
            <w:pPr>
              <w:spacing w:after="0" w:line="169" w:lineRule="exact"/>
              <w:rPr>
                <w:rFonts w:ascii="Arial" w:cs="Arial" w:eastAsia="Arial" w:hAnsi="Arial"/>
                <w:sz w:val="18"/>
                <w:szCs w:val="18"/>
                <w:color w:val="auto"/>
                <w:w w:val="90"/>
              </w:rPr>
            </w:pPr>
            <w:hyperlink r:id="rId150">
              <w:r>
                <w:rPr>
                  <w:rFonts w:ascii="Arial" w:cs="Arial" w:eastAsia="Arial" w:hAnsi="Arial"/>
                  <w:sz w:val="18"/>
                  <w:szCs w:val="18"/>
                  <w:color w:val="auto"/>
                  <w:w w:val="90"/>
                </w:rPr>
                <w:t>Diabetes Care, Inc.’s 1.50% Convertible</w:t>
              </w:r>
            </w:hyperlink>
          </w:p>
        </w:tc>
        <w:tc>
          <w:tcPr>
            <w:tcW w:w="220" w:type="dxa"/>
            <w:vAlign w:val="bottom"/>
            <w:tcBorders>
              <w:top w:val="single" w:sz="8" w:color="auto"/>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gridSpan w:val="26"/>
          </w:tcPr>
          <w:p>
            <w:pPr>
              <w:spacing w:after="0" w:line="156" w:lineRule="exact"/>
              <w:rPr>
                <w:rFonts w:ascii="Arial" w:cs="Arial" w:eastAsia="Arial" w:hAnsi="Arial"/>
                <w:sz w:val="18"/>
                <w:szCs w:val="18"/>
                <w:color w:val="auto"/>
                <w:w w:val="97"/>
              </w:rPr>
            </w:pPr>
            <w:hyperlink r:id="rId150">
              <w:r>
                <w:rPr>
                  <w:rFonts w:ascii="Arial" w:cs="Arial" w:eastAsia="Arial" w:hAnsi="Arial"/>
                  <w:sz w:val="18"/>
                  <w:szCs w:val="18"/>
                  <w:color w:val="auto"/>
                  <w:w w:val="97"/>
                </w:rPr>
                <w:t>Senior Notes due 2025 (included as Exhibit</w:t>
              </w:r>
            </w:hyperlink>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150">
              <w:r>
                <w:rPr>
                  <w:rFonts w:ascii="Arial" w:cs="Arial" w:eastAsia="Arial" w:hAnsi="Arial"/>
                  <w:sz w:val="18"/>
                  <w:szCs w:val="18"/>
                  <w:color w:val="auto"/>
                </w:rPr>
                <w:t>A to the Indenture filed as Exhibit 4.1).</w:t>
              </w:r>
            </w:hyperlink>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6"/>
            <w:shd w:val="clear" w:color="auto" w:fill="CCEEFF"/>
          </w:tcPr>
          <w:p>
            <w:pPr>
              <w:spacing w:after="0" w:line="189" w:lineRule="exact"/>
              <w:rPr>
                <w:rFonts w:ascii="Arial" w:cs="Arial" w:eastAsia="Arial" w:hAnsi="Arial"/>
                <w:sz w:val="18"/>
                <w:szCs w:val="18"/>
                <w:color w:val="auto"/>
              </w:rPr>
            </w:pPr>
            <w:hyperlink r:id="rId151">
              <w:r>
                <w:rPr>
                  <w:rFonts w:ascii="Arial" w:cs="Arial" w:eastAsia="Arial" w:hAnsi="Arial"/>
                  <w:sz w:val="18"/>
                  <w:szCs w:val="18"/>
                  <w:color w:val="auto"/>
                </w:rPr>
                <w:t>Tandem Diabetes Care, Inc. 2006 Stock</w:t>
              </w:r>
            </w:hyperlink>
          </w:p>
        </w:tc>
        <w:tc>
          <w:tcPr>
            <w:tcW w:w="13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gridSpan w:val="3"/>
            <w:shd w:val="clear" w:color="auto" w:fill="CCEEFF"/>
          </w:tcPr>
          <w:p>
            <w:pPr>
              <w:spacing w:after="0" w:line="169" w:lineRule="exact"/>
              <w:rPr>
                <w:rFonts w:ascii="Arial" w:cs="Arial" w:eastAsia="Arial" w:hAnsi="Arial"/>
                <w:sz w:val="18"/>
                <w:szCs w:val="18"/>
                <w:color w:val="auto"/>
                <w:w w:val="89"/>
              </w:rPr>
            </w:pPr>
            <w:hyperlink r:id="rId151">
              <w:r>
                <w:rPr>
                  <w:rFonts w:ascii="Arial" w:cs="Arial" w:eastAsia="Arial" w:hAnsi="Arial"/>
                  <w:sz w:val="18"/>
                  <w:szCs w:val="18"/>
                  <w:color w:val="auto"/>
                  <w:w w:val="89"/>
                </w:rPr>
                <w:t>Incentive Plan.</w:t>
              </w:r>
            </w:hyperlink>
          </w:p>
        </w:tc>
        <w:tc>
          <w:tcPr>
            <w:tcW w:w="1780" w:type="dxa"/>
            <w:vAlign w:val="bottom"/>
            <w:tcBorders>
              <w:top w:val="single" w:sz="8" w:color="auto"/>
              <w:bottom w:val="single" w:sz="8" w:color="CCEEFF"/>
            </w:tcBorders>
            <w:gridSpan w:val="11"/>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4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26"/>
          </w:tcPr>
          <w:p>
            <w:pPr>
              <w:spacing w:after="0" w:line="189" w:lineRule="exact"/>
              <w:rPr>
                <w:rFonts w:ascii="Arial" w:cs="Arial" w:eastAsia="Arial" w:hAnsi="Arial"/>
                <w:sz w:val="18"/>
                <w:szCs w:val="18"/>
                <w:color w:val="auto"/>
                <w:w w:val="97"/>
              </w:rPr>
            </w:pPr>
            <w:hyperlink r:id="rId152">
              <w:r>
                <w:rPr>
                  <w:rFonts w:ascii="Arial" w:cs="Arial" w:eastAsia="Arial" w:hAnsi="Arial"/>
                  <w:sz w:val="18"/>
                  <w:szCs w:val="18"/>
                  <w:color w:val="auto"/>
                  <w:w w:val="97"/>
                </w:rPr>
                <w:t>Form of Stock Option Agreement under the</w:t>
              </w:r>
            </w:hyperlink>
          </w:p>
        </w:tc>
        <w:tc>
          <w:tcPr>
            <w:tcW w:w="13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tcPr>
          <w:p>
            <w:pPr>
              <w:jc w:val="center"/>
              <w:spacing w:after="0" w:line="189"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auto"/>
            </w:tcBorders>
            <w:gridSpan w:val="23"/>
          </w:tcPr>
          <w:p>
            <w:pPr>
              <w:spacing w:after="0" w:line="169" w:lineRule="exact"/>
              <w:rPr>
                <w:rFonts w:ascii="Arial" w:cs="Arial" w:eastAsia="Arial" w:hAnsi="Arial"/>
                <w:sz w:val="18"/>
                <w:szCs w:val="18"/>
                <w:color w:val="auto"/>
              </w:rPr>
            </w:pPr>
            <w:hyperlink r:id="rId152">
              <w:r>
                <w:rPr>
                  <w:rFonts w:ascii="Arial" w:cs="Arial" w:eastAsia="Arial" w:hAnsi="Arial"/>
                  <w:sz w:val="18"/>
                  <w:szCs w:val="18"/>
                  <w:color w:val="auto"/>
                </w:rPr>
                <w:t>2006 Stock Incentive Plan.</w:t>
              </w:r>
            </w:hyperlink>
          </w:p>
        </w:tc>
        <w:tc>
          <w:tcPr>
            <w:tcW w:w="220" w:type="dxa"/>
            <w:vAlign w:val="bottom"/>
            <w:gridSpan w:val="3"/>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9"/>
        </w:trPr>
        <w:tc>
          <w:tcPr>
            <w:tcW w:w="1240" w:type="dxa"/>
            <w:vAlign w:val="bottom"/>
            <w:shd w:val="clear" w:color="auto" w:fill="CCEEFF"/>
          </w:tcPr>
          <w:p>
            <w:pPr>
              <w:jc w:val="right"/>
              <w:ind w:right="310"/>
              <w:spacing w:after="0" w:line="189"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380" w:type="dxa"/>
            <w:vAlign w:val="bottom"/>
            <w:gridSpan w:val="26"/>
            <w:shd w:val="clear" w:color="auto" w:fill="CCEEFF"/>
          </w:tcPr>
          <w:p>
            <w:pPr>
              <w:spacing w:after="0" w:line="189" w:lineRule="exact"/>
              <w:rPr>
                <w:rFonts w:ascii="Arial" w:cs="Arial" w:eastAsia="Arial" w:hAnsi="Arial"/>
                <w:sz w:val="18"/>
                <w:szCs w:val="18"/>
                <w:color w:val="auto"/>
              </w:rPr>
            </w:pPr>
            <w:hyperlink r:id="rId153">
              <w:r>
                <w:rPr>
                  <w:rFonts w:ascii="Arial" w:cs="Arial" w:eastAsia="Arial" w:hAnsi="Arial"/>
                  <w:sz w:val="18"/>
                  <w:szCs w:val="18"/>
                  <w:color w:val="auto"/>
                </w:rPr>
                <w:t>Form of Restricted Stock Purchase</w:t>
              </w:r>
            </w:hyperlink>
          </w:p>
        </w:tc>
        <w:tc>
          <w:tcPr>
            <w:tcW w:w="130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2"/>
              </w:rPr>
              <w:t>S-1</w:t>
            </w:r>
          </w:p>
        </w:tc>
        <w:tc>
          <w:tcPr>
            <w:tcW w:w="11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4"/>
              </w:rPr>
              <w:t>7-Oct-13</w:t>
            </w:r>
          </w:p>
        </w:tc>
        <w:tc>
          <w:tcPr>
            <w:tcW w:w="12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9"/>
        </w:trPr>
        <w:tc>
          <w:tcPr>
            <w:tcW w:w="1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gridSpan w:val="8"/>
            <w:shd w:val="clear" w:color="auto" w:fill="CCEEFF"/>
          </w:tcPr>
          <w:p>
            <w:pPr>
              <w:spacing w:after="0" w:line="169" w:lineRule="exact"/>
              <w:rPr>
                <w:rFonts w:ascii="Arial" w:cs="Arial" w:eastAsia="Arial" w:hAnsi="Arial"/>
                <w:sz w:val="18"/>
                <w:szCs w:val="18"/>
                <w:color w:val="auto"/>
                <w:w w:val="93"/>
              </w:rPr>
            </w:pPr>
            <w:hyperlink r:id="rId153">
              <w:r>
                <w:rPr>
                  <w:rFonts w:ascii="Arial" w:cs="Arial" w:eastAsia="Arial" w:hAnsi="Arial"/>
                  <w:sz w:val="18"/>
                  <w:szCs w:val="18"/>
                  <w:color w:val="auto"/>
                  <w:w w:val="93"/>
                </w:rPr>
                <w:t>Agreement under the 2006 Stock</w:t>
              </w:r>
            </w:hyperlink>
          </w:p>
        </w:tc>
        <w:tc>
          <w:tcPr>
            <w:tcW w:w="880" w:type="dxa"/>
            <w:vAlign w:val="bottom"/>
            <w:tcBorders>
              <w:top w:val="single" w:sz="8" w:color="CCEEFF"/>
            </w:tcBorders>
            <w:gridSpan w:val="18"/>
            <w:shd w:val="clear" w:color="auto" w:fill="CCEEFF"/>
          </w:tcPr>
          <w:p>
            <w:pPr>
              <w:jc w:val="right"/>
              <w:ind w:right="300"/>
              <w:spacing w:after="0" w:line="169" w:lineRule="exact"/>
              <w:rPr>
                <w:rFonts w:ascii="Arial" w:cs="Arial" w:eastAsia="Arial" w:hAnsi="Arial"/>
                <w:sz w:val="18"/>
                <w:szCs w:val="18"/>
                <w:color w:val="auto"/>
                <w:w w:val="77"/>
              </w:rPr>
            </w:pPr>
            <w:hyperlink r:id="rId153">
              <w:r>
                <w:rPr>
                  <w:rFonts w:ascii="Arial" w:cs="Arial" w:eastAsia="Arial" w:hAnsi="Arial"/>
                  <w:sz w:val="18"/>
                  <w:szCs w:val="18"/>
                  <w:color w:val="auto"/>
                  <w:w w:val="77"/>
                </w:rPr>
                <w:t>Incentive</w:t>
              </w:r>
            </w:hyperlink>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gridSpan w:val="19"/>
            <w:shd w:val="clear" w:color="auto" w:fill="CCEEFF"/>
          </w:tcPr>
          <w:p>
            <w:pPr>
              <w:spacing w:after="0" w:line="156" w:lineRule="exact"/>
              <w:rPr>
                <w:rFonts w:ascii="Arial" w:cs="Arial" w:eastAsia="Arial" w:hAnsi="Arial"/>
                <w:sz w:val="18"/>
                <w:szCs w:val="18"/>
                <w:color w:val="auto"/>
              </w:rPr>
            </w:pPr>
            <w:hyperlink r:id="rId153">
              <w:r>
                <w:rPr>
                  <w:rFonts w:ascii="Arial" w:cs="Arial" w:eastAsia="Arial" w:hAnsi="Arial"/>
                  <w:sz w:val="18"/>
                  <w:szCs w:val="18"/>
                  <w:color w:val="auto"/>
                </w:rPr>
                <w:t>Plan.</w:t>
              </w:r>
            </w:hyperlink>
          </w:p>
        </w:tc>
        <w:tc>
          <w:tcPr>
            <w:tcW w:w="300" w:type="dxa"/>
            <w:vAlign w:val="bottom"/>
            <w:tcBorders>
              <w:top w:val="single" w:sz="8" w:color="CCEEFF"/>
            </w:tcBorders>
            <w:gridSpan w:val="7"/>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r>
      <w:tr>
        <w:trPr>
          <w:trHeight w:val="864"/>
        </w:trPr>
        <w:tc>
          <w:tcPr>
            <w:tcW w:w="1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380" w:type="dxa"/>
            <w:vAlign w:val="bottom"/>
          </w:tcPr>
          <w:p>
            <w:pPr>
              <w:jc w:val="center"/>
              <w:ind w:right="30"/>
              <w:spacing w:after="0"/>
              <w:rPr>
                <w:sz w:val="20"/>
                <w:szCs w:val="20"/>
                <w:color w:val="auto"/>
              </w:rPr>
            </w:pPr>
            <w:r>
              <w:rPr>
                <w:rFonts w:ascii="Arial" w:cs="Arial" w:eastAsia="Arial" w:hAnsi="Arial"/>
                <w:sz w:val="18"/>
                <w:szCs w:val="18"/>
                <w:color w:val="auto"/>
                <w:w w:val="99"/>
              </w:rPr>
              <w:t>10.4*</w:t>
            </w:r>
          </w:p>
        </w:tc>
        <w:tc>
          <w:tcPr>
            <w:tcW w:w="3440" w:type="dxa"/>
            <w:vAlign w:val="bottom"/>
            <w:gridSpan w:val="30"/>
          </w:tcPr>
          <w:p>
            <w:pPr>
              <w:spacing w:after="0"/>
              <w:rPr>
                <w:rFonts w:ascii="Arial" w:cs="Arial" w:eastAsia="Arial" w:hAnsi="Arial"/>
                <w:sz w:val="18"/>
                <w:szCs w:val="18"/>
                <w:color w:val="auto"/>
                <w:w w:val="99"/>
              </w:rPr>
            </w:pPr>
            <w:hyperlink r:id="rId156">
              <w:r>
                <w:rPr>
                  <w:rFonts w:ascii="Arial" w:cs="Arial" w:eastAsia="Arial" w:hAnsi="Arial"/>
                  <w:sz w:val="18"/>
                  <w:szCs w:val="18"/>
                  <w:color w:val="auto"/>
                  <w:w w:val="99"/>
                </w:rPr>
                <w:t>Tandem Diabetes Care, Inc. Amended and</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DEF 14A</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26-Apr-18</w:t>
            </w:r>
          </w:p>
        </w:tc>
        <w:tc>
          <w:tcPr>
            <w:tcW w:w="2560" w:type="dxa"/>
            <w:vAlign w:val="bottom"/>
          </w:tcPr>
          <w:p>
            <w:pPr>
              <w:ind w:left="220"/>
              <w:spacing w:after="0"/>
              <w:rPr>
                <w:sz w:val="20"/>
                <w:szCs w:val="20"/>
                <w:color w:val="auto"/>
              </w:rPr>
            </w:pPr>
            <w:r>
              <w:rPr>
                <w:rFonts w:ascii="Arial" w:cs="Arial" w:eastAsia="Arial" w:hAnsi="Arial"/>
                <w:sz w:val="18"/>
                <w:szCs w:val="18"/>
                <w:color w:val="auto"/>
              </w:rPr>
              <w:t>Appendix B</w:t>
            </w:r>
          </w:p>
        </w:tc>
      </w:tr>
      <w:tr>
        <w:trPr>
          <w:trHeight w:val="156"/>
        </w:trPr>
        <w:tc>
          <w:tcPr>
            <w:tcW w:w="1380" w:type="dxa"/>
            <w:vAlign w:val="bottom"/>
          </w:tcPr>
          <w:p>
            <w:pPr>
              <w:spacing w:after="0"/>
              <w:rPr>
                <w:sz w:val="13"/>
                <w:szCs w:val="13"/>
                <w:color w:val="auto"/>
              </w:rPr>
            </w:pPr>
          </w:p>
        </w:tc>
        <w:tc>
          <w:tcPr>
            <w:tcW w:w="308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156">
              <w:r>
                <w:rPr>
                  <w:rFonts w:ascii="Arial" w:cs="Arial" w:eastAsia="Arial" w:hAnsi="Arial"/>
                  <w:sz w:val="18"/>
                  <w:szCs w:val="18"/>
                  <w:color w:val="auto"/>
                </w:rPr>
                <w:t>Restated 2013 Stock Incentive Plan.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10.5*</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57">
              <w:r>
                <w:rPr>
                  <w:rFonts w:ascii="Arial" w:cs="Arial" w:eastAsia="Arial" w:hAnsi="Arial"/>
                  <w:sz w:val="18"/>
                  <w:szCs w:val="18"/>
                  <w:color w:val="auto"/>
                  <w:w w:val="99"/>
                </w:rPr>
                <w:t>Tandem Diabetes Care, Inc. Amended and</w:t>
              </w:r>
            </w:hyperlink>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10-Q</w:t>
            </w:r>
          </w:p>
        </w:tc>
        <w:tc>
          <w:tcPr>
            <w:tcW w:w="136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30-Jul-2020</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10.2</w:t>
            </w:r>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2600" w:type="dxa"/>
            <w:vAlign w:val="bottom"/>
            <w:tcBorders>
              <w:top w:val="single" w:sz="8" w:color="auto"/>
              <w:bottom w:val="single" w:sz="8" w:color="auto"/>
            </w:tcBorders>
            <w:gridSpan w:val="10"/>
            <w:shd w:val="clear" w:color="auto" w:fill="CCEEFF"/>
          </w:tcPr>
          <w:p>
            <w:pPr>
              <w:spacing w:after="0" w:line="156" w:lineRule="exact"/>
              <w:rPr>
                <w:rFonts w:ascii="Arial" w:cs="Arial" w:eastAsia="Arial" w:hAnsi="Arial"/>
                <w:sz w:val="18"/>
                <w:szCs w:val="18"/>
                <w:color w:val="auto"/>
                <w:w w:val="88"/>
              </w:rPr>
            </w:pPr>
            <w:hyperlink r:id="rId157">
              <w:r>
                <w:rPr>
                  <w:rFonts w:ascii="Arial" w:cs="Arial" w:eastAsia="Arial" w:hAnsi="Arial"/>
                  <w:sz w:val="18"/>
                  <w:szCs w:val="18"/>
                  <w:color w:val="auto"/>
                  <w:w w:val="88"/>
                </w:rPr>
                <w:t>Restated 2013 Stock Incentive Plan.</w:t>
              </w:r>
            </w:hyperlink>
          </w:p>
        </w:tc>
        <w:tc>
          <w:tcPr>
            <w:tcW w:w="480" w:type="dxa"/>
            <w:vAlign w:val="bottom"/>
            <w:tcBorders>
              <w:top w:val="single" w:sz="8" w:color="auto"/>
              <w:bottom w:val="single" w:sz="8" w:color="CCEEFF"/>
            </w:tcBorders>
            <w:gridSpan w:val="1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10.6*</w:t>
            </w:r>
          </w:p>
        </w:tc>
        <w:tc>
          <w:tcPr>
            <w:tcW w:w="3020" w:type="dxa"/>
            <w:vAlign w:val="bottom"/>
            <w:tcBorders>
              <w:bottom w:val="single" w:sz="8" w:color="auto"/>
            </w:tcBorders>
            <w:gridSpan w:val="19"/>
          </w:tcPr>
          <w:p>
            <w:pPr>
              <w:spacing w:after="0" w:line="189" w:lineRule="exact"/>
              <w:rPr>
                <w:rFonts w:ascii="Arial" w:cs="Arial" w:eastAsia="Arial" w:hAnsi="Arial"/>
                <w:sz w:val="18"/>
                <w:szCs w:val="18"/>
                <w:color w:val="auto"/>
                <w:w w:val="91"/>
              </w:rPr>
            </w:pPr>
            <w:hyperlink r:id="rId158">
              <w:r>
                <w:rPr>
                  <w:rFonts w:ascii="Arial" w:cs="Arial" w:eastAsia="Arial" w:hAnsi="Arial"/>
                  <w:sz w:val="18"/>
                  <w:szCs w:val="18"/>
                  <w:color w:val="auto"/>
                  <w:w w:val="91"/>
                </w:rPr>
                <w:t>Form of Restricted Stock Unit Agreement</w:t>
              </w:r>
            </w:hyperlink>
          </w:p>
        </w:tc>
        <w:tc>
          <w:tcPr>
            <w:tcW w:w="420" w:type="dxa"/>
            <w:vAlign w:val="bottom"/>
            <w:gridSpan w:val="11"/>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30-Jul-2020</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10.1</w:t>
            </w:r>
          </w:p>
        </w:tc>
      </w:tr>
      <w:tr>
        <w:trPr>
          <w:trHeight w:val="156"/>
        </w:trPr>
        <w:tc>
          <w:tcPr>
            <w:tcW w:w="1380" w:type="dxa"/>
            <w:vAlign w:val="bottom"/>
          </w:tcPr>
          <w:p>
            <w:pPr>
              <w:spacing w:after="0"/>
              <w:rPr>
                <w:sz w:val="13"/>
                <w:szCs w:val="13"/>
                <w:color w:val="auto"/>
              </w:rPr>
            </w:pPr>
          </w:p>
        </w:tc>
        <w:tc>
          <w:tcPr>
            <w:tcW w:w="3440" w:type="dxa"/>
            <w:vAlign w:val="bottom"/>
            <w:gridSpan w:val="30"/>
          </w:tcPr>
          <w:p>
            <w:pPr>
              <w:spacing w:after="0" w:line="156" w:lineRule="exact"/>
              <w:rPr>
                <w:rFonts w:ascii="Arial" w:cs="Arial" w:eastAsia="Arial" w:hAnsi="Arial"/>
                <w:sz w:val="18"/>
                <w:szCs w:val="18"/>
                <w:color w:val="auto"/>
                <w:w w:val="93"/>
              </w:rPr>
            </w:pPr>
            <w:hyperlink r:id="rId158">
              <w:r>
                <w:rPr>
                  <w:rFonts w:ascii="Arial" w:cs="Arial" w:eastAsia="Arial" w:hAnsi="Arial"/>
                  <w:sz w:val="18"/>
                  <w:szCs w:val="18"/>
                  <w:color w:val="auto"/>
                  <w:w w:val="93"/>
                </w:rPr>
                <w:t>under the Amended and Restated 2013 Stock</w:t>
              </w:r>
            </w:hyperlink>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60" w:type="dxa"/>
            <w:vAlign w:val="bottom"/>
            <w:tcBorders>
              <w:top w:val="single" w:sz="8" w:color="auto"/>
            </w:tcBorders>
            <w:gridSpan w:val="29"/>
          </w:tcPr>
          <w:p>
            <w:pPr>
              <w:spacing w:after="0" w:line="156" w:lineRule="exact"/>
              <w:rPr>
                <w:rFonts w:ascii="Arial" w:cs="Arial" w:eastAsia="Arial" w:hAnsi="Arial"/>
                <w:sz w:val="18"/>
                <w:szCs w:val="18"/>
                <w:color w:val="auto"/>
              </w:rPr>
            </w:pPr>
            <w:hyperlink r:id="rId158">
              <w:r>
                <w:rPr>
                  <w:rFonts w:ascii="Arial" w:cs="Arial" w:eastAsia="Arial" w:hAnsi="Arial"/>
                  <w:sz w:val="18"/>
                  <w:szCs w:val="18"/>
                  <w:color w:val="auto"/>
                </w:rPr>
                <w:t>Incentive Plan.</w:t>
              </w:r>
            </w:hyperlink>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10.7*</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59">
              <w:r>
                <w:rPr>
                  <w:rFonts w:ascii="Arial" w:cs="Arial" w:eastAsia="Arial" w:hAnsi="Arial"/>
                  <w:sz w:val="18"/>
                  <w:szCs w:val="18"/>
                  <w:color w:val="auto"/>
                  <w:w w:val="99"/>
                </w:rPr>
                <w:t>Form of Stock Option Agreement under the</w:t>
              </w:r>
            </w:hyperlink>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1-Nov-13</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10.7</w:t>
            </w:r>
          </w:p>
        </w:tc>
      </w:tr>
      <w:tr>
        <w:trPr>
          <w:trHeight w:val="155"/>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140" w:type="dxa"/>
            <w:vAlign w:val="bottom"/>
            <w:tcBorders>
              <w:top w:val="single" w:sz="8" w:color="auto"/>
              <w:bottom w:val="single" w:sz="8" w:color="auto"/>
            </w:tcBorders>
            <w:gridSpan w:val="24"/>
            <w:shd w:val="clear" w:color="auto" w:fill="CCEEFF"/>
          </w:tcPr>
          <w:p>
            <w:pPr>
              <w:spacing w:after="0" w:line="156" w:lineRule="exact"/>
              <w:rPr>
                <w:rFonts w:ascii="Arial" w:cs="Arial" w:eastAsia="Arial" w:hAnsi="Arial"/>
                <w:sz w:val="18"/>
                <w:szCs w:val="18"/>
                <w:color w:val="auto"/>
                <w:w w:val="86"/>
              </w:rPr>
            </w:pPr>
            <w:hyperlink r:id="rId159">
              <w:r>
                <w:rPr>
                  <w:rFonts w:ascii="Arial" w:cs="Arial" w:eastAsia="Arial" w:hAnsi="Arial"/>
                  <w:sz w:val="18"/>
                  <w:szCs w:val="18"/>
                  <w:color w:val="auto"/>
                  <w:w w:val="86"/>
                </w:rPr>
                <w:t>Amended and Restated 2013 Stock Incentive</w:t>
              </w:r>
            </w:hyperlink>
          </w:p>
        </w:tc>
        <w:tc>
          <w:tcPr>
            <w:tcW w:w="4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25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13"/>
                <w:szCs w:val="13"/>
                <w:color w:val="auto"/>
              </w:rPr>
            </w:pPr>
          </w:p>
        </w:tc>
        <w:tc>
          <w:tcPr>
            <w:tcW w:w="3240" w:type="dxa"/>
            <w:vAlign w:val="bottom"/>
            <w:gridSpan w:val="28"/>
            <w:shd w:val="clear" w:color="auto" w:fill="CCEEFF"/>
          </w:tcPr>
          <w:p>
            <w:pPr>
              <w:spacing w:after="0" w:line="156" w:lineRule="exact"/>
              <w:rPr>
                <w:rFonts w:ascii="Arial" w:cs="Arial" w:eastAsia="Arial" w:hAnsi="Arial"/>
                <w:sz w:val="18"/>
                <w:szCs w:val="18"/>
                <w:color w:val="auto"/>
              </w:rPr>
            </w:pPr>
            <w:hyperlink r:id="rId159">
              <w:r>
                <w:rPr>
                  <w:rFonts w:ascii="Arial" w:cs="Arial" w:eastAsia="Arial" w:hAnsi="Arial"/>
                  <w:sz w:val="18"/>
                  <w:szCs w:val="18"/>
                  <w:color w:val="auto"/>
                </w:rPr>
                <w:t>Plan.</w:t>
              </w:r>
            </w:hyperlink>
          </w:p>
        </w:tc>
        <w:tc>
          <w:tcPr>
            <w:tcW w:w="200" w:type="dxa"/>
            <w:vAlign w:val="bottom"/>
            <w:gridSpan w:val="2"/>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10.8*</w:t>
            </w:r>
          </w:p>
        </w:tc>
        <w:tc>
          <w:tcPr>
            <w:tcW w:w="3440" w:type="dxa"/>
            <w:vAlign w:val="bottom"/>
            <w:gridSpan w:val="30"/>
          </w:tcPr>
          <w:p>
            <w:pPr>
              <w:spacing w:after="0" w:line="189" w:lineRule="exact"/>
              <w:rPr>
                <w:rFonts w:ascii="Arial" w:cs="Arial" w:eastAsia="Arial" w:hAnsi="Arial"/>
                <w:sz w:val="18"/>
                <w:szCs w:val="18"/>
                <w:color w:val="auto"/>
                <w:w w:val="99"/>
              </w:rPr>
            </w:pPr>
            <w:hyperlink r:id="rId160">
              <w:r>
                <w:rPr>
                  <w:rFonts w:ascii="Arial" w:cs="Arial" w:eastAsia="Arial" w:hAnsi="Arial"/>
                  <w:sz w:val="18"/>
                  <w:szCs w:val="18"/>
                  <w:color w:val="auto"/>
                  <w:w w:val="99"/>
                </w:rPr>
                <w:t>Form of Stock Option Agreement under the</w:t>
              </w:r>
            </w:hyperlink>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1-Nov-13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10.8</w:t>
            </w:r>
          </w:p>
        </w:tc>
      </w:tr>
      <w:tr>
        <w:trPr>
          <w:trHeight w:val="156"/>
        </w:trPr>
        <w:tc>
          <w:tcPr>
            <w:tcW w:w="1380" w:type="dxa"/>
            <w:vAlign w:val="bottom"/>
          </w:tcPr>
          <w:p>
            <w:pPr>
              <w:spacing w:after="0"/>
              <w:rPr>
                <w:sz w:val="13"/>
                <w:szCs w:val="13"/>
                <w:color w:val="auto"/>
              </w:rPr>
            </w:pPr>
          </w:p>
        </w:tc>
        <w:tc>
          <w:tcPr>
            <w:tcW w:w="3140" w:type="dxa"/>
            <w:vAlign w:val="bottom"/>
            <w:tcBorders>
              <w:top w:val="single" w:sz="8" w:color="auto"/>
            </w:tcBorders>
            <w:gridSpan w:val="24"/>
          </w:tcPr>
          <w:p>
            <w:pPr>
              <w:spacing w:after="0" w:line="156" w:lineRule="exact"/>
              <w:rPr>
                <w:rFonts w:ascii="Arial" w:cs="Arial" w:eastAsia="Arial" w:hAnsi="Arial"/>
                <w:sz w:val="18"/>
                <w:szCs w:val="18"/>
                <w:color w:val="auto"/>
                <w:w w:val="86"/>
              </w:rPr>
            </w:pPr>
            <w:hyperlink r:id="rId160">
              <w:r>
                <w:rPr>
                  <w:rFonts w:ascii="Arial" w:cs="Arial" w:eastAsia="Arial" w:hAnsi="Arial"/>
                  <w:sz w:val="18"/>
                  <w:szCs w:val="18"/>
                  <w:color w:val="auto"/>
                  <w:w w:val="86"/>
                </w:rPr>
                <w:t>Amended and Restated 2013 Stock Incentive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240" w:type="dxa"/>
            <w:vAlign w:val="bottom"/>
            <w:tcBorders>
              <w:top w:val="single" w:sz="8" w:color="auto"/>
            </w:tcBorders>
            <w:gridSpan w:val="28"/>
          </w:tcPr>
          <w:p>
            <w:pPr>
              <w:spacing w:after="0" w:line="156" w:lineRule="exact"/>
              <w:rPr>
                <w:rFonts w:ascii="Arial" w:cs="Arial" w:eastAsia="Arial" w:hAnsi="Arial"/>
                <w:sz w:val="18"/>
                <w:szCs w:val="18"/>
                <w:color w:val="auto"/>
              </w:rPr>
            </w:pPr>
            <w:hyperlink r:id="rId160">
              <w:r>
                <w:rPr>
                  <w:rFonts w:ascii="Arial" w:cs="Arial" w:eastAsia="Arial" w:hAnsi="Arial"/>
                  <w:sz w:val="18"/>
                  <w:szCs w:val="18"/>
                  <w:color w:val="auto"/>
                </w:rPr>
                <w:t>Plan (Non-Employee Directors).</w:t>
              </w:r>
            </w:hyperlink>
          </w:p>
        </w:tc>
        <w:tc>
          <w:tcPr>
            <w:tcW w:w="2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10.9*</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9"/>
              </w:rPr>
            </w:pPr>
            <w:hyperlink r:id="rId161">
              <w:r>
                <w:rPr>
                  <w:rFonts w:ascii="Arial" w:cs="Arial" w:eastAsia="Arial" w:hAnsi="Arial"/>
                  <w:sz w:val="18"/>
                  <w:szCs w:val="18"/>
                  <w:color w:val="auto"/>
                  <w:w w:val="99"/>
                </w:rPr>
                <w:t>Tandem Diabetes Care, Inc. Amended and</w:t>
              </w:r>
            </w:hyperlink>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5"/>
              </w:rPr>
              <w:t>DEF 14A</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26-Apr-18</w:t>
            </w:r>
          </w:p>
        </w:tc>
        <w:tc>
          <w:tcPr>
            <w:tcW w:w="25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Appendix C</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080" w:type="dxa"/>
            <w:vAlign w:val="bottom"/>
            <w:tcBorders>
              <w:top w:val="single" w:sz="8" w:color="auto"/>
            </w:tcBorders>
            <w:gridSpan w:val="22"/>
            <w:shd w:val="clear" w:color="auto" w:fill="CCEEFF"/>
          </w:tcPr>
          <w:p>
            <w:pPr>
              <w:spacing w:after="0" w:line="156" w:lineRule="exact"/>
              <w:rPr>
                <w:rFonts w:ascii="Arial" w:cs="Arial" w:eastAsia="Arial" w:hAnsi="Arial"/>
                <w:sz w:val="18"/>
                <w:szCs w:val="18"/>
                <w:color w:val="auto"/>
                <w:w w:val="91"/>
              </w:rPr>
            </w:pPr>
            <w:hyperlink r:id="rId161">
              <w:r>
                <w:rPr>
                  <w:rFonts w:ascii="Arial" w:cs="Arial" w:eastAsia="Arial" w:hAnsi="Arial"/>
                  <w:sz w:val="18"/>
                  <w:szCs w:val="18"/>
                  <w:color w:val="auto"/>
                  <w:w w:val="91"/>
                </w:rPr>
                <w:t>Restated 2013 Employee Stock Purchase</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auto"/>
            </w:tcBorders>
            <w:gridSpan w:val="15"/>
            <w:shd w:val="clear" w:color="auto" w:fill="CCEEFF"/>
          </w:tcPr>
          <w:p>
            <w:pPr>
              <w:spacing w:after="0" w:line="156" w:lineRule="exact"/>
              <w:rPr>
                <w:rFonts w:ascii="Arial" w:cs="Arial" w:eastAsia="Arial" w:hAnsi="Arial"/>
                <w:sz w:val="18"/>
                <w:szCs w:val="18"/>
                <w:color w:val="auto"/>
              </w:rPr>
            </w:pPr>
            <w:hyperlink r:id="rId161">
              <w:r>
                <w:rPr>
                  <w:rFonts w:ascii="Arial" w:cs="Arial" w:eastAsia="Arial" w:hAnsi="Arial"/>
                  <w:sz w:val="18"/>
                  <w:szCs w:val="18"/>
                  <w:color w:val="auto"/>
                </w:rPr>
                <w:t>Plan.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10.10*</w:t>
            </w:r>
          </w:p>
        </w:tc>
        <w:tc>
          <w:tcPr>
            <w:tcW w:w="3440" w:type="dxa"/>
            <w:vAlign w:val="bottom"/>
            <w:gridSpan w:val="30"/>
          </w:tcPr>
          <w:p>
            <w:pPr>
              <w:spacing w:after="0" w:line="189" w:lineRule="exact"/>
              <w:rPr>
                <w:rFonts w:ascii="Arial" w:cs="Arial" w:eastAsia="Arial" w:hAnsi="Arial"/>
                <w:sz w:val="18"/>
                <w:szCs w:val="18"/>
                <w:color w:val="auto"/>
              </w:rPr>
            </w:pPr>
            <w:hyperlink r:id="rId162">
              <w:r>
                <w:rPr>
                  <w:rFonts w:ascii="Arial" w:cs="Arial" w:eastAsia="Arial" w:hAnsi="Arial"/>
                  <w:sz w:val="18"/>
                  <w:szCs w:val="18"/>
                  <w:color w:val="auto"/>
                </w:rPr>
                <w:t>Tandem Diabetes Care, Inc. 2022 Sr.</w:t>
              </w:r>
            </w:hyperlink>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4"/>
              </w:rPr>
              <w:t>10-Q</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3"/>
              </w:rPr>
              <w:t>4-May-2022</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10.1</w:t>
            </w:r>
          </w:p>
        </w:tc>
      </w:tr>
      <w:tr>
        <w:trPr>
          <w:trHeight w:val="155"/>
        </w:trPr>
        <w:tc>
          <w:tcPr>
            <w:tcW w:w="1380" w:type="dxa"/>
            <w:vAlign w:val="bottom"/>
          </w:tcPr>
          <w:p>
            <w:pPr>
              <w:spacing w:after="0"/>
              <w:rPr>
                <w:sz w:val="13"/>
                <w:szCs w:val="13"/>
                <w:color w:val="auto"/>
              </w:rPr>
            </w:pPr>
          </w:p>
        </w:tc>
        <w:tc>
          <w:tcPr>
            <w:tcW w:w="2660" w:type="dxa"/>
            <w:vAlign w:val="bottom"/>
            <w:tcBorders>
              <w:top w:val="single" w:sz="8" w:color="auto"/>
            </w:tcBorders>
            <w:gridSpan w:val="12"/>
          </w:tcPr>
          <w:p>
            <w:pPr>
              <w:spacing w:after="0" w:line="156" w:lineRule="exact"/>
              <w:rPr>
                <w:rFonts w:ascii="Arial" w:cs="Arial" w:eastAsia="Arial" w:hAnsi="Arial"/>
                <w:sz w:val="18"/>
                <w:szCs w:val="18"/>
                <w:color w:val="auto"/>
              </w:rPr>
            </w:pPr>
            <w:hyperlink r:id="rId162">
              <w:r>
                <w:rPr>
                  <w:rFonts w:ascii="Arial" w:cs="Arial" w:eastAsia="Arial" w:hAnsi="Arial"/>
                  <w:sz w:val="18"/>
                  <w:szCs w:val="18"/>
                  <w:color w:val="auto"/>
                </w:rPr>
                <w:t>Management Cash Bonus Plan.</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10.11*</w:t>
            </w:r>
          </w:p>
        </w:tc>
        <w:tc>
          <w:tcPr>
            <w:tcW w:w="3440" w:type="dxa"/>
            <w:vAlign w:val="bottom"/>
            <w:gridSpan w:val="30"/>
            <w:shd w:val="clear" w:color="auto" w:fill="CCEEFF"/>
          </w:tcPr>
          <w:p>
            <w:pPr>
              <w:spacing w:after="0" w:line="189" w:lineRule="exact"/>
              <w:rPr>
                <w:rFonts w:ascii="Arial" w:cs="Arial" w:eastAsia="Arial" w:hAnsi="Arial"/>
                <w:sz w:val="18"/>
                <w:szCs w:val="18"/>
                <w:color w:val="auto"/>
                <w:w w:val="96"/>
              </w:rPr>
            </w:pPr>
            <w:hyperlink r:id="rId163">
              <w:r>
                <w:rPr>
                  <w:rFonts w:ascii="Arial" w:cs="Arial" w:eastAsia="Arial" w:hAnsi="Arial"/>
                  <w:sz w:val="18"/>
                  <w:szCs w:val="18"/>
                  <w:color w:val="auto"/>
                  <w:w w:val="96"/>
                </w:rPr>
                <w:t>Employee Offer Letter, dated June 28, 2013,</w:t>
              </w:r>
            </w:hyperlink>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10.12</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auto"/>
            </w:tcBorders>
            <w:gridSpan w:val="26"/>
            <w:shd w:val="clear" w:color="auto" w:fill="CCEEFF"/>
          </w:tcPr>
          <w:p>
            <w:pPr>
              <w:spacing w:after="0" w:line="156" w:lineRule="exact"/>
              <w:rPr>
                <w:rFonts w:ascii="Arial" w:cs="Arial" w:eastAsia="Arial" w:hAnsi="Arial"/>
                <w:sz w:val="18"/>
                <w:szCs w:val="18"/>
                <w:color w:val="auto"/>
                <w:w w:val="89"/>
              </w:rPr>
            </w:pPr>
            <w:hyperlink r:id="rId163">
              <w:r>
                <w:rPr>
                  <w:rFonts w:ascii="Arial" w:cs="Arial" w:eastAsia="Arial" w:hAnsi="Arial"/>
                  <w:sz w:val="18"/>
                  <w:szCs w:val="18"/>
                  <w:color w:val="auto"/>
                  <w:w w:val="89"/>
                </w:rPr>
                <w:t>by and between Tandem Diabetes Care,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gridSpan w:val="4"/>
            <w:shd w:val="clear" w:color="auto" w:fill="CCEEFF"/>
          </w:tcPr>
          <w:p>
            <w:pPr>
              <w:spacing w:after="0" w:line="156" w:lineRule="exact"/>
              <w:rPr>
                <w:rFonts w:ascii="Arial" w:cs="Arial" w:eastAsia="Arial" w:hAnsi="Arial"/>
                <w:sz w:val="18"/>
                <w:szCs w:val="18"/>
                <w:color w:val="auto"/>
                <w:w w:val="89"/>
              </w:rPr>
            </w:pPr>
            <w:hyperlink r:id="rId163">
              <w:r>
                <w:rPr>
                  <w:rFonts w:ascii="Arial" w:cs="Arial" w:eastAsia="Arial" w:hAnsi="Arial"/>
                  <w:sz w:val="18"/>
                  <w:szCs w:val="18"/>
                  <w:color w:val="auto"/>
                  <w:w w:val="89"/>
                </w:rPr>
                <w:t>and David B. Berger.</w:t>
              </w:r>
            </w:hyperlink>
          </w:p>
        </w:tc>
        <w:tc>
          <w:tcPr>
            <w:tcW w:w="1660" w:type="dxa"/>
            <w:vAlign w:val="bottom"/>
            <w:tcBorders>
              <w:top w:val="single" w:sz="8" w:color="auto"/>
              <w:bottom w:val="single" w:sz="8" w:color="CCEEFF"/>
            </w:tcBorders>
            <w:gridSpan w:val="21"/>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10.12*</w:t>
            </w:r>
          </w:p>
        </w:tc>
        <w:tc>
          <w:tcPr>
            <w:tcW w:w="3440" w:type="dxa"/>
            <w:vAlign w:val="bottom"/>
            <w:gridSpan w:val="30"/>
          </w:tcPr>
          <w:p>
            <w:pPr>
              <w:spacing w:after="0" w:line="189" w:lineRule="exact"/>
              <w:rPr>
                <w:rFonts w:ascii="Arial" w:cs="Arial" w:eastAsia="Arial" w:hAnsi="Arial"/>
                <w:sz w:val="18"/>
                <w:szCs w:val="18"/>
                <w:color w:val="auto"/>
              </w:rPr>
            </w:pPr>
            <w:hyperlink r:id="rId164">
              <w:r>
                <w:rPr>
                  <w:rFonts w:ascii="Arial" w:cs="Arial" w:eastAsia="Arial" w:hAnsi="Arial"/>
                  <w:sz w:val="18"/>
                  <w:szCs w:val="18"/>
                  <w:color w:val="auto"/>
                </w:rPr>
                <w:t>Employee Offer Letter, dated January 29,</w:t>
              </w:r>
            </w:hyperlink>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10.13</w:t>
            </w:r>
          </w:p>
        </w:tc>
      </w:tr>
      <w:tr>
        <w:trPr>
          <w:trHeight w:val="155"/>
        </w:trPr>
        <w:tc>
          <w:tcPr>
            <w:tcW w:w="1380" w:type="dxa"/>
            <w:vAlign w:val="bottom"/>
          </w:tcPr>
          <w:p>
            <w:pPr>
              <w:spacing w:after="0"/>
              <w:rPr>
                <w:sz w:val="13"/>
                <w:szCs w:val="13"/>
                <w:color w:val="auto"/>
              </w:rPr>
            </w:pPr>
          </w:p>
        </w:tc>
        <w:tc>
          <w:tcPr>
            <w:tcW w:w="3000" w:type="dxa"/>
            <w:vAlign w:val="bottom"/>
            <w:tcBorders>
              <w:top w:val="single" w:sz="8" w:color="auto"/>
            </w:tcBorders>
            <w:gridSpan w:val="18"/>
          </w:tcPr>
          <w:p>
            <w:pPr>
              <w:spacing w:after="0" w:line="156" w:lineRule="exact"/>
              <w:rPr>
                <w:rFonts w:ascii="Arial" w:cs="Arial" w:eastAsia="Arial" w:hAnsi="Arial"/>
                <w:sz w:val="18"/>
                <w:szCs w:val="18"/>
                <w:color w:val="auto"/>
                <w:w w:val="91"/>
              </w:rPr>
            </w:pPr>
            <w:hyperlink r:id="rId164">
              <w:r>
                <w:rPr>
                  <w:rFonts w:ascii="Arial" w:cs="Arial" w:eastAsia="Arial" w:hAnsi="Arial"/>
                  <w:sz w:val="18"/>
                  <w:szCs w:val="18"/>
                  <w:color w:val="auto"/>
                  <w:w w:val="91"/>
                </w:rPr>
                <w:t>2013, by and between Tandem Diabetes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880" w:type="dxa"/>
            <w:vAlign w:val="bottom"/>
            <w:tcBorders>
              <w:top w:val="single" w:sz="8" w:color="auto"/>
            </w:tcBorders>
            <w:gridSpan w:val="14"/>
          </w:tcPr>
          <w:p>
            <w:pPr>
              <w:spacing w:after="0" w:line="156" w:lineRule="exact"/>
              <w:rPr>
                <w:rFonts w:ascii="Arial" w:cs="Arial" w:eastAsia="Arial" w:hAnsi="Arial"/>
                <w:sz w:val="18"/>
                <w:szCs w:val="18"/>
                <w:color w:val="auto"/>
              </w:rPr>
            </w:pPr>
            <w:hyperlink r:id="rId164">
              <w:r>
                <w:rPr>
                  <w:rFonts w:ascii="Arial" w:cs="Arial" w:eastAsia="Arial" w:hAnsi="Arial"/>
                  <w:sz w:val="18"/>
                  <w:szCs w:val="18"/>
                  <w:color w:val="auto"/>
                </w:rPr>
                <w:t>Care, Inc. and John F. Sheridan.</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10.13*</w:t>
            </w:r>
          </w:p>
        </w:tc>
        <w:tc>
          <w:tcPr>
            <w:tcW w:w="3440" w:type="dxa"/>
            <w:vAlign w:val="bottom"/>
            <w:gridSpan w:val="30"/>
            <w:shd w:val="clear" w:color="auto" w:fill="CCEEFF"/>
          </w:tcPr>
          <w:p>
            <w:pPr>
              <w:spacing w:after="0" w:line="189" w:lineRule="exact"/>
              <w:rPr>
                <w:rFonts w:ascii="Arial" w:cs="Arial" w:eastAsia="Arial" w:hAnsi="Arial"/>
                <w:sz w:val="18"/>
                <w:szCs w:val="18"/>
                <w:color w:val="auto"/>
              </w:rPr>
            </w:pPr>
            <w:hyperlink r:id="rId165">
              <w:r>
                <w:rPr>
                  <w:rFonts w:ascii="Arial" w:cs="Arial" w:eastAsia="Arial" w:hAnsi="Arial"/>
                  <w:sz w:val="18"/>
                  <w:szCs w:val="18"/>
                  <w:color w:val="auto"/>
                </w:rPr>
                <w:t>Employee Offer Letter, dated January 11,</w:t>
              </w:r>
            </w:hyperlink>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2-Feb-16</w:t>
            </w:r>
          </w:p>
        </w:tc>
        <w:tc>
          <w:tcPr>
            <w:tcW w:w="2560" w:type="dxa"/>
            <w:vAlign w:val="bottom"/>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91"/>
              </w:rPr>
              <w:t>10.1</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980" w:type="dxa"/>
            <w:vAlign w:val="bottom"/>
            <w:tcBorders>
              <w:top w:val="single" w:sz="8" w:color="auto"/>
            </w:tcBorders>
            <w:gridSpan w:val="17"/>
            <w:shd w:val="clear" w:color="auto" w:fill="CCEEFF"/>
          </w:tcPr>
          <w:p>
            <w:pPr>
              <w:spacing w:after="0" w:line="156" w:lineRule="exact"/>
              <w:rPr>
                <w:rFonts w:ascii="Arial" w:cs="Arial" w:eastAsia="Arial" w:hAnsi="Arial"/>
                <w:sz w:val="18"/>
                <w:szCs w:val="18"/>
                <w:color w:val="auto"/>
                <w:w w:val="91"/>
              </w:rPr>
            </w:pPr>
            <w:hyperlink r:id="rId165">
              <w:r>
                <w:rPr>
                  <w:rFonts w:ascii="Arial" w:cs="Arial" w:eastAsia="Arial" w:hAnsi="Arial"/>
                  <w:sz w:val="18"/>
                  <w:szCs w:val="18"/>
                  <w:color w:val="auto"/>
                  <w:w w:val="91"/>
                </w:rPr>
                <w:t>2016, by and between Tandem Diabetes</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auto"/>
            </w:tcBorders>
            <w:gridSpan w:val="14"/>
            <w:shd w:val="clear" w:color="auto" w:fill="CCEEFF"/>
          </w:tcPr>
          <w:p>
            <w:pPr>
              <w:spacing w:after="0" w:line="156" w:lineRule="exact"/>
              <w:rPr>
                <w:rFonts w:ascii="Arial" w:cs="Arial" w:eastAsia="Arial" w:hAnsi="Arial"/>
                <w:sz w:val="18"/>
                <w:szCs w:val="18"/>
                <w:color w:val="auto"/>
              </w:rPr>
            </w:pPr>
            <w:hyperlink r:id="rId165">
              <w:r>
                <w:rPr>
                  <w:rFonts w:ascii="Arial" w:cs="Arial" w:eastAsia="Arial" w:hAnsi="Arial"/>
                  <w:sz w:val="18"/>
                  <w:szCs w:val="18"/>
                  <w:color w:val="auto"/>
                </w:rPr>
                <w:t>Care, Inc. and Brian B. Hansen.</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56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10.14*</w:t>
            </w:r>
          </w:p>
        </w:tc>
        <w:tc>
          <w:tcPr>
            <w:tcW w:w="3440" w:type="dxa"/>
            <w:vAlign w:val="bottom"/>
            <w:gridSpan w:val="30"/>
          </w:tcPr>
          <w:p>
            <w:pPr>
              <w:spacing w:after="0" w:line="189" w:lineRule="exact"/>
              <w:rPr>
                <w:rFonts w:ascii="Arial" w:cs="Arial" w:eastAsia="Arial" w:hAnsi="Arial"/>
                <w:sz w:val="18"/>
                <w:szCs w:val="18"/>
                <w:color w:val="auto"/>
              </w:rPr>
            </w:pPr>
            <w:hyperlink r:id="rId166">
              <w:r>
                <w:rPr>
                  <w:rFonts w:ascii="Arial" w:cs="Arial" w:eastAsia="Arial" w:hAnsi="Arial"/>
                  <w:sz w:val="18"/>
                  <w:szCs w:val="18"/>
                  <w:color w:val="auto"/>
                </w:rPr>
                <w:t>Employment Severance Agreement, dated</w:t>
              </w:r>
            </w:hyperlink>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0"/>
              </w:rPr>
              <w:t>2-Feb-16</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91"/>
              </w:rPr>
              <w:t>10.2</w:t>
            </w:r>
          </w:p>
        </w:tc>
      </w:tr>
      <w:tr>
        <w:trPr>
          <w:trHeight w:val="155"/>
        </w:trPr>
        <w:tc>
          <w:tcPr>
            <w:tcW w:w="1380" w:type="dxa"/>
            <w:vAlign w:val="bottom"/>
          </w:tcPr>
          <w:p>
            <w:pPr>
              <w:spacing w:after="0"/>
              <w:rPr>
                <w:sz w:val="13"/>
                <w:szCs w:val="13"/>
                <w:color w:val="auto"/>
              </w:rPr>
            </w:pPr>
          </w:p>
        </w:tc>
        <w:tc>
          <w:tcPr>
            <w:tcW w:w="3040" w:type="dxa"/>
            <w:vAlign w:val="bottom"/>
            <w:tcBorders>
              <w:top w:val="single" w:sz="8" w:color="auto"/>
              <w:bottom w:val="single" w:sz="8" w:color="auto"/>
            </w:tcBorders>
            <w:gridSpan w:val="20"/>
          </w:tcPr>
          <w:p>
            <w:pPr>
              <w:spacing w:after="0" w:line="156" w:lineRule="exact"/>
              <w:rPr>
                <w:rFonts w:ascii="Arial" w:cs="Arial" w:eastAsia="Arial" w:hAnsi="Arial"/>
                <w:sz w:val="18"/>
                <w:szCs w:val="18"/>
                <w:color w:val="auto"/>
                <w:w w:val="87"/>
              </w:rPr>
            </w:pPr>
            <w:hyperlink r:id="rId166">
              <w:r>
                <w:rPr>
                  <w:rFonts w:ascii="Arial" w:cs="Arial" w:eastAsia="Arial" w:hAnsi="Arial"/>
                  <w:sz w:val="18"/>
                  <w:szCs w:val="18"/>
                  <w:color w:val="auto"/>
                  <w:w w:val="87"/>
                </w:rPr>
                <w:t>February 1, 2016, by and between Tandem</w:t>
              </w:r>
            </w:hyperlink>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100" w:type="dxa"/>
            <w:vAlign w:val="bottom"/>
            <w:gridSpan w:val="23"/>
          </w:tcPr>
          <w:p>
            <w:pPr>
              <w:spacing w:after="0" w:line="156" w:lineRule="exact"/>
              <w:rPr>
                <w:rFonts w:ascii="Arial" w:cs="Arial" w:eastAsia="Arial" w:hAnsi="Arial"/>
                <w:sz w:val="18"/>
                <w:szCs w:val="18"/>
                <w:color w:val="auto"/>
                <w:w w:val="93"/>
              </w:rPr>
            </w:pPr>
            <w:hyperlink r:id="rId166">
              <w:r>
                <w:rPr>
                  <w:rFonts w:ascii="Arial" w:cs="Arial" w:eastAsia="Arial" w:hAnsi="Arial"/>
                  <w:sz w:val="18"/>
                  <w:szCs w:val="18"/>
                  <w:color w:val="auto"/>
                  <w:w w:val="93"/>
                </w:rPr>
                <w:t>Diabetes Care, Inc. and Brian B. Hansen.</w:t>
              </w:r>
            </w:hyperlink>
          </w:p>
        </w:tc>
        <w:tc>
          <w:tcPr>
            <w:tcW w:w="120" w:type="dxa"/>
            <w:vAlign w:val="bottom"/>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10.15*</w:t>
            </w:r>
          </w:p>
        </w:tc>
        <w:tc>
          <w:tcPr>
            <w:tcW w:w="2640" w:type="dxa"/>
            <w:vAlign w:val="bottom"/>
            <w:tcBorders>
              <w:bottom w:val="single" w:sz="8" w:color="auto"/>
            </w:tcBorders>
            <w:gridSpan w:val="11"/>
            <w:shd w:val="clear" w:color="auto" w:fill="CCEEFF"/>
          </w:tcPr>
          <w:p>
            <w:pPr>
              <w:spacing w:after="0" w:line="189" w:lineRule="exact"/>
              <w:rPr>
                <w:rFonts w:ascii="Arial" w:cs="Arial" w:eastAsia="Arial" w:hAnsi="Arial"/>
                <w:sz w:val="18"/>
                <w:szCs w:val="18"/>
                <w:color w:val="auto"/>
                <w:w w:val="89"/>
              </w:rPr>
            </w:pPr>
            <w:hyperlink r:id="rId167">
              <w:r>
                <w:rPr>
                  <w:rFonts w:ascii="Arial" w:cs="Arial" w:eastAsia="Arial" w:hAnsi="Arial"/>
                  <w:sz w:val="18"/>
                  <w:szCs w:val="18"/>
                  <w:color w:val="auto"/>
                  <w:w w:val="89"/>
                </w:rPr>
                <w:t>Amended and Restated Employment</w:t>
              </w:r>
            </w:hyperlink>
          </w:p>
        </w:tc>
        <w:tc>
          <w:tcPr>
            <w:tcW w:w="800" w:type="dxa"/>
            <w:vAlign w:val="bottom"/>
            <w:tcBorders>
              <w:bottom w:val="single" w:sz="8" w:color="CCEEFF"/>
            </w:tcBorders>
            <w:gridSpan w:val="19"/>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10.17</w:t>
            </w:r>
          </w:p>
        </w:tc>
      </w:tr>
      <w:tr>
        <w:trPr>
          <w:trHeight w:val="155"/>
        </w:trPr>
        <w:tc>
          <w:tcPr>
            <w:tcW w:w="1380" w:type="dxa"/>
            <w:vAlign w:val="bottom"/>
            <w:shd w:val="clear" w:color="auto" w:fill="CCEEFF"/>
          </w:tcPr>
          <w:p>
            <w:pPr>
              <w:spacing w:after="0"/>
              <w:rPr>
                <w:sz w:val="13"/>
                <w:szCs w:val="13"/>
                <w:color w:val="auto"/>
              </w:rPr>
            </w:pPr>
          </w:p>
        </w:tc>
        <w:tc>
          <w:tcPr>
            <w:tcW w:w="3440" w:type="dxa"/>
            <w:vAlign w:val="bottom"/>
            <w:gridSpan w:val="30"/>
            <w:shd w:val="clear" w:color="auto" w:fill="CCEEFF"/>
          </w:tcPr>
          <w:p>
            <w:pPr>
              <w:spacing w:after="0" w:line="156" w:lineRule="exact"/>
              <w:rPr>
                <w:rFonts w:ascii="Arial" w:cs="Arial" w:eastAsia="Arial" w:hAnsi="Arial"/>
                <w:sz w:val="18"/>
                <w:szCs w:val="18"/>
                <w:color w:val="auto"/>
                <w:w w:val="99"/>
              </w:rPr>
            </w:pPr>
            <w:hyperlink r:id="rId167">
              <w:r>
                <w:rPr>
                  <w:rFonts w:ascii="Arial" w:cs="Arial" w:eastAsia="Arial" w:hAnsi="Arial"/>
                  <w:sz w:val="18"/>
                  <w:szCs w:val="18"/>
                  <w:color w:val="auto"/>
                  <w:w w:val="99"/>
                </w:rPr>
                <w:t>Severance Agreement, dated November 4,</w:t>
              </w:r>
            </w:hyperlink>
          </w:p>
        </w:tc>
        <w:tc>
          <w:tcPr>
            <w:tcW w:w="1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w w:val="93"/>
              </w:rPr>
            </w:pPr>
            <w:hyperlink r:id="rId167">
              <w:r>
                <w:rPr>
                  <w:rFonts w:ascii="Arial" w:cs="Arial" w:eastAsia="Arial" w:hAnsi="Arial"/>
                  <w:sz w:val="18"/>
                  <w:szCs w:val="18"/>
                  <w:color w:val="auto"/>
                  <w:w w:val="93"/>
                </w:rPr>
                <w:t>2013, by and between Tandem Diabetes</w:t>
              </w:r>
            </w:hyperlink>
          </w:p>
        </w:tc>
        <w:tc>
          <w:tcPr>
            <w:tcW w:w="160" w:type="dxa"/>
            <w:vAlign w:val="bottom"/>
            <w:tcBorders>
              <w:top w:val="single" w:sz="8" w:color="CCEEFF"/>
            </w:tcBorders>
            <w:gridSpan w:val="6"/>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2300" w:type="dxa"/>
            <w:vAlign w:val="bottom"/>
            <w:tcBorders>
              <w:top w:val="single" w:sz="8" w:color="auto"/>
              <w:bottom w:val="single" w:sz="8" w:color="auto"/>
            </w:tcBorders>
            <w:gridSpan w:val="7"/>
            <w:shd w:val="clear" w:color="auto" w:fill="CCEEFF"/>
          </w:tcPr>
          <w:p>
            <w:pPr>
              <w:spacing w:after="0" w:line="169" w:lineRule="exact"/>
              <w:rPr>
                <w:rFonts w:ascii="Arial" w:cs="Arial" w:eastAsia="Arial" w:hAnsi="Arial"/>
                <w:sz w:val="18"/>
                <w:szCs w:val="18"/>
                <w:color w:val="auto"/>
                <w:w w:val="87"/>
              </w:rPr>
            </w:pPr>
            <w:hyperlink r:id="rId167">
              <w:r>
                <w:rPr>
                  <w:rFonts w:ascii="Arial" w:cs="Arial" w:eastAsia="Arial" w:hAnsi="Arial"/>
                  <w:sz w:val="18"/>
                  <w:szCs w:val="18"/>
                  <w:color w:val="auto"/>
                  <w:w w:val="87"/>
                </w:rPr>
                <w:t>Care, Inc. and John F. Sheridan.</w:t>
              </w:r>
            </w:hyperlink>
          </w:p>
        </w:tc>
        <w:tc>
          <w:tcPr>
            <w:tcW w:w="58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13"/>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10.16*</w:t>
            </w:r>
          </w:p>
        </w:tc>
        <w:tc>
          <w:tcPr>
            <w:tcW w:w="2640" w:type="dxa"/>
            <w:vAlign w:val="bottom"/>
            <w:tcBorders>
              <w:bottom w:val="single" w:sz="8" w:color="auto"/>
            </w:tcBorders>
            <w:gridSpan w:val="11"/>
          </w:tcPr>
          <w:p>
            <w:pPr>
              <w:spacing w:after="0" w:line="189" w:lineRule="exact"/>
              <w:rPr>
                <w:rFonts w:ascii="Arial" w:cs="Arial" w:eastAsia="Arial" w:hAnsi="Arial"/>
                <w:sz w:val="18"/>
                <w:szCs w:val="18"/>
                <w:color w:val="auto"/>
                <w:w w:val="89"/>
              </w:rPr>
            </w:pPr>
            <w:hyperlink r:id="rId168">
              <w:r>
                <w:rPr>
                  <w:rFonts w:ascii="Arial" w:cs="Arial" w:eastAsia="Arial" w:hAnsi="Arial"/>
                  <w:sz w:val="18"/>
                  <w:szCs w:val="18"/>
                  <w:color w:val="auto"/>
                  <w:w w:val="89"/>
                </w:rPr>
                <w:t>Amended and Restated Employment</w:t>
              </w:r>
            </w:hyperlink>
          </w:p>
        </w:tc>
        <w:tc>
          <w:tcPr>
            <w:tcW w:w="800" w:type="dxa"/>
            <w:vAlign w:val="bottom"/>
            <w:gridSpan w:val="19"/>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10.18</w:t>
            </w:r>
          </w:p>
        </w:tc>
      </w:tr>
      <w:tr>
        <w:trPr>
          <w:trHeight w:val="156"/>
        </w:trPr>
        <w:tc>
          <w:tcPr>
            <w:tcW w:w="1380" w:type="dxa"/>
            <w:vAlign w:val="bottom"/>
          </w:tcPr>
          <w:p>
            <w:pPr>
              <w:spacing w:after="0"/>
              <w:rPr>
                <w:sz w:val="13"/>
                <w:szCs w:val="13"/>
                <w:color w:val="auto"/>
              </w:rPr>
            </w:pPr>
          </w:p>
        </w:tc>
        <w:tc>
          <w:tcPr>
            <w:tcW w:w="3440" w:type="dxa"/>
            <w:vAlign w:val="bottom"/>
            <w:gridSpan w:val="30"/>
          </w:tcPr>
          <w:p>
            <w:pPr>
              <w:spacing w:after="0" w:line="156" w:lineRule="exact"/>
              <w:rPr>
                <w:rFonts w:ascii="Arial" w:cs="Arial" w:eastAsia="Arial" w:hAnsi="Arial"/>
                <w:sz w:val="18"/>
                <w:szCs w:val="18"/>
                <w:color w:val="auto"/>
                <w:w w:val="99"/>
              </w:rPr>
            </w:pPr>
            <w:hyperlink r:id="rId168">
              <w:r>
                <w:rPr>
                  <w:rFonts w:ascii="Arial" w:cs="Arial" w:eastAsia="Arial" w:hAnsi="Arial"/>
                  <w:sz w:val="18"/>
                  <w:szCs w:val="18"/>
                  <w:color w:val="auto"/>
                  <w:w w:val="99"/>
                </w:rPr>
                <w:t>Severance Agreement, dated November 4,</w:t>
              </w:r>
            </w:hyperlink>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060" w:type="dxa"/>
            <w:vAlign w:val="bottom"/>
            <w:tcBorders>
              <w:top w:val="single" w:sz="8" w:color="auto"/>
            </w:tcBorders>
            <w:gridSpan w:val="21"/>
          </w:tcPr>
          <w:p>
            <w:pPr>
              <w:spacing w:after="0" w:line="156" w:lineRule="exact"/>
              <w:rPr>
                <w:rFonts w:ascii="Arial" w:cs="Arial" w:eastAsia="Arial" w:hAnsi="Arial"/>
                <w:sz w:val="18"/>
                <w:szCs w:val="18"/>
                <w:color w:val="auto"/>
                <w:w w:val="93"/>
              </w:rPr>
            </w:pPr>
            <w:hyperlink r:id="rId168">
              <w:r>
                <w:rPr>
                  <w:rFonts w:ascii="Arial" w:cs="Arial" w:eastAsia="Arial" w:hAnsi="Arial"/>
                  <w:sz w:val="18"/>
                  <w:szCs w:val="18"/>
                  <w:color w:val="auto"/>
                  <w:w w:val="93"/>
                </w:rPr>
                <w:t>2013, by and between Tandem Diabetes</w:t>
              </w:r>
            </w:hyperlink>
          </w:p>
        </w:tc>
        <w:tc>
          <w:tcPr>
            <w:tcW w:w="160" w:type="dxa"/>
            <w:vAlign w:val="bottom"/>
            <w:gridSpan w:val="6"/>
          </w:tcPr>
          <w:p>
            <w:pPr>
              <w:spacing w:after="0"/>
              <w:rPr>
                <w:sz w:val="13"/>
                <w:szCs w:val="13"/>
                <w:color w:val="auto"/>
              </w:rPr>
            </w:pPr>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2880" w:type="dxa"/>
            <w:vAlign w:val="bottom"/>
            <w:tcBorders>
              <w:top w:val="single" w:sz="8" w:color="auto"/>
            </w:tcBorders>
            <w:gridSpan w:val="14"/>
          </w:tcPr>
          <w:p>
            <w:pPr>
              <w:spacing w:after="0" w:line="169" w:lineRule="exact"/>
              <w:rPr>
                <w:rFonts w:ascii="Arial" w:cs="Arial" w:eastAsia="Arial" w:hAnsi="Arial"/>
                <w:sz w:val="18"/>
                <w:szCs w:val="18"/>
                <w:color w:val="auto"/>
              </w:rPr>
            </w:pPr>
            <w:hyperlink r:id="rId168">
              <w:r>
                <w:rPr>
                  <w:rFonts w:ascii="Arial" w:cs="Arial" w:eastAsia="Arial" w:hAnsi="Arial"/>
                  <w:sz w:val="18"/>
                  <w:szCs w:val="18"/>
                  <w:color w:val="auto"/>
                </w:rPr>
                <w:t>Care, Inc. and David B. Berger.</w:t>
              </w:r>
            </w:hyperlink>
          </w:p>
        </w:tc>
        <w:tc>
          <w:tcPr>
            <w:tcW w:w="340" w:type="dxa"/>
            <w:vAlign w:val="bottom"/>
            <w:gridSpan w:val="13"/>
          </w:tcPr>
          <w:p>
            <w:pPr>
              <w:spacing w:after="0"/>
              <w:rPr>
                <w:sz w:val="14"/>
                <w:szCs w:val="14"/>
                <w:color w:val="auto"/>
              </w:rPr>
            </w:pPr>
          </w:p>
        </w:tc>
        <w:tc>
          <w:tcPr>
            <w:tcW w:w="220" w:type="dxa"/>
            <w:vAlign w:val="bottom"/>
            <w:gridSpan w:val="3"/>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1"/>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10.17*</w:t>
            </w:r>
          </w:p>
        </w:tc>
        <w:tc>
          <w:tcPr>
            <w:tcW w:w="2640" w:type="dxa"/>
            <w:vAlign w:val="bottom"/>
            <w:tcBorders>
              <w:bottom w:val="single" w:sz="8" w:color="auto"/>
            </w:tcBorders>
            <w:gridSpan w:val="11"/>
            <w:shd w:val="clear" w:color="auto" w:fill="CCEEFF"/>
          </w:tcPr>
          <w:p>
            <w:pPr>
              <w:spacing w:after="0" w:line="189" w:lineRule="exact"/>
              <w:rPr>
                <w:rFonts w:ascii="Arial" w:cs="Arial" w:eastAsia="Arial" w:hAnsi="Arial"/>
                <w:sz w:val="18"/>
                <w:szCs w:val="18"/>
                <w:color w:val="auto"/>
                <w:w w:val="89"/>
              </w:rPr>
            </w:pPr>
            <w:hyperlink r:id="rId169">
              <w:r>
                <w:rPr>
                  <w:rFonts w:ascii="Arial" w:cs="Arial" w:eastAsia="Arial" w:hAnsi="Arial"/>
                  <w:sz w:val="18"/>
                  <w:szCs w:val="18"/>
                  <w:color w:val="auto"/>
                  <w:w w:val="89"/>
                </w:rPr>
                <w:t>Amended and Restated Employment</w:t>
              </w:r>
            </w:hyperlink>
          </w:p>
        </w:tc>
        <w:tc>
          <w:tcPr>
            <w:tcW w:w="800" w:type="dxa"/>
            <w:vAlign w:val="bottom"/>
            <w:tcBorders>
              <w:bottom w:val="single" w:sz="8" w:color="CCEEFF"/>
            </w:tcBorders>
            <w:gridSpan w:val="19"/>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S-1/A</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8-Nov-13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10.19</w:t>
            </w:r>
          </w:p>
        </w:tc>
      </w:tr>
      <w:tr>
        <w:trPr>
          <w:trHeight w:val="156"/>
        </w:trPr>
        <w:tc>
          <w:tcPr>
            <w:tcW w:w="1380" w:type="dxa"/>
            <w:vAlign w:val="bottom"/>
            <w:shd w:val="clear" w:color="auto" w:fill="CCEEFF"/>
          </w:tcPr>
          <w:p>
            <w:pPr>
              <w:spacing w:after="0"/>
              <w:rPr>
                <w:sz w:val="13"/>
                <w:szCs w:val="13"/>
                <w:color w:val="auto"/>
              </w:rPr>
            </w:pPr>
          </w:p>
        </w:tc>
        <w:tc>
          <w:tcPr>
            <w:tcW w:w="3440" w:type="dxa"/>
            <w:vAlign w:val="bottom"/>
            <w:gridSpan w:val="30"/>
            <w:shd w:val="clear" w:color="auto" w:fill="CCEEFF"/>
          </w:tcPr>
          <w:p>
            <w:pPr>
              <w:spacing w:after="0" w:line="156" w:lineRule="exact"/>
              <w:rPr>
                <w:rFonts w:ascii="Arial" w:cs="Arial" w:eastAsia="Arial" w:hAnsi="Arial"/>
                <w:sz w:val="18"/>
                <w:szCs w:val="18"/>
                <w:color w:val="auto"/>
                <w:w w:val="99"/>
              </w:rPr>
            </w:pPr>
            <w:hyperlink r:id="rId169">
              <w:r>
                <w:rPr>
                  <w:rFonts w:ascii="Arial" w:cs="Arial" w:eastAsia="Arial" w:hAnsi="Arial"/>
                  <w:sz w:val="18"/>
                  <w:szCs w:val="18"/>
                  <w:color w:val="auto"/>
                  <w:w w:val="99"/>
                </w:rPr>
                <w:t>Severance Agreement, dated November 4,</w:t>
              </w:r>
            </w:hyperlink>
          </w:p>
        </w:tc>
        <w:tc>
          <w:tcPr>
            <w:tcW w:w="1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060" w:type="dxa"/>
            <w:vAlign w:val="bottom"/>
            <w:tcBorders>
              <w:top w:val="single" w:sz="8" w:color="auto"/>
            </w:tcBorders>
            <w:gridSpan w:val="21"/>
            <w:shd w:val="clear" w:color="auto" w:fill="CCEEFF"/>
          </w:tcPr>
          <w:p>
            <w:pPr>
              <w:spacing w:after="0" w:line="156" w:lineRule="exact"/>
              <w:rPr>
                <w:rFonts w:ascii="Arial" w:cs="Arial" w:eastAsia="Arial" w:hAnsi="Arial"/>
                <w:sz w:val="18"/>
                <w:szCs w:val="18"/>
                <w:color w:val="auto"/>
                <w:w w:val="93"/>
              </w:rPr>
            </w:pPr>
            <w:hyperlink r:id="rId169">
              <w:r>
                <w:rPr>
                  <w:rFonts w:ascii="Arial" w:cs="Arial" w:eastAsia="Arial" w:hAnsi="Arial"/>
                  <w:sz w:val="18"/>
                  <w:szCs w:val="18"/>
                  <w:color w:val="auto"/>
                  <w:w w:val="93"/>
                </w:rPr>
                <w:t>2013, by and between Tandem Diabetes</w:t>
              </w:r>
            </w:hyperlink>
          </w:p>
        </w:tc>
        <w:tc>
          <w:tcPr>
            <w:tcW w:w="160" w:type="dxa"/>
            <w:vAlign w:val="bottom"/>
            <w:tcBorders>
              <w:top w:val="single" w:sz="8" w:color="CCEEFF"/>
            </w:tcBorders>
            <w:gridSpan w:val="6"/>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2560" w:type="dxa"/>
            <w:vAlign w:val="bottom"/>
            <w:tcBorders>
              <w:top w:val="single" w:sz="8" w:color="CCEEFF"/>
            </w:tcBorders>
            <w:shd w:val="clear" w:color="auto" w:fill="CCEEFF"/>
          </w:tcPr>
          <w:p>
            <w:pPr>
              <w:spacing w:after="0"/>
              <w:rPr>
                <w:sz w:val="13"/>
                <w:szCs w:val="13"/>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2880" w:type="dxa"/>
            <w:vAlign w:val="bottom"/>
            <w:tcBorders>
              <w:top w:val="single" w:sz="8" w:color="auto"/>
            </w:tcBorders>
            <w:gridSpan w:val="14"/>
            <w:shd w:val="clear" w:color="auto" w:fill="CCEEFF"/>
          </w:tcPr>
          <w:p>
            <w:pPr>
              <w:spacing w:after="0" w:line="169" w:lineRule="exact"/>
              <w:rPr>
                <w:rFonts w:ascii="Arial" w:cs="Arial" w:eastAsia="Arial" w:hAnsi="Arial"/>
                <w:sz w:val="18"/>
                <w:szCs w:val="18"/>
                <w:color w:val="auto"/>
              </w:rPr>
            </w:pPr>
            <w:hyperlink r:id="rId169">
              <w:r>
                <w:rPr>
                  <w:rFonts w:ascii="Arial" w:cs="Arial" w:eastAsia="Arial" w:hAnsi="Arial"/>
                  <w:sz w:val="18"/>
                  <w:szCs w:val="18"/>
                  <w:color w:val="auto"/>
                </w:rPr>
                <w:t>Care, Inc. and Susan M. Morrison.</w:t>
              </w:r>
            </w:hyperlink>
          </w:p>
        </w:tc>
        <w:tc>
          <w:tcPr>
            <w:tcW w:w="340" w:type="dxa"/>
            <w:vAlign w:val="bottom"/>
            <w:tcBorders>
              <w:top w:val="single" w:sz="8" w:color="CCEEFF"/>
            </w:tcBorders>
            <w:gridSpan w:val="13"/>
            <w:shd w:val="clear" w:color="auto" w:fill="CCEEFF"/>
          </w:tcPr>
          <w:p>
            <w:pPr>
              <w:spacing w:after="0"/>
              <w:rPr>
                <w:sz w:val="14"/>
                <w:szCs w:val="14"/>
                <w:color w:val="auto"/>
              </w:rPr>
            </w:pPr>
          </w:p>
        </w:tc>
        <w:tc>
          <w:tcPr>
            <w:tcW w:w="220" w:type="dxa"/>
            <w:vAlign w:val="bottom"/>
            <w:tcBorders>
              <w:top w:val="single" w:sz="8" w:color="CCEEFF"/>
            </w:tcBorders>
            <w:gridSpan w:val="3"/>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spacing w:after="0"/>
              <w:rPr>
                <w:sz w:val="14"/>
                <w:szCs w:val="14"/>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5"/>
              </w:rPr>
              <w:t>10.18*</w:t>
            </w:r>
          </w:p>
        </w:tc>
        <w:tc>
          <w:tcPr>
            <w:tcW w:w="3440" w:type="dxa"/>
            <w:vAlign w:val="bottom"/>
            <w:gridSpan w:val="30"/>
          </w:tcPr>
          <w:p>
            <w:pPr>
              <w:spacing w:after="0" w:line="189" w:lineRule="exact"/>
              <w:rPr>
                <w:rFonts w:ascii="Arial" w:cs="Arial" w:eastAsia="Arial" w:hAnsi="Arial"/>
                <w:sz w:val="18"/>
                <w:szCs w:val="18"/>
                <w:color w:val="auto"/>
              </w:rPr>
            </w:pPr>
            <w:hyperlink r:id="rId170">
              <w:r>
                <w:rPr>
                  <w:rFonts w:ascii="Arial" w:cs="Arial" w:eastAsia="Arial" w:hAnsi="Arial"/>
                  <w:sz w:val="18"/>
                  <w:szCs w:val="18"/>
                  <w:color w:val="auto"/>
                </w:rPr>
                <w:t>Amended and Restated Employment</w:t>
              </w:r>
            </w:hyperlink>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333-222553</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8"/>
              </w:rPr>
              <w:t>16-Jan-18</w:t>
            </w:r>
          </w:p>
        </w:tc>
        <w:tc>
          <w:tcPr>
            <w:tcW w:w="2560" w:type="dxa"/>
            <w:vAlign w:val="bottom"/>
          </w:tcPr>
          <w:p>
            <w:pPr>
              <w:jc w:val="center"/>
              <w:ind w:right="1150"/>
              <w:spacing w:after="0" w:line="189" w:lineRule="exact"/>
              <w:rPr>
                <w:sz w:val="20"/>
                <w:szCs w:val="20"/>
                <w:color w:val="auto"/>
              </w:rPr>
            </w:pPr>
            <w:r>
              <w:rPr>
                <w:rFonts w:ascii="Arial" w:cs="Arial" w:eastAsia="Arial" w:hAnsi="Arial"/>
                <w:sz w:val="18"/>
                <w:szCs w:val="18"/>
                <w:color w:val="auto"/>
                <w:w w:val="88"/>
              </w:rPr>
              <w:t>10.25</w:t>
            </w:r>
          </w:p>
        </w:tc>
      </w:tr>
      <w:tr>
        <w:trPr>
          <w:trHeight w:val="155"/>
        </w:trPr>
        <w:tc>
          <w:tcPr>
            <w:tcW w:w="1380" w:type="dxa"/>
            <w:vAlign w:val="bottom"/>
          </w:tcPr>
          <w:p>
            <w:pPr>
              <w:spacing w:after="0"/>
              <w:rPr>
                <w:sz w:val="13"/>
                <w:szCs w:val="13"/>
                <w:color w:val="auto"/>
              </w:rPr>
            </w:pPr>
          </w:p>
        </w:tc>
        <w:tc>
          <w:tcPr>
            <w:tcW w:w="2640" w:type="dxa"/>
            <w:vAlign w:val="bottom"/>
            <w:tcBorders>
              <w:top w:val="single" w:sz="8" w:color="auto"/>
            </w:tcBorders>
            <w:gridSpan w:val="11"/>
          </w:tcPr>
          <w:p>
            <w:pPr>
              <w:spacing w:after="0" w:line="156" w:lineRule="exact"/>
              <w:rPr>
                <w:rFonts w:ascii="Arial" w:cs="Arial" w:eastAsia="Arial" w:hAnsi="Arial"/>
                <w:sz w:val="18"/>
                <w:szCs w:val="18"/>
                <w:color w:val="auto"/>
                <w:w w:val="90"/>
              </w:rPr>
            </w:pPr>
            <w:hyperlink r:id="rId170">
              <w:r>
                <w:rPr>
                  <w:rFonts w:ascii="Arial" w:cs="Arial" w:eastAsia="Arial" w:hAnsi="Arial"/>
                  <w:sz w:val="18"/>
                  <w:szCs w:val="18"/>
                  <w:color w:val="auto"/>
                  <w:w w:val="90"/>
                </w:rPr>
                <w:t>Severance Agreement dated August</w:t>
              </w:r>
            </w:hyperlink>
          </w:p>
        </w:tc>
        <w:tc>
          <w:tcPr>
            <w:tcW w:w="800" w:type="dxa"/>
            <w:vAlign w:val="bottom"/>
            <w:gridSpan w:val="19"/>
          </w:tcPr>
          <w:p>
            <w:pPr>
              <w:jc w:val="right"/>
              <w:ind w:right="240"/>
              <w:spacing w:after="0" w:line="156" w:lineRule="exact"/>
              <w:rPr>
                <w:rFonts w:ascii="Arial" w:cs="Arial" w:eastAsia="Arial" w:hAnsi="Arial"/>
                <w:sz w:val="18"/>
                <w:szCs w:val="18"/>
                <w:color w:val="auto"/>
                <w:w w:val="82"/>
              </w:rPr>
            </w:pPr>
            <w:hyperlink r:id="rId170">
              <w:r>
                <w:rPr>
                  <w:rFonts w:ascii="Arial" w:cs="Arial" w:eastAsia="Arial" w:hAnsi="Arial"/>
                  <w:sz w:val="18"/>
                  <w:szCs w:val="18"/>
                  <w:color w:val="auto"/>
                  <w:w w:val="82"/>
                </w:rPr>
                <w:t>2, 2017,</w:t>
              </w:r>
            </w:hyperlink>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3220" w:type="dxa"/>
            <w:vAlign w:val="bottom"/>
            <w:tcBorders>
              <w:top w:val="single" w:sz="8" w:color="auto"/>
            </w:tcBorders>
            <w:gridSpan w:val="27"/>
          </w:tcPr>
          <w:p>
            <w:pPr>
              <w:spacing w:after="0" w:line="156" w:lineRule="exact"/>
              <w:rPr>
                <w:rFonts w:ascii="Arial" w:cs="Arial" w:eastAsia="Arial" w:hAnsi="Arial"/>
                <w:sz w:val="18"/>
                <w:szCs w:val="18"/>
                <w:color w:val="auto"/>
                <w:w w:val="89"/>
              </w:rPr>
            </w:pPr>
            <w:hyperlink r:id="rId170">
              <w:r>
                <w:rPr>
                  <w:rFonts w:ascii="Arial" w:cs="Arial" w:eastAsia="Arial" w:hAnsi="Arial"/>
                  <w:sz w:val="18"/>
                  <w:szCs w:val="18"/>
                  <w:color w:val="auto"/>
                  <w:w w:val="89"/>
                </w:rPr>
                <w:t>by and between Tandem Diabetes Care, Inc.</w:t>
              </w:r>
            </w:hyperlink>
          </w:p>
        </w:tc>
        <w:tc>
          <w:tcPr>
            <w:tcW w:w="220" w:type="dxa"/>
            <w:vAlign w:val="bottom"/>
            <w:gridSpan w:val="3"/>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3180" w:type="dxa"/>
            <w:vAlign w:val="bottom"/>
            <w:tcBorders>
              <w:top w:val="single" w:sz="8" w:color="auto"/>
            </w:tcBorders>
            <w:gridSpan w:val="25"/>
          </w:tcPr>
          <w:p>
            <w:pPr>
              <w:spacing w:after="0" w:line="169" w:lineRule="exact"/>
              <w:rPr>
                <w:rFonts w:ascii="Arial" w:cs="Arial" w:eastAsia="Arial" w:hAnsi="Arial"/>
                <w:sz w:val="18"/>
                <w:szCs w:val="18"/>
                <w:color w:val="auto"/>
              </w:rPr>
            </w:pPr>
            <w:hyperlink r:id="rId170">
              <w:r>
                <w:rPr>
                  <w:rFonts w:ascii="Arial" w:cs="Arial" w:eastAsia="Arial" w:hAnsi="Arial"/>
                  <w:sz w:val="18"/>
                  <w:szCs w:val="18"/>
                  <w:color w:val="auto"/>
                </w:rPr>
                <w:t>and Leigh Vosseller.</w:t>
              </w:r>
            </w:hyperlink>
          </w:p>
        </w:tc>
        <w:tc>
          <w:tcPr>
            <w:tcW w:w="260" w:type="dxa"/>
            <w:vAlign w:val="bottom"/>
            <w:gridSpan w:val="5"/>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10"/>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5"/>
              </w:rPr>
              <w:t>10.19*</w:t>
            </w:r>
          </w:p>
        </w:tc>
        <w:tc>
          <w:tcPr>
            <w:tcW w:w="2680" w:type="dxa"/>
            <w:vAlign w:val="bottom"/>
            <w:tcBorders>
              <w:bottom w:val="single" w:sz="8" w:color="auto"/>
            </w:tcBorders>
            <w:gridSpan w:val="13"/>
            <w:shd w:val="clear" w:color="auto" w:fill="CCEEFF"/>
          </w:tcPr>
          <w:p>
            <w:pPr>
              <w:spacing w:after="0" w:line="189" w:lineRule="exact"/>
              <w:rPr>
                <w:rFonts w:ascii="Arial" w:cs="Arial" w:eastAsia="Arial" w:hAnsi="Arial"/>
                <w:sz w:val="18"/>
                <w:szCs w:val="18"/>
                <w:color w:val="auto"/>
                <w:w w:val="92"/>
              </w:rPr>
            </w:pPr>
            <w:hyperlink r:id="rId171">
              <w:r>
                <w:rPr>
                  <w:rFonts w:ascii="Arial" w:cs="Arial" w:eastAsia="Arial" w:hAnsi="Arial"/>
                  <w:sz w:val="18"/>
                  <w:szCs w:val="18"/>
                  <w:color w:val="auto"/>
                  <w:w w:val="92"/>
                </w:rPr>
                <w:t>Form of Indemnification Agreement.</w:t>
              </w:r>
            </w:hyperlink>
          </w:p>
        </w:tc>
        <w:tc>
          <w:tcPr>
            <w:tcW w:w="760" w:type="dxa"/>
            <w:vAlign w:val="bottom"/>
            <w:tcBorders>
              <w:bottom w:val="single" w:sz="8" w:color="CCEEFF"/>
            </w:tcBorders>
            <w:gridSpan w:val="1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S-1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333-191601</w:t>
            </w:r>
          </w:p>
        </w:tc>
        <w:tc>
          <w:tcPr>
            <w:tcW w:w="13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7-Oct-13</w:t>
            </w:r>
          </w:p>
        </w:tc>
        <w:tc>
          <w:tcPr>
            <w:tcW w:w="2560" w:type="dxa"/>
            <w:vAlign w:val="bottom"/>
            <w:tcBorders>
              <w:bottom w:val="single" w:sz="8" w:color="CCEEFF"/>
            </w:tcBorders>
            <w:shd w:val="clear" w:color="auto" w:fill="CCEEFF"/>
          </w:tcPr>
          <w:p>
            <w:pPr>
              <w:jc w:val="center"/>
              <w:ind w:right="1150"/>
              <w:spacing w:after="0" w:line="189" w:lineRule="exact"/>
              <w:rPr>
                <w:sz w:val="20"/>
                <w:szCs w:val="20"/>
                <w:color w:val="auto"/>
              </w:rPr>
            </w:pPr>
            <w:r>
              <w:rPr>
                <w:rFonts w:ascii="Arial" w:cs="Arial" w:eastAsia="Arial" w:hAnsi="Arial"/>
                <w:sz w:val="18"/>
                <w:szCs w:val="18"/>
                <w:color w:val="auto"/>
                <w:w w:val="88"/>
              </w:rPr>
              <w:t>10.11</w:t>
            </w:r>
          </w:p>
        </w:tc>
      </w:tr>
      <w:tr>
        <w:trPr>
          <w:trHeight w:val="191"/>
        </w:trPr>
        <w:tc>
          <w:tcPr>
            <w:tcW w:w="1380" w:type="dxa"/>
            <w:vAlign w:val="bottom"/>
          </w:tcPr>
          <w:p>
            <w:pPr>
              <w:jc w:val="center"/>
              <w:ind w:right="30"/>
              <w:spacing w:after="0" w:line="191" w:lineRule="exact"/>
              <w:rPr>
                <w:sz w:val="20"/>
                <w:szCs w:val="20"/>
                <w:color w:val="auto"/>
              </w:rPr>
            </w:pPr>
            <w:r>
              <w:rPr>
                <w:rFonts w:ascii="Arial" w:cs="Arial" w:eastAsia="Arial" w:hAnsi="Arial"/>
                <w:sz w:val="18"/>
                <w:szCs w:val="18"/>
                <w:color w:val="auto"/>
                <w:w w:val="93"/>
              </w:rPr>
              <w:t>10.20</w:t>
            </w:r>
          </w:p>
        </w:tc>
        <w:tc>
          <w:tcPr>
            <w:tcW w:w="3440" w:type="dxa"/>
            <w:vAlign w:val="bottom"/>
            <w:gridSpan w:val="30"/>
          </w:tcPr>
          <w:p>
            <w:pPr>
              <w:spacing w:after="0" w:line="191" w:lineRule="exact"/>
              <w:rPr>
                <w:rFonts w:ascii="Arial" w:cs="Arial" w:eastAsia="Arial" w:hAnsi="Arial"/>
                <w:sz w:val="18"/>
                <w:szCs w:val="18"/>
                <w:u w:val="single" w:color="auto"/>
                <w:color w:val="auto"/>
              </w:rPr>
            </w:pPr>
            <w:hyperlink r:id="rId172">
              <w:r>
                <w:rPr>
                  <w:rFonts w:ascii="Arial" w:cs="Arial" w:eastAsia="Arial" w:hAnsi="Arial"/>
                  <w:sz w:val="18"/>
                  <w:szCs w:val="18"/>
                  <w:u w:val="single" w:color="auto"/>
                  <w:color w:val="auto"/>
                </w:rPr>
                <w:t>Confidential Intellectual Property</w:t>
              </w:r>
            </w:hyperlink>
          </w:p>
        </w:tc>
        <w:tc>
          <w:tcPr>
            <w:tcW w:w="1140" w:type="dxa"/>
            <w:vAlign w:val="bottom"/>
          </w:tcPr>
          <w:p>
            <w:pPr>
              <w:jc w:val="center"/>
              <w:spacing w:after="0" w:line="191" w:lineRule="exact"/>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line="191" w:lineRule="exact"/>
              <w:rPr>
                <w:sz w:val="20"/>
                <w:szCs w:val="20"/>
                <w:color w:val="auto"/>
              </w:rPr>
            </w:pPr>
            <w:r>
              <w:rPr>
                <w:rFonts w:ascii="Arial" w:cs="Arial" w:eastAsia="Arial" w:hAnsi="Arial"/>
                <w:sz w:val="18"/>
                <w:szCs w:val="18"/>
                <w:color w:val="auto"/>
                <w:w w:val="89"/>
              </w:rPr>
              <w:t>333-191601</w:t>
            </w:r>
          </w:p>
        </w:tc>
        <w:tc>
          <w:tcPr>
            <w:tcW w:w="1360" w:type="dxa"/>
            <w:vAlign w:val="bottom"/>
          </w:tcPr>
          <w:p>
            <w:pPr>
              <w:jc w:val="center"/>
              <w:spacing w:after="0" w:line="191" w:lineRule="exact"/>
              <w:rPr>
                <w:sz w:val="20"/>
                <w:szCs w:val="20"/>
                <w:color w:val="auto"/>
              </w:rPr>
            </w:pPr>
            <w:r>
              <w:rPr>
                <w:rFonts w:ascii="Arial" w:cs="Arial" w:eastAsia="Arial" w:hAnsi="Arial"/>
                <w:sz w:val="18"/>
                <w:szCs w:val="18"/>
                <w:color w:val="auto"/>
                <w:w w:val="94"/>
              </w:rPr>
              <w:t>8-Nov-13</w:t>
            </w:r>
          </w:p>
        </w:tc>
        <w:tc>
          <w:tcPr>
            <w:tcW w:w="2560" w:type="dxa"/>
            <w:vAlign w:val="bottom"/>
          </w:tcPr>
          <w:p>
            <w:pPr>
              <w:jc w:val="center"/>
              <w:ind w:right="1150"/>
              <w:spacing w:after="0" w:line="191" w:lineRule="exact"/>
              <w:rPr>
                <w:sz w:val="20"/>
                <w:szCs w:val="20"/>
                <w:color w:val="auto"/>
              </w:rPr>
            </w:pPr>
            <w:r>
              <w:rPr>
                <w:rFonts w:ascii="Arial" w:cs="Arial" w:eastAsia="Arial" w:hAnsi="Arial"/>
                <w:sz w:val="18"/>
                <w:szCs w:val="18"/>
                <w:color w:val="auto"/>
                <w:w w:val="88"/>
              </w:rPr>
              <w:t>10.20</w:t>
            </w:r>
          </w:p>
        </w:tc>
      </w:tr>
    </w:tbl>
    <w:p>
      <w:pPr>
        <w:ind w:left="1380"/>
        <w:spacing w:after="0" w:line="203" w:lineRule="auto"/>
        <w:rPr>
          <w:rFonts w:ascii="Arial" w:cs="Arial" w:eastAsia="Arial" w:hAnsi="Arial"/>
          <w:sz w:val="18"/>
          <w:szCs w:val="18"/>
          <w:u w:val="single" w:color="auto"/>
          <w:color w:val="auto"/>
        </w:rPr>
      </w:pPr>
      <w:hyperlink r:id="rId172">
        <w:r>
          <w:rPr>
            <w:rFonts w:ascii="Arial" w:cs="Arial" w:eastAsia="Arial" w:hAnsi="Arial"/>
            <w:sz w:val="18"/>
            <w:szCs w:val="18"/>
            <w:u w:val="single" w:color="auto"/>
            <w:color w:val="auto"/>
          </w:rPr>
          <w:t>Agreement, dated July 10, 2012, by and</w:t>
        </w:r>
      </w:hyperlink>
    </w:p>
    <w:p>
      <w:pPr>
        <w:ind w:left="1380"/>
        <w:spacing w:after="0" w:line="219" w:lineRule="auto"/>
        <w:rPr>
          <w:rFonts w:ascii="Arial" w:cs="Arial" w:eastAsia="Arial" w:hAnsi="Arial"/>
          <w:sz w:val="18"/>
          <w:szCs w:val="18"/>
          <w:u w:val="single" w:color="auto"/>
          <w:color w:val="auto"/>
        </w:rPr>
      </w:pPr>
      <w:hyperlink r:id="rId172">
        <w:r>
          <w:rPr>
            <w:rFonts w:ascii="Arial" w:cs="Arial" w:eastAsia="Arial" w:hAnsi="Arial"/>
            <w:sz w:val="18"/>
            <w:szCs w:val="18"/>
            <w:u w:val="single" w:color="auto"/>
            <w:color w:val="auto"/>
          </w:rPr>
          <w:t>between Tandem Diabetes Care, Inc. and</w:t>
        </w:r>
      </w:hyperlink>
    </w:p>
    <w:p>
      <w:pPr>
        <w:spacing w:after="0" w:line="1" w:lineRule="exact"/>
        <w:rPr>
          <w:sz w:val="20"/>
          <w:szCs w:val="20"/>
          <w:color w:val="auto"/>
        </w:rPr>
      </w:pPr>
    </w:p>
    <w:p>
      <w:pPr>
        <w:ind w:left="1380"/>
        <w:spacing w:after="0"/>
        <w:rPr>
          <w:rFonts w:ascii="Arial" w:cs="Arial" w:eastAsia="Arial" w:hAnsi="Arial"/>
          <w:sz w:val="18"/>
          <w:szCs w:val="18"/>
          <w:u w:val="single" w:color="auto"/>
          <w:color w:val="auto"/>
        </w:rPr>
      </w:pPr>
      <w:hyperlink r:id="rId172">
        <w:r>
          <w:rPr>
            <w:rFonts w:ascii="Arial" w:cs="Arial" w:eastAsia="Arial" w:hAnsi="Arial"/>
            <w:sz w:val="18"/>
            <w:szCs w:val="18"/>
            <w:u w:val="single" w:color="auto"/>
            <w:color w:val="auto"/>
          </w:rPr>
          <w:t>Smiths Medical ASD, Inc.</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8"/>
              </w:rPr>
              <w:t>10.21**</w:t>
            </w:r>
          </w:p>
        </w:tc>
        <w:tc>
          <w:tcPr>
            <w:tcW w:w="3480" w:type="dxa"/>
            <w:vAlign w:val="bottom"/>
            <w:gridSpan w:val="43"/>
            <w:shd w:val="clear" w:color="auto" w:fill="CCEEFF"/>
          </w:tcPr>
          <w:p>
            <w:pPr>
              <w:spacing w:after="0"/>
              <w:rPr>
                <w:rFonts w:ascii="Arial" w:cs="Arial" w:eastAsia="Arial" w:hAnsi="Arial"/>
                <w:sz w:val="18"/>
                <w:szCs w:val="18"/>
                <w:color w:val="auto"/>
                <w:w w:val="95"/>
              </w:rPr>
            </w:pPr>
            <w:hyperlink r:id="rId174">
              <w:r>
                <w:rPr>
                  <w:rFonts w:ascii="Arial" w:cs="Arial" w:eastAsia="Arial" w:hAnsi="Arial"/>
                  <w:sz w:val="18"/>
                  <w:szCs w:val="18"/>
                  <w:color w:val="auto"/>
                  <w:w w:val="95"/>
                </w:rPr>
                <w:t>Development Agreement, dated June 4, 2015</w:t>
              </w:r>
            </w:hyperlink>
          </w:p>
        </w:tc>
        <w:tc>
          <w:tcPr>
            <w:tcW w:w="11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10-Q/A</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001-36189</w:t>
            </w:r>
          </w:p>
        </w:tc>
        <w:tc>
          <w:tcPr>
            <w:tcW w:w="1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9-Nov-18</w:t>
            </w:r>
          </w:p>
        </w:tc>
        <w:tc>
          <w:tcPr>
            <w:tcW w:w="24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85"/>
              </w:rPr>
              <w:t>10.5</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gridSpan w:val="39"/>
            <w:shd w:val="clear" w:color="auto" w:fill="CCEEFF"/>
          </w:tcPr>
          <w:p>
            <w:pPr>
              <w:spacing w:after="0" w:line="156" w:lineRule="exact"/>
              <w:rPr>
                <w:rFonts w:ascii="Arial" w:cs="Arial" w:eastAsia="Arial" w:hAnsi="Arial"/>
                <w:sz w:val="18"/>
                <w:szCs w:val="18"/>
                <w:color w:val="auto"/>
                <w:w w:val="90"/>
              </w:rPr>
            </w:pPr>
            <w:hyperlink r:id="rId174">
              <w:r>
                <w:rPr>
                  <w:rFonts w:ascii="Arial" w:cs="Arial" w:eastAsia="Arial" w:hAnsi="Arial"/>
                  <w:sz w:val="18"/>
                  <w:szCs w:val="18"/>
                  <w:color w:val="auto"/>
                  <w:w w:val="90"/>
                </w:rPr>
                <w:t>by and between Tandem Diabetes Care, Inc.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auto"/>
            </w:tcBorders>
            <w:gridSpan w:val="8"/>
            <w:shd w:val="clear" w:color="auto" w:fill="CCEEFF"/>
          </w:tcPr>
          <w:p>
            <w:pPr>
              <w:spacing w:after="0" w:line="156" w:lineRule="exact"/>
              <w:rPr>
                <w:rFonts w:ascii="Arial" w:cs="Arial" w:eastAsia="Arial" w:hAnsi="Arial"/>
                <w:sz w:val="18"/>
                <w:szCs w:val="18"/>
                <w:color w:val="auto"/>
                <w:w w:val="90"/>
              </w:rPr>
            </w:pPr>
            <w:hyperlink r:id="rId174">
              <w:r>
                <w:rPr>
                  <w:rFonts w:ascii="Arial" w:cs="Arial" w:eastAsia="Arial" w:hAnsi="Arial"/>
                  <w:sz w:val="18"/>
                  <w:szCs w:val="18"/>
                  <w:color w:val="auto"/>
                  <w:w w:val="90"/>
                </w:rPr>
                <w:t>and DexCom, Inc.</w:t>
              </w:r>
            </w:hyperlink>
          </w:p>
        </w:tc>
        <w:tc>
          <w:tcPr>
            <w:tcW w:w="1860" w:type="dxa"/>
            <w:vAlign w:val="bottom"/>
            <w:tcBorders>
              <w:top w:val="single" w:sz="8" w:color="auto"/>
              <w:bottom w:val="single" w:sz="8" w:color="CCEEFF"/>
            </w:tcBorders>
            <w:gridSpan w:val="2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277"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10.22†</w:t>
            </w:r>
          </w:p>
        </w:tc>
        <w:tc>
          <w:tcPr>
            <w:tcW w:w="3480" w:type="dxa"/>
            <w:vAlign w:val="bottom"/>
            <w:gridSpan w:val="43"/>
          </w:tcPr>
          <w:p>
            <w:pPr>
              <w:spacing w:after="0" w:line="189" w:lineRule="exact"/>
              <w:rPr>
                <w:rFonts w:ascii="Arial" w:cs="Arial" w:eastAsia="Arial" w:hAnsi="Arial"/>
                <w:sz w:val="18"/>
                <w:szCs w:val="18"/>
                <w:color w:val="auto"/>
              </w:rPr>
            </w:pPr>
            <w:hyperlink r:id="rId175">
              <w:r>
                <w:rPr>
                  <w:rFonts w:ascii="Arial" w:cs="Arial" w:eastAsia="Arial" w:hAnsi="Arial"/>
                  <w:sz w:val="18"/>
                  <w:szCs w:val="18"/>
                  <w:color w:val="auto"/>
                </w:rPr>
                <w:t>Development Agreement, dated November</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24-Feb-21</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93"/>
              </w:rPr>
              <w:t>10.24</w:t>
            </w:r>
          </w:p>
        </w:tc>
      </w:tr>
      <w:tr>
        <w:trPr>
          <w:trHeight w:val="169"/>
        </w:trPr>
        <w:tc>
          <w:tcPr>
            <w:tcW w:w="1380" w:type="dxa"/>
            <w:vAlign w:val="bottom"/>
          </w:tcPr>
          <w:p>
            <w:pPr>
              <w:spacing w:after="0"/>
              <w:rPr>
                <w:sz w:val="14"/>
                <w:szCs w:val="14"/>
                <w:color w:val="auto"/>
              </w:rPr>
            </w:pPr>
          </w:p>
        </w:tc>
        <w:tc>
          <w:tcPr>
            <w:tcW w:w="3160" w:type="dxa"/>
            <w:vAlign w:val="bottom"/>
            <w:tcBorders>
              <w:top w:val="single" w:sz="8" w:color="auto"/>
              <w:bottom w:val="single" w:sz="8" w:color="auto"/>
            </w:tcBorders>
            <w:gridSpan w:val="29"/>
          </w:tcPr>
          <w:p>
            <w:pPr>
              <w:spacing w:after="0" w:line="169" w:lineRule="exact"/>
              <w:rPr>
                <w:rFonts w:ascii="Arial" w:cs="Arial" w:eastAsia="Arial" w:hAnsi="Arial"/>
                <w:sz w:val="18"/>
                <w:szCs w:val="18"/>
                <w:color w:val="auto"/>
                <w:w w:val="88"/>
              </w:rPr>
            </w:pPr>
            <w:hyperlink r:id="rId175">
              <w:r>
                <w:rPr>
                  <w:rFonts w:ascii="Arial" w:cs="Arial" w:eastAsia="Arial" w:hAnsi="Arial"/>
                  <w:sz w:val="18"/>
                  <w:szCs w:val="18"/>
                  <w:color w:val="auto"/>
                  <w:w w:val="88"/>
                </w:rPr>
                <w:t>20, 2020, by and between Tandem Diabetes</w:t>
              </w:r>
            </w:hyperlink>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80" w:type="dxa"/>
            <w:vAlign w:val="bottom"/>
            <w:gridSpan w:val="30"/>
          </w:tcPr>
          <w:p>
            <w:pPr>
              <w:spacing w:after="0" w:line="169" w:lineRule="exact"/>
              <w:rPr>
                <w:rFonts w:ascii="Arial" w:cs="Arial" w:eastAsia="Arial" w:hAnsi="Arial"/>
                <w:sz w:val="18"/>
                <w:szCs w:val="18"/>
                <w:color w:val="auto"/>
              </w:rPr>
            </w:pPr>
            <w:hyperlink r:id="rId175">
              <w:r>
                <w:rPr>
                  <w:rFonts w:ascii="Arial" w:cs="Arial" w:eastAsia="Arial" w:hAnsi="Arial"/>
                  <w:sz w:val="18"/>
                  <w:szCs w:val="18"/>
                  <w:color w:val="auto"/>
                </w:rPr>
                <w:t>Care, Inc. and DexCom,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8"/>
        </w:trPr>
        <w:tc>
          <w:tcPr>
            <w:tcW w:w="13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5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10.23†</w:t>
            </w:r>
          </w:p>
        </w:tc>
        <w:tc>
          <w:tcPr>
            <w:tcW w:w="3480" w:type="dxa"/>
            <w:vAlign w:val="bottom"/>
            <w:gridSpan w:val="43"/>
            <w:shd w:val="clear" w:color="auto" w:fill="CCEEFF"/>
          </w:tcPr>
          <w:p>
            <w:pPr>
              <w:spacing w:after="0" w:line="189" w:lineRule="exact"/>
              <w:rPr>
                <w:rFonts w:ascii="Arial" w:cs="Arial" w:eastAsia="Arial" w:hAnsi="Arial"/>
                <w:sz w:val="18"/>
                <w:szCs w:val="18"/>
                <w:color w:val="auto"/>
              </w:rPr>
            </w:pPr>
            <w:hyperlink r:id="rId176">
              <w:r>
                <w:rPr>
                  <w:rFonts w:ascii="Arial" w:cs="Arial" w:eastAsia="Arial" w:hAnsi="Arial"/>
                  <w:sz w:val="18"/>
                  <w:szCs w:val="18"/>
                  <w:color w:val="auto"/>
                </w:rPr>
                <w:t>Commercialization Agreement, dated</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9"/>
              </w:rPr>
              <w:t>24-Feb-21</w:t>
            </w:r>
          </w:p>
        </w:tc>
        <w:tc>
          <w:tcPr>
            <w:tcW w:w="2420" w:type="dxa"/>
            <w:vAlign w:val="bottom"/>
            <w:shd w:val="clear" w:color="auto" w:fill="CCEEFF"/>
          </w:tcPr>
          <w:p>
            <w:pPr>
              <w:jc w:val="center"/>
              <w:ind w:right="1270"/>
              <w:spacing w:after="0" w:line="189" w:lineRule="exact"/>
              <w:rPr>
                <w:sz w:val="20"/>
                <w:szCs w:val="20"/>
                <w:color w:val="auto"/>
              </w:rPr>
            </w:pPr>
            <w:r>
              <w:rPr>
                <w:rFonts w:ascii="Arial" w:cs="Arial" w:eastAsia="Arial" w:hAnsi="Arial"/>
                <w:sz w:val="18"/>
                <w:szCs w:val="18"/>
                <w:color w:val="auto"/>
                <w:w w:val="93"/>
              </w:rPr>
              <w:t>10.25</w:t>
            </w: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2700" w:type="dxa"/>
            <w:vAlign w:val="bottom"/>
            <w:tcBorders>
              <w:top w:val="single" w:sz="8" w:color="auto"/>
            </w:tcBorders>
            <w:gridSpan w:val="15"/>
            <w:shd w:val="clear" w:color="auto" w:fill="CCEEFF"/>
          </w:tcPr>
          <w:p>
            <w:pPr>
              <w:spacing w:after="0" w:line="169" w:lineRule="exact"/>
              <w:rPr>
                <w:rFonts w:ascii="Arial" w:cs="Arial" w:eastAsia="Arial" w:hAnsi="Arial"/>
                <w:sz w:val="18"/>
                <w:szCs w:val="18"/>
                <w:color w:val="auto"/>
                <w:w w:val="90"/>
              </w:rPr>
            </w:pPr>
            <w:hyperlink r:id="rId176">
              <w:r>
                <w:rPr>
                  <w:rFonts w:ascii="Arial" w:cs="Arial" w:eastAsia="Arial" w:hAnsi="Arial"/>
                  <w:sz w:val="18"/>
                  <w:szCs w:val="18"/>
                  <w:color w:val="auto"/>
                  <w:w w:val="90"/>
                </w:rPr>
                <w:t>November 20, 2020, by and between</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57"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CCEEFF"/>
            </w:tcBorders>
            <w:shd w:val="clear" w:color="auto" w:fill="CCEEFF"/>
          </w:tcPr>
          <w:p>
            <w:pPr>
              <w:spacing w:after="0"/>
              <w:rPr>
                <w:sz w:val="14"/>
                <w:szCs w:val="14"/>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57"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77"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3480" w:type="dxa"/>
            <w:vAlign w:val="bottom"/>
            <w:gridSpan w:val="43"/>
            <w:shd w:val="clear" w:color="auto" w:fill="CCEEFF"/>
          </w:tcPr>
          <w:p>
            <w:pPr>
              <w:spacing w:after="0" w:line="169" w:lineRule="exact"/>
              <w:rPr>
                <w:rFonts w:ascii="Arial" w:cs="Arial" w:eastAsia="Arial" w:hAnsi="Arial"/>
                <w:sz w:val="18"/>
                <w:szCs w:val="18"/>
                <w:color w:val="auto"/>
              </w:rPr>
            </w:pPr>
            <w:hyperlink r:id="rId176">
              <w:r>
                <w:rPr>
                  <w:rFonts w:ascii="Arial" w:cs="Arial" w:eastAsia="Arial" w:hAnsi="Arial"/>
                  <w:sz w:val="18"/>
                  <w:szCs w:val="18"/>
                  <w:color w:val="auto"/>
                </w:rPr>
                <w:t>Tandem Diabetes Care, Inc. and DexCom,</w:t>
              </w:r>
            </w:hyperlink>
          </w:p>
        </w:tc>
        <w:tc>
          <w:tcPr>
            <w:tcW w:w="1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r>
      <w:tr>
        <w:trPr>
          <w:trHeight w:val="217"/>
        </w:trPr>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line="169" w:lineRule="exact"/>
              <w:rPr>
                <w:rFonts w:ascii="Arial" w:cs="Arial" w:eastAsia="Arial" w:hAnsi="Arial"/>
                <w:sz w:val="18"/>
                <w:szCs w:val="18"/>
                <w:color w:val="auto"/>
                <w:w w:val="89"/>
              </w:rPr>
            </w:pPr>
            <w:hyperlink r:id="rId176">
              <w:r>
                <w:rPr>
                  <w:rFonts w:ascii="Arial" w:cs="Arial" w:eastAsia="Arial" w:hAnsi="Arial"/>
                  <w:sz w:val="18"/>
                  <w:szCs w:val="18"/>
                  <w:color w:val="auto"/>
                  <w:w w:val="89"/>
                </w:rPr>
                <w:t>Inc.</w:t>
              </w:r>
            </w:hyperlink>
          </w:p>
        </w:tc>
        <w:tc>
          <w:tcPr>
            <w:tcW w:w="2780" w:type="dxa"/>
            <w:vAlign w:val="bottom"/>
            <w:tcBorders>
              <w:top w:val="single" w:sz="8" w:color="auto"/>
              <w:bottom w:val="single" w:sz="8" w:color="CCEEFF"/>
            </w:tcBorders>
            <w:gridSpan w:val="2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257"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277"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10.24</w:t>
            </w:r>
          </w:p>
        </w:tc>
        <w:tc>
          <w:tcPr>
            <w:tcW w:w="3120" w:type="dxa"/>
            <w:vAlign w:val="bottom"/>
            <w:tcBorders>
              <w:bottom w:val="single" w:sz="8" w:color="auto"/>
            </w:tcBorders>
            <w:gridSpan w:val="27"/>
          </w:tcPr>
          <w:p>
            <w:pPr>
              <w:spacing w:after="0" w:line="189" w:lineRule="exact"/>
              <w:rPr>
                <w:rFonts w:ascii="Arial" w:cs="Arial" w:eastAsia="Arial" w:hAnsi="Arial"/>
                <w:sz w:val="18"/>
                <w:szCs w:val="18"/>
                <w:color w:val="auto"/>
                <w:w w:val="89"/>
              </w:rPr>
            </w:pPr>
            <w:hyperlink r:id="rId177">
              <w:r>
                <w:rPr>
                  <w:rFonts w:ascii="Arial" w:cs="Arial" w:eastAsia="Arial" w:hAnsi="Arial"/>
                  <w:sz w:val="18"/>
                  <w:szCs w:val="18"/>
                  <w:color w:val="auto"/>
                  <w:w w:val="89"/>
                </w:rPr>
                <w:t>Lease Agreement, dated March 7, 2012, as</w:t>
              </w:r>
            </w:hyperlink>
          </w:p>
        </w:tc>
        <w:tc>
          <w:tcPr>
            <w:tcW w:w="360" w:type="dxa"/>
            <w:vAlign w:val="bottom"/>
            <w:gridSpan w:val="16"/>
          </w:tcPr>
          <w:p>
            <w:pPr>
              <w:spacing w:after="0"/>
              <w:rPr>
                <w:sz w:val="16"/>
                <w:szCs w:val="16"/>
                <w:color w:val="auto"/>
              </w:rPr>
            </w:pPr>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1"/>
              </w:rPr>
              <w:t>333-191601</w:t>
            </w:r>
          </w:p>
        </w:tc>
        <w:tc>
          <w:tcPr>
            <w:tcW w:w="15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8-Nov-13</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85"/>
              </w:rPr>
              <w:t>10.1</w:t>
            </w:r>
          </w:p>
        </w:tc>
      </w:tr>
      <w:tr>
        <w:trPr>
          <w:trHeight w:val="155"/>
        </w:trPr>
        <w:tc>
          <w:tcPr>
            <w:tcW w:w="1380" w:type="dxa"/>
            <w:vAlign w:val="bottom"/>
          </w:tcPr>
          <w:p>
            <w:pPr>
              <w:spacing w:after="0"/>
              <w:rPr>
                <w:sz w:val="13"/>
                <w:szCs w:val="13"/>
                <w:color w:val="auto"/>
              </w:rPr>
            </w:pPr>
          </w:p>
        </w:tc>
        <w:tc>
          <w:tcPr>
            <w:tcW w:w="3480" w:type="dxa"/>
            <w:vAlign w:val="bottom"/>
            <w:gridSpan w:val="43"/>
          </w:tcPr>
          <w:p>
            <w:pPr>
              <w:spacing w:after="0" w:line="156" w:lineRule="exact"/>
              <w:rPr>
                <w:rFonts w:ascii="Arial" w:cs="Arial" w:eastAsia="Arial" w:hAnsi="Arial"/>
                <w:sz w:val="18"/>
                <w:szCs w:val="18"/>
                <w:color w:val="auto"/>
                <w:w w:val="96"/>
              </w:rPr>
            </w:pPr>
            <w:hyperlink r:id="rId177">
              <w:r>
                <w:rPr>
                  <w:rFonts w:ascii="Arial" w:cs="Arial" w:eastAsia="Arial" w:hAnsi="Arial"/>
                  <w:sz w:val="18"/>
                  <w:szCs w:val="18"/>
                  <w:color w:val="auto"/>
                  <w:w w:val="96"/>
                </w:rPr>
                <w:t>amended through November 5, 2013, by and</w:t>
              </w:r>
            </w:hyperlink>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20" w:type="dxa"/>
            <w:vAlign w:val="bottom"/>
            <w:tcBorders>
              <w:top w:val="single" w:sz="8" w:color="auto"/>
            </w:tcBorders>
            <w:gridSpan w:val="37"/>
          </w:tcPr>
          <w:p>
            <w:pPr>
              <w:spacing w:after="0" w:line="156" w:lineRule="exact"/>
              <w:rPr>
                <w:rFonts w:ascii="Arial" w:cs="Arial" w:eastAsia="Arial" w:hAnsi="Arial"/>
                <w:sz w:val="18"/>
                <w:szCs w:val="18"/>
                <w:color w:val="auto"/>
                <w:w w:val="96"/>
              </w:rPr>
            </w:pPr>
            <w:hyperlink r:id="rId177">
              <w:r>
                <w:rPr>
                  <w:rFonts w:ascii="Arial" w:cs="Arial" w:eastAsia="Arial" w:hAnsi="Arial"/>
                  <w:sz w:val="18"/>
                  <w:szCs w:val="18"/>
                  <w:color w:val="auto"/>
                  <w:w w:val="96"/>
                </w:rPr>
                <w:t>between Tandem Diabetes Care, Inc. 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2940" w:type="dxa"/>
            <w:vAlign w:val="bottom"/>
            <w:tcBorders>
              <w:top w:val="single" w:sz="8" w:color="auto"/>
            </w:tcBorders>
            <w:gridSpan w:val="19"/>
          </w:tcPr>
          <w:p>
            <w:pPr>
              <w:spacing w:after="0" w:line="169" w:lineRule="exact"/>
              <w:rPr>
                <w:rFonts w:ascii="Arial" w:cs="Arial" w:eastAsia="Arial" w:hAnsi="Arial"/>
                <w:sz w:val="18"/>
                <w:szCs w:val="18"/>
                <w:color w:val="auto"/>
                <w:w w:val="92"/>
              </w:rPr>
            </w:pPr>
            <w:hyperlink r:id="rId177">
              <w:r>
                <w:rPr>
                  <w:rFonts w:ascii="Arial" w:cs="Arial" w:eastAsia="Arial" w:hAnsi="Arial"/>
                  <w:sz w:val="18"/>
                  <w:szCs w:val="18"/>
                  <w:color w:val="auto"/>
                  <w:w w:val="92"/>
                </w:rPr>
                <w:t>ARE-11025/11075 Roselle Street, LLC.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10.25</w:t>
            </w:r>
          </w:p>
        </w:tc>
        <w:tc>
          <w:tcPr>
            <w:tcW w:w="3480" w:type="dxa"/>
            <w:vAlign w:val="bottom"/>
            <w:gridSpan w:val="43"/>
            <w:shd w:val="clear" w:color="auto" w:fill="CCEEFF"/>
          </w:tcPr>
          <w:p>
            <w:pPr>
              <w:spacing w:after="0" w:line="189" w:lineRule="exact"/>
              <w:rPr>
                <w:rFonts w:ascii="Arial" w:cs="Arial" w:eastAsia="Arial" w:hAnsi="Arial"/>
                <w:sz w:val="18"/>
                <w:szCs w:val="18"/>
                <w:color w:val="auto"/>
              </w:rPr>
            </w:pPr>
            <w:hyperlink r:id="rId178">
              <w:r>
                <w:rPr>
                  <w:rFonts w:ascii="Arial" w:cs="Arial" w:eastAsia="Arial" w:hAnsi="Arial"/>
                  <w:sz w:val="18"/>
                  <w:szCs w:val="18"/>
                  <w:color w:val="auto"/>
                </w:rPr>
                <w:t>Fourth Amendment to Lease, dated</w:t>
              </w:r>
            </w:hyperlink>
          </w:p>
        </w:tc>
        <w:tc>
          <w:tcPr>
            <w:tcW w:w="114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7"/>
              </w:rPr>
              <w:t>3-Jan-18</w:t>
            </w:r>
          </w:p>
        </w:tc>
        <w:tc>
          <w:tcPr>
            <w:tcW w:w="2420" w:type="dxa"/>
            <w:vAlign w:val="bottom"/>
            <w:shd w:val="clear" w:color="auto" w:fill="CCEEFF"/>
          </w:tcPr>
          <w:p>
            <w:pPr>
              <w:jc w:val="center"/>
              <w:ind w:right="1270"/>
              <w:spacing w:after="0" w:line="189" w:lineRule="exact"/>
              <w:rPr>
                <w:sz w:val="20"/>
                <w:szCs w:val="20"/>
                <w:color w:val="auto"/>
              </w:rPr>
            </w:pPr>
            <w:r>
              <w:rPr>
                <w:rFonts w:ascii="Arial" w:cs="Arial" w:eastAsia="Arial" w:hAnsi="Arial"/>
                <w:sz w:val="18"/>
                <w:szCs w:val="18"/>
                <w:color w:val="auto"/>
                <w:w w:val="85"/>
              </w:rPr>
              <w:t>10.2</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auto"/>
            </w:tcBorders>
            <w:gridSpan w:val="13"/>
            <w:shd w:val="clear" w:color="auto" w:fill="CCEEFF"/>
          </w:tcPr>
          <w:p>
            <w:pPr>
              <w:spacing w:after="0" w:line="156" w:lineRule="exact"/>
              <w:rPr>
                <w:rFonts w:ascii="Arial" w:cs="Arial" w:eastAsia="Arial" w:hAnsi="Arial"/>
                <w:sz w:val="18"/>
                <w:szCs w:val="18"/>
                <w:color w:val="auto"/>
                <w:w w:val="85"/>
              </w:rPr>
            </w:pPr>
            <w:hyperlink r:id="rId178">
              <w:r>
                <w:rPr>
                  <w:rFonts w:ascii="Arial" w:cs="Arial" w:eastAsia="Arial" w:hAnsi="Arial"/>
                  <w:sz w:val="18"/>
                  <w:szCs w:val="18"/>
                  <w:color w:val="auto"/>
                  <w:w w:val="85"/>
                </w:rPr>
                <w:t>December 27, 2017, by and between</w:t>
              </w:r>
            </w:hyperlink>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840" w:type="dxa"/>
            <w:vAlign w:val="bottom"/>
            <w:tcBorders>
              <w:top w:val="single" w:sz="8" w:color="CCEEFF"/>
            </w:tcBorders>
            <w:gridSpan w:val="29"/>
            <w:shd w:val="clear" w:color="auto" w:fill="CCEEFF"/>
          </w:tcPr>
          <w:p>
            <w:pPr>
              <w:ind w:left="40"/>
              <w:spacing w:after="0" w:line="156" w:lineRule="exact"/>
              <w:rPr>
                <w:rFonts w:ascii="Arial" w:cs="Arial" w:eastAsia="Arial" w:hAnsi="Arial"/>
                <w:sz w:val="18"/>
                <w:szCs w:val="18"/>
                <w:color w:val="auto"/>
              </w:rPr>
            </w:pPr>
            <w:hyperlink r:id="rId178">
              <w:r>
                <w:rPr>
                  <w:rFonts w:ascii="Arial" w:cs="Arial" w:eastAsia="Arial" w:hAnsi="Arial"/>
                  <w:sz w:val="18"/>
                  <w:szCs w:val="18"/>
                  <w:color w:val="auto"/>
                </w:rPr>
                <w:t>Tandem</w:t>
              </w:r>
            </w:hyperlink>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3300" w:type="dxa"/>
            <w:vAlign w:val="bottom"/>
            <w:tcBorders>
              <w:top w:val="single" w:sz="8" w:color="auto"/>
            </w:tcBorders>
            <w:gridSpan w:val="41"/>
            <w:shd w:val="clear" w:color="auto" w:fill="CCEEFF"/>
          </w:tcPr>
          <w:p>
            <w:pPr>
              <w:spacing w:after="0" w:line="156" w:lineRule="exact"/>
              <w:rPr>
                <w:rFonts w:ascii="Arial" w:cs="Arial" w:eastAsia="Arial" w:hAnsi="Arial"/>
                <w:sz w:val="18"/>
                <w:szCs w:val="18"/>
                <w:color w:val="auto"/>
                <w:w w:val="95"/>
              </w:rPr>
            </w:pPr>
            <w:hyperlink r:id="rId178">
              <w:r>
                <w:rPr>
                  <w:rFonts w:ascii="Arial" w:cs="Arial" w:eastAsia="Arial" w:hAnsi="Arial"/>
                  <w:sz w:val="18"/>
                  <w:szCs w:val="18"/>
                  <w:color w:val="auto"/>
                  <w:w w:val="95"/>
                </w:rPr>
                <w:t>Diabetes Care, Inc. and ARE-11025/11075</w:t>
              </w:r>
            </w:hyperlink>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gridSpan w:val="9"/>
            <w:shd w:val="clear" w:color="auto" w:fill="CCEEFF"/>
          </w:tcPr>
          <w:p>
            <w:pPr>
              <w:spacing w:after="0" w:line="169" w:lineRule="exact"/>
              <w:rPr>
                <w:rFonts w:ascii="Arial" w:cs="Arial" w:eastAsia="Arial" w:hAnsi="Arial"/>
                <w:sz w:val="18"/>
                <w:szCs w:val="18"/>
                <w:color w:val="auto"/>
                <w:w w:val="90"/>
              </w:rPr>
            </w:pPr>
            <w:hyperlink r:id="rId178">
              <w:r>
                <w:rPr>
                  <w:rFonts w:ascii="Arial" w:cs="Arial" w:eastAsia="Arial" w:hAnsi="Arial"/>
                  <w:sz w:val="18"/>
                  <w:szCs w:val="18"/>
                  <w:color w:val="auto"/>
                  <w:w w:val="90"/>
                </w:rPr>
                <w:t>Roselle Street, LLC</w:t>
              </w:r>
            </w:hyperlink>
          </w:p>
        </w:tc>
        <w:tc>
          <w:tcPr>
            <w:tcW w:w="1700" w:type="dxa"/>
            <w:vAlign w:val="bottom"/>
            <w:tcBorders>
              <w:top w:val="single" w:sz="8" w:color="auto"/>
              <w:bottom w:val="single" w:sz="8" w:color="CCEEFF"/>
            </w:tcBorders>
            <w:gridSpan w:val="19"/>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257"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277"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10.26</w:t>
            </w:r>
          </w:p>
        </w:tc>
        <w:tc>
          <w:tcPr>
            <w:tcW w:w="3480" w:type="dxa"/>
            <w:vAlign w:val="bottom"/>
            <w:gridSpan w:val="43"/>
          </w:tcPr>
          <w:p>
            <w:pPr>
              <w:spacing w:after="0" w:line="189" w:lineRule="exact"/>
              <w:rPr>
                <w:rFonts w:ascii="Arial" w:cs="Arial" w:eastAsia="Arial" w:hAnsi="Arial"/>
                <w:sz w:val="18"/>
                <w:szCs w:val="18"/>
                <w:color w:val="auto"/>
                <w:w w:val="97"/>
              </w:rPr>
            </w:pPr>
            <w:hyperlink r:id="rId179">
              <w:r>
                <w:rPr>
                  <w:rFonts w:ascii="Arial" w:cs="Arial" w:eastAsia="Arial" w:hAnsi="Arial"/>
                  <w:sz w:val="18"/>
                  <w:szCs w:val="18"/>
                  <w:color w:val="auto"/>
                  <w:w w:val="97"/>
                </w:rPr>
                <w:t>Lease Agreement, dated November 5, 2013,</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1"/>
              </w:rPr>
              <w:t>333-191601</w:t>
            </w:r>
          </w:p>
        </w:tc>
        <w:tc>
          <w:tcPr>
            <w:tcW w:w="15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8-Nov-13</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93"/>
              </w:rPr>
              <w:t>10.21</w:t>
            </w:r>
          </w:p>
        </w:tc>
      </w:tr>
      <w:tr>
        <w:trPr>
          <w:trHeight w:val="156"/>
        </w:trPr>
        <w:tc>
          <w:tcPr>
            <w:tcW w:w="1380" w:type="dxa"/>
            <w:vAlign w:val="bottom"/>
          </w:tcPr>
          <w:p>
            <w:pPr>
              <w:spacing w:after="0"/>
              <w:rPr>
                <w:sz w:val="13"/>
                <w:szCs w:val="13"/>
                <w:color w:val="auto"/>
              </w:rPr>
            </w:pPr>
          </w:p>
        </w:tc>
        <w:tc>
          <w:tcPr>
            <w:tcW w:w="3220" w:type="dxa"/>
            <w:vAlign w:val="bottom"/>
            <w:tcBorders>
              <w:top w:val="single" w:sz="8" w:color="auto"/>
            </w:tcBorders>
            <w:gridSpan w:val="35"/>
          </w:tcPr>
          <w:p>
            <w:pPr>
              <w:spacing w:after="0" w:line="156" w:lineRule="exact"/>
              <w:rPr>
                <w:rFonts w:ascii="Arial" w:cs="Arial" w:eastAsia="Arial" w:hAnsi="Arial"/>
                <w:sz w:val="18"/>
                <w:szCs w:val="18"/>
                <w:color w:val="auto"/>
                <w:w w:val="89"/>
              </w:rPr>
            </w:pPr>
            <w:hyperlink r:id="rId179">
              <w:r>
                <w:rPr>
                  <w:rFonts w:ascii="Arial" w:cs="Arial" w:eastAsia="Arial" w:hAnsi="Arial"/>
                  <w:sz w:val="18"/>
                  <w:szCs w:val="18"/>
                  <w:color w:val="auto"/>
                  <w:w w:val="89"/>
                </w:rPr>
                <w:t>by and between Tandem Diabetes Care, Inc.</w:t>
              </w:r>
            </w:hyperlink>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00" w:type="dxa"/>
            <w:vAlign w:val="bottom"/>
            <w:tcBorders>
              <w:top w:val="single" w:sz="8" w:color="auto"/>
              <w:bottom w:val="single" w:sz="8" w:color="auto"/>
            </w:tcBorders>
            <w:gridSpan w:val="34"/>
          </w:tcPr>
          <w:p>
            <w:pPr>
              <w:spacing w:after="0" w:line="156" w:lineRule="exact"/>
              <w:rPr>
                <w:rFonts w:ascii="Arial" w:cs="Arial" w:eastAsia="Arial" w:hAnsi="Arial"/>
                <w:sz w:val="18"/>
                <w:szCs w:val="18"/>
                <w:color w:val="auto"/>
                <w:w w:val="91"/>
              </w:rPr>
            </w:pPr>
            <w:hyperlink r:id="rId179">
              <w:r>
                <w:rPr>
                  <w:rFonts w:ascii="Arial" w:cs="Arial" w:eastAsia="Arial" w:hAnsi="Arial"/>
                  <w:sz w:val="18"/>
                  <w:szCs w:val="18"/>
                  <w:color w:val="auto"/>
                  <w:w w:val="91"/>
                </w:rPr>
                <w:t>and ARE-11025/11075 Roselle Street, LLC.</w:t>
              </w:r>
            </w:hyperlink>
          </w:p>
        </w:tc>
        <w:tc>
          <w:tcPr>
            <w:tcW w:w="40" w:type="dxa"/>
            <w:vAlign w:val="bottom"/>
            <w:tcBorders>
              <w:bottom w:val="single" w:sz="8" w:color="auto"/>
            </w:tcBorders>
            <w:gridSpan w:val="2"/>
          </w:tcPr>
          <w:p>
            <w:pPr>
              <w:spacing w:after="0"/>
              <w:rPr>
                <w:sz w:val="13"/>
                <w:szCs w:val="13"/>
                <w:color w:val="auto"/>
              </w:rPr>
            </w:pPr>
          </w:p>
        </w:tc>
        <w:tc>
          <w:tcPr>
            <w:tcW w:w="4294967277"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10.27</w:t>
            </w:r>
          </w:p>
        </w:tc>
        <w:tc>
          <w:tcPr>
            <w:tcW w:w="3480" w:type="dxa"/>
            <w:vAlign w:val="bottom"/>
            <w:gridSpan w:val="43"/>
            <w:shd w:val="clear" w:color="auto" w:fill="CCEEFF"/>
          </w:tcPr>
          <w:p>
            <w:pPr>
              <w:spacing w:after="0" w:line="189" w:lineRule="exact"/>
              <w:rPr>
                <w:rFonts w:ascii="Arial" w:cs="Arial" w:eastAsia="Arial" w:hAnsi="Arial"/>
                <w:sz w:val="18"/>
                <w:szCs w:val="18"/>
                <w:color w:val="auto"/>
                <w:w w:val="97"/>
              </w:rPr>
            </w:pPr>
            <w:hyperlink r:id="rId180">
              <w:r>
                <w:rPr>
                  <w:rFonts w:ascii="Arial" w:cs="Arial" w:eastAsia="Arial" w:hAnsi="Arial"/>
                  <w:sz w:val="18"/>
                  <w:szCs w:val="18"/>
                  <w:color w:val="auto"/>
                  <w:w w:val="97"/>
                </w:rPr>
                <w:t>First Amendment to Lease, dated December</w:t>
              </w:r>
            </w:hyperlink>
          </w:p>
        </w:tc>
        <w:tc>
          <w:tcPr>
            <w:tcW w:w="114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7"/>
              </w:rPr>
              <w:t>3-Jan-18</w:t>
            </w:r>
          </w:p>
        </w:tc>
        <w:tc>
          <w:tcPr>
            <w:tcW w:w="2420" w:type="dxa"/>
            <w:vAlign w:val="bottom"/>
            <w:shd w:val="clear" w:color="auto" w:fill="CCEEFF"/>
          </w:tcPr>
          <w:p>
            <w:pPr>
              <w:jc w:val="center"/>
              <w:ind w:right="1270"/>
              <w:spacing w:after="0" w:line="189" w:lineRule="exact"/>
              <w:rPr>
                <w:sz w:val="20"/>
                <w:szCs w:val="20"/>
                <w:color w:val="auto"/>
              </w:rPr>
            </w:pPr>
            <w:r>
              <w:rPr>
                <w:rFonts w:ascii="Arial" w:cs="Arial" w:eastAsia="Arial" w:hAnsi="Arial"/>
                <w:sz w:val="18"/>
                <w:szCs w:val="18"/>
                <w:color w:val="auto"/>
                <w:w w:val="85"/>
              </w:rPr>
              <w:t>10.1</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220" w:type="dxa"/>
            <w:vAlign w:val="bottom"/>
            <w:tcBorders>
              <w:top w:val="single" w:sz="8" w:color="auto"/>
            </w:tcBorders>
            <w:gridSpan w:val="35"/>
            <w:shd w:val="clear" w:color="auto" w:fill="CCEEFF"/>
          </w:tcPr>
          <w:p>
            <w:pPr>
              <w:spacing w:after="0" w:line="156" w:lineRule="exact"/>
              <w:rPr>
                <w:rFonts w:ascii="Arial" w:cs="Arial" w:eastAsia="Arial" w:hAnsi="Arial"/>
                <w:sz w:val="18"/>
                <w:szCs w:val="18"/>
                <w:color w:val="auto"/>
                <w:w w:val="90"/>
              </w:rPr>
            </w:pPr>
            <w:hyperlink r:id="rId180">
              <w:r>
                <w:rPr>
                  <w:rFonts w:ascii="Arial" w:cs="Arial" w:eastAsia="Arial" w:hAnsi="Arial"/>
                  <w:sz w:val="18"/>
                  <w:szCs w:val="18"/>
                  <w:color w:val="auto"/>
                  <w:w w:val="90"/>
                </w:rPr>
                <w:t>27, 2017, by and between Tandem Diabetes</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180" w:type="dxa"/>
            <w:vAlign w:val="bottom"/>
            <w:tcBorders>
              <w:top w:val="single" w:sz="8" w:color="auto"/>
            </w:tcBorders>
            <w:gridSpan w:val="30"/>
            <w:shd w:val="clear" w:color="auto" w:fill="CCEEFF"/>
          </w:tcPr>
          <w:p>
            <w:pPr>
              <w:spacing w:after="0" w:line="156" w:lineRule="exact"/>
              <w:rPr>
                <w:rFonts w:ascii="Arial" w:cs="Arial" w:eastAsia="Arial" w:hAnsi="Arial"/>
                <w:sz w:val="18"/>
                <w:szCs w:val="18"/>
                <w:color w:val="auto"/>
                <w:w w:val="95"/>
              </w:rPr>
            </w:pPr>
            <w:hyperlink r:id="rId180">
              <w:r>
                <w:rPr>
                  <w:rFonts w:ascii="Arial" w:cs="Arial" w:eastAsia="Arial" w:hAnsi="Arial"/>
                  <w:sz w:val="18"/>
                  <w:szCs w:val="18"/>
                  <w:color w:val="auto"/>
                  <w:w w:val="95"/>
                </w:rPr>
                <w:t>Care, Inc. and ARE-11025/11075 Roselle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294967257"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69"/>
        </w:trPr>
        <w:tc>
          <w:tcPr>
            <w:tcW w:w="138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gridSpan w:val="21"/>
            <w:shd w:val="clear" w:color="auto" w:fill="CCEEFF"/>
          </w:tcPr>
          <w:p>
            <w:pPr>
              <w:spacing w:after="0" w:line="169" w:lineRule="exact"/>
              <w:rPr>
                <w:rFonts w:ascii="Arial" w:cs="Arial" w:eastAsia="Arial" w:hAnsi="Arial"/>
                <w:sz w:val="18"/>
                <w:szCs w:val="18"/>
                <w:color w:val="auto"/>
              </w:rPr>
            </w:pPr>
            <w:hyperlink r:id="rId180">
              <w:r>
                <w:rPr>
                  <w:rFonts w:ascii="Arial" w:cs="Arial" w:eastAsia="Arial" w:hAnsi="Arial"/>
                  <w:sz w:val="18"/>
                  <w:szCs w:val="18"/>
                  <w:color w:val="auto"/>
                </w:rPr>
                <w:t>Street, LLC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57"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2420" w:type="dxa"/>
            <w:vAlign w:val="bottom"/>
            <w:tcBorders>
              <w:top w:val="single" w:sz="8" w:color="CCEEFF"/>
            </w:tcBorders>
            <w:shd w:val="clear" w:color="auto" w:fill="CCEEFF"/>
          </w:tcPr>
          <w:p>
            <w:pPr>
              <w:spacing w:after="0"/>
              <w:rPr>
                <w:sz w:val="14"/>
                <w:szCs w:val="14"/>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57"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77"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10.28</w:t>
            </w:r>
          </w:p>
        </w:tc>
        <w:tc>
          <w:tcPr>
            <w:tcW w:w="3480" w:type="dxa"/>
            <w:vAlign w:val="bottom"/>
            <w:gridSpan w:val="43"/>
          </w:tcPr>
          <w:p>
            <w:pPr>
              <w:spacing w:after="0" w:line="189" w:lineRule="exact"/>
              <w:rPr>
                <w:rFonts w:ascii="Arial" w:cs="Arial" w:eastAsia="Arial" w:hAnsi="Arial"/>
                <w:sz w:val="18"/>
                <w:szCs w:val="18"/>
                <w:color w:val="auto"/>
              </w:rPr>
            </w:pPr>
            <w:hyperlink r:id="rId181">
              <w:r>
                <w:rPr>
                  <w:rFonts w:ascii="Arial" w:cs="Arial" w:eastAsia="Arial" w:hAnsi="Arial"/>
                  <w:sz w:val="18"/>
                  <w:szCs w:val="18"/>
                  <w:color w:val="auto"/>
                </w:rPr>
                <w:t>Second Amendment to Lease, dated</w:t>
              </w:r>
            </w:hyperlink>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3"/>
              </w:rPr>
              <w:t>5-Nov-2020</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85"/>
              </w:rPr>
              <w:t>10.1</w:t>
            </w:r>
          </w:p>
        </w:tc>
      </w:tr>
      <w:tr>
        <w:trPr>
          <w:trHeight w:val="169"/>
        </w:trPr>
        <w:tc>
          <w:tcPr>
            <w:tcW w:w="1380" w:type="dxa"/>
            <w:vAlign w:val="bottom"/>
          </w:tcPr>
          <w:p>
            <w:pPr>
              <w:spacing w:after="0"/>
              <w:rPr>
                <w:sz w:val="14"/>
                <w:szCs w:val="14"/>
                <w:color w:val="auto"/>
              </w:rPr>
            </w:pPr>
          </w:p>
        </w:tc>
        <w:tc>
          <w:tcPr>
            <w:tcW w:w="2640" w:type="dxa"/>
            <w:vAlign w:val="bottom"/>
            <w:tcBorders>
              <w:top w:val="single" w:sz="8" w:color="auto"/>
            </w:tcBorders>
            <w:gridSpan w:val="14"/>
          </w:tcPr>
          <w:p>
            <w:pPr>
              <w:spacing w:after="0" w:line="169" w:lineRule="exact"/>
              <w:rPr>
                <w:rFonts w:ascii="Arial" w:cs="Arial" w:eastAsia="Arial" w:hAnsi="Arial"/>
                <w:sz w:val="18"/>
                <w:szCs w:val="18"/>
                <w:color w:val="auto"/>
                <w:w w:val="91"/>
              </w:rPr>
            </w:pPr>
            <w:hyperlink r:id="rId181">
              <w:r>
                <w:rPr>
                  <w:rFonts w:ascii="Arial" w:cs="Arial" w:eastAsia="Arial" w:hAnsi="Arial"/>
                  <w:sz w:val="18"/>
                  <w:szCs w:val="18"/>
                  <w:color w:val="auto"/>
                  <w:w w:val="91"/>
                </w:rPr>
                <w:t>September 2, 2020 by and between</w:t>
              </w:r>
            </w:hyperlink>
          </w:p>
        </w:tc>
        <w:tc>
          <w:tcPr>
            <w:tcW w:w="840" w:type="dxa"/>
            <w:vAlign w:val="bottom"/>
            <w:gridSpan w:val="29"/>
          </w:tcPr>
          <w:p>
            <w:pPr>
              <w:spacing w:after="0" w:line="169" w:lineRule="exact"/>
              <w:rPr>
                <w:rFonts w:ascii="Arial" w:cs="Arial" w:eastAsia="Arial" w:hAnsi="Arial"/>
                <w:sz w:val="18"/>
                <w:szCs w:val="18"/>
                <w:color w:val="auto"/>
              </w:rPr>
            </w:pPr>
            <w:hyperlink r:id="rId181">
              <w:r>
                <w:rPr>
                  <w:rFonts w:ascii="Arial" w:cs="Arial" w:eastAsia="Arial" w:hAnsi="Arial"/>
                  <w:sz w:val="18"/>
                  <w:szCs w:val="18"/>
                  <w:color w:val="auto"/>
                </w:rPr>
                <w:t>Tandem</w:t>
              </w:r>
            </w:hyperlink>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200" w:type="dxa"/>
            <w:vAlign w:val="bottom"/>
            <w:tcBorders>
              <w:top w:val="single" w:sz="8" w:color="auto"/>
            </w:tcBorders>
            <w:gridSpan w:val="31"/>
          </w:tcPr>
          <w:p>
            <w:pPr>
              <w:spacing w:after="0" w:line="169" w:lineRule="exact"/>
              <w:rPr>
                <w:rFonts w:ascii="Arial" w:cs="Arial" w:eastAsia="Arial" w:hAnsi="Arial"/>
                <w:sz w:val="18"/>
                <w:szCs w:val="18"/>
                <w:color w:val="auto"/>
                <w:w w:val="92"/>
              </w:rPr>
            </w:pPr>
            <w:hyperlink r:id="rId181">
              <w:r>
                <w:rPr>
                  <w:rFonts w:ascii="Arial" w:cs="Arial" w:eastAsia="Arial" w:hAnsi="Arial"/>
                  <w:sz w:val="18"/>
                  <w:szCs w:val="18"/>
                  <w:color w:val="auto"/>
                  <w:w w:val="92"/>
                </w:rPr>
                <w:t>Diabetes Care, Inc. and ARE-11025/11075</w:t>
              </w:r>
            </w:hyperlink>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120" w:type="dxa"/>
            <w:vAlign w:val="bottom"/>
            <w:tcBorders>
              <w:top w:val="single" w:sz="8" w:color="auto"/>
            </w:tcBorders>
            <w:gridSpan w:val="27"/>
          </w:tcPr>
          <w:p>
            <w:pPr>
              <w:spacing w:after="0" w:line="169" w:lineRule="exact"/>
              <w:rPr>
                <w:rFonts w:ascii="Arial" w:cs="Arial" w:eastAsia="Arial" w:hAnsi="Arial"/>
                <w:sz w:val="18"/>
                <w:szCs w:val="18"/>
                <w:color w:val="auto"/>
              </w:rPr>
            </w:pPr>
            <w:hyperlink r:id="rId181">
              <w:r>
                <w:rPr>
                  <w:rFonts w:ascii="Arial" w:cs="Arial" w:eastAsia="Arial" w:hAnsi="Arial"/>
                  <w:sz w:val="18"/>
                  <w:szCs w:val="18"/>
                  <w:color w:val="auto"/>
                </w:rPr>
                <w:t>ROSELLE STREET, LLC</w:t>
              </w:r>
            </w:hyperlink>
          </w:p>
        </w:tc>
        <w:tc>
          <w:tcPr>
            <w:tcW w:w="100" w:type="dxa"/>
            <w:vAlign w:val="bottom"/>
            <w:gridSpan w:val="5"/>
          </w:tcPr>
          <w:p>
            <w:pPr>
              <w:spacing w:after="0"/>
              <w:rPr>
                <w:sz w:val="14"/>
                <w:szCs w:val="14"/>
                <w:color w:val="auto"/>
              </w:rPr>
            </w:pPr>
          </w:p>
        </w:tc>
        <w:tc>
          <w:tcPr>
            <w:tcW w:w="4294967257"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8"/>
        </w:trPr>
        <w:tc>
          <w:tcPr>
            <w:tcW w:w="13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5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3"/>
              </w:rPr>
              <w:t>10.29</w:t>
            </w:r>
          </w:p>
        </w:tc>
        <w:tc>
          <w:tcPr>
            <w:tcW w:w="3480" w:type="dxa"/>
            <w:vAlign w:val="bottom"/>
            <w:gridSpan w:val="43"/>
            <w:shd w:val="clear" w:color="auto" w:fill="CCEEFF"/>
          </w:tcPr>
          <w:p>
            <w:pPr>
              <w:spacing w:after="0" w:line="189" w:lineRule="exact"/>
              <w:rPr>
                <w:rFonts w:ascii="Arial" w:cs="Arial" w:eastAsia="Arial" w:hAnsi="Arial"/>
                <w:sz w:val="18"/>
                <w:szCs w:val="18"/>
                <w:color w:val="auto"/>
                <w:w w:val="97"/>
              </w:rPr>
            </w:pPr>
            <w:hyperlink r:id="rId182">
              <w:r>
                <w:rPr>
                  <w:rFonts w:ascii="Arial" w:cs="Arial" w:eastAsia="Arial" w:hAnsi="Arial"/>
                  <w:sz w:val="18"/>
                  <w:szCs w:val="18"/>
                  <w:color w:val="auto"/>
                  <w:w w:val="97"/>
                </w:rPr>
                <w:t>Fifth Amendment to Lease dated September</w:t>
              </w:r>
            </w:hyperlink>
          </w:p>
        </w:tc>
        <w:tc>
          <w:tcPr>
            <w:tcW w:w="11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3"/>
              </w:rPr>
              <w:t>5-Nov-2020</w:t>
            </w:r>
          </w:p>
        </w:tc>
        <w:tc>
          <w:tcPr>
            <w:tcW w:w="2420" w:type="dxa"/>
            <w:vAlign w:val="bottom"/>
            <w:shd w:val="clear" w:color="auto" w:fill="CCEEFF"/>
          </w:tcPr>
          <w:p>
            <w:pPr>
              <w:jc w:val="center"/>
              <w:ind w:right="1270"/>
              <w:spacing w:after="0" w:line="189" w:lineRule="exact"/>
              <w:rPr>
                <w:sz w:val="20"/>
                <w:szCs w:val="20"/>
                <w:color w:val="auto"/>
              </w:rPr>
            </w:pPr>
            <w:r>
              <w:rPr>
                <w:rFonts w:ascii="Arial" w:cs="Arial" w:eastAsia="Arial" w:hAnsi="Arial"/>
                <w:sz w:val="18"/>
                <w:szCs w:val="18"/>
                <w:color w:val="auto"/>
                <w:w w:val="85"/>
              </w:rPr>
              <w:t>10.2</w:t>
            </w:r>
          </w:p>
        </w:tc>
      </w:tr>
      <w:tr>
        <w:trPr>
          <w:trHeight w:val="156"/>
        </w:trPr>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3020" w:type="dxa"/>
            <w:vAlign w:val="bottom"/>
            <w:tcBorders>
              <w:top w:val="single" w:sz="8" w:color="auto"/>
              <w:bottom w:val="single" w:sz="8" w:color="auto"/>
            </w:tcBorders>
            <w:gridSpan w:val="22"/>
            <w:shd w:val="clear" w:color="auto" w:fill="CCEEFF"/>
          </w:tcPr>
          <w:p>
            <w:pPr>
              <w:spacing w:after="0" w:line="156" w:lineRule="exact"/>
              <w:rPr>
                <w:rFonts w:ascii="Arial" w:cs="Arial" w:eastAsia="Arial" w:hAnsi="Arial"/>
                <w:sz w:val="18"/>
                <w:szCs w:val="18"/>
                <w:color w:val="auto"/>
                <w:w w:val="88"/>
              </w:rPr>
            </w:pPr>
            <w:hyperlink r:id="rId182">
              <w:r>
                <w:rPr>
                  <w:rFonts w:ascii="Arial" w:cs="Arial" w:eastAsia="Arial" w:hAnsi="Arial"/>
                  <w:sz w:val="18"/>
                  <w:szCs w:val="18"/>
                  <w:color w:val="auto"/>
                  <w:w w:val="88"/>
                </w:rPr>
                <w:t>2, 2020 by and between Tandem Diabetes</w:t>
              </w:r>
            </w:hyperlink>
          </w:p>
        </w:tc>
        <w:tc>
          <w:tcPr>
            <w:tcW w:w="220" w:type="dxa"/>
            <w:vAlign w:val="bottom"/>
            <w:tcBorders>
              <w:top w:val="single" w:sz="8" w:color="auto"/>
              <w:bottom w:val="single" w:sz="8" w:color="CCEEFF"/>
            </w:tcBorders>
            <w:gridSpan w:val="14"/>
            <w:shd w:val="clear" w:color="auto" w:fill="CCEEFF"/>
          </w:tcPr>
          <w:p>
            <w:pPr>
              <w:spacing w:after="0"/>
              <w:rPr>
                <w:sz w:val="13"/>
                <w:szCs w:val="13"/>
                <w:color w:val="auto"/>
              </w:rPr>
            </w:pPr>
          </w:p>
        </w:tc>
        <w:tc>
          <w:tcPr>
            <w:tcW w:w="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24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380" w:type="dxa"/>
            <w:vAlign w:val="bottom"/>
            <w:shd w:val="clear" w:color="auto" w:fill="CCEEFF"/>
          </w:tcPr>
          <w:p>
            <w:pPr>
              <w:spacing w:after="0"/>
              <w:rPr>
                <w:sz w:val="13"/>
                <w:szCs w:val="13"/>
                <w:color w:val="auto"/>
              </w:rPr>
            </w:pPr>
          </w:p>
        </w:tc>
        <w:tc>
          <w:tcPr>
            <w:tcW w:w="3480" w:type="dxa"/>
            <w:vAlign w:val="bottom"/>
            <w:gridSpan w:val="43"/>
            <w:shd w:val="clear" w:color="auto" w:fill="CCEEFF"/>
          </w:tcPr>
          <w:p>
            <w:pPr>
              <w:spacing w:after="0" w:line="156" w:lineRule="exact"/>
              <w:rPr>
                <w:rFonts w:ascii="Arial" w:cs="Arial" w:eastAsia="Arial" w:hAnsi="Arial"/>
                <w:sz w:val="18"/>
                <w:szCs w:val="18"/>
                <w:color w:val="auto"/>
                <w:w w:val="97"/>
              </w:rPr>
            </w:pPr>
            <w:hyperlink r:id="rId182">
              <w:r>
                <w:rPr>
                  <w:rFonts w:ascii="Arial" w:cs="Arial" w:eastAsia="Arial" w:hAnsi="Arial"/>
                  <w:sz w:val="18"/>
                  <w:szCs w:val="18"/>
                  <w:color w:val="auto"/>
                  <w:w w:val="97"/>
                </w:rPr>
                <w:t>Care, Inc. and ARE-11025/11075 ROSELLE</w:t>
              </w:r>
            </w:hyperlink>
          </w:p>
        </w:tc>
        <w:tc>
          <w:tcPr>
            <w:tcW w:w="1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gridSpan w:val="5"/>
            <w:shd w:val="clear" w:color="auto" w:fill="CCEEFF"/>
          </w:tcPr>
          <w:p>
            <w:pPr>
              <w:spacing w:after="0" w:line="169" w:lineRule="exact"/>
              <w:rPr>
                <w:rFonts w:ascii="Arial" w:cs="Arial" w:eastAsia="Arial" w:hAnsi="Arial"/>
                <w:sz w:val="18"/>
                <w:szCs w:val="18"/>
                <w:color w:val="auto"/>
                <w:w w:val="92"/>
              </w:rPr>
            </w:pPr>
            <w:hyperlink r:id="rId182">
              <w:r>
                <w:rPr>
                  <w:rFonts w:ascii="Arial" w:cs="Arial" w:eastAsia="Arial" w:hAnsi="Arial"/>
                  <w:sz w:val="18"/>
                  <w:szCs w:val="18"/>
                  <w:color w:val="auto"/>
                  <w:w w:val="92"/>
                </w:rPr>
                <w:t>STREET, LLC</w:t>
              </w:r>
            </w:hyperlink>
          </w:p>
        </w:tc>
        <w:tc>
          <w:tcPr>
            <w:tcW w:w="2160" w:type="dxa"/>
            <w:vAlign w:val="bottom"/>
            <w:tcBorders>
              <w:top w:val="single" w:sz="8" w:color="auto"/>
              <w:bottom w:val="single" w:sz="8" w:color="CCEEFF"/>
            </w:tcBorders>
            <w:gridSpan w:val="3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0"/>
              </w:rPr>
              <w:t>10.30†</w:t>
            </w:r>
          </w:p>
        </w:tc>
        <w:tc>
          <w:tcPr>
            <w:tcW w:w="3180" w:type="dxa"/>
            <w:vAlign w:val="bottom"/>
            <w:tcBorders>
              <w:bottom w:val="single" w:sz="8" w:color="auto"/>
            </w:tcBorders>
            <w:gridSpan w:val="33"/>
          </w:tcPr>
          <w:p>
            <w:pPr>
              <w:spacing w:after="0" w:line="189" w:lineRule="exact"/>
              <w:rPr>
                <w:rFonts w:ascii="Arial" w:cs="Arial" w:eastAsia="Arial" w:hAnsi="Arial"/>
                <w:sz w:val="18"/>
                <w:szCs w:val="18"/>
                <w:color w:val="auto"/>
                <w:w w:val="89"/>
              </w:rPr>
            </w:pPr>
            <w:hyperlink r:id="rId183">
              <w:r>
                <w:rPr>
                  <w:rFonts w:ascii="Arial" w:cs="Arial" w:eastAsia="Arial" w:hAnsi="Arial"/>
                  <w:sz w:val="18"/>
                  <w:szCs w:val="18"/>
                  <w:color w:val="auto"/>
                  <w:w w:val="89"/>
                </w:rPr>
                <w:t>License Agreement, dated July 14, 2016, by</w:t>
              </w:r>
            </w:hyperlink>
          </w:p>
        </w:tc>
        <w:tc>
          <w:tcPr>
            <w:tcW w:w="300" w:type="dxa"/>
            <w:vAlign w:val="bottom"/>
            <w:gridSpan w:val="10"/>
          </w:tcPr>
          <w:p>
            <w:pPr>
              <w:spacing w:after="0"/>
              <w:rPr>
                <w:sz w:val="16"/>
                <w:szCs w:val="16"/>
                <w:color w:val="auto"/>
              </w:rPr>
            </w:pPr>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30-Apr-2020</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85"/>
              </w:rPr>
              <w:t>10.1</w:t>
            </w:r>
          </w:p>
        </w:tc>
      </w:tr>
      <w:tr>
        <w:trPr>
          <w:trHeight w:val="169"/>
        </w:trPr>
        <w:tc>
          <w:tcPr>
            <w:tcW w:w="1380" w:type="dxa"/>
            <w:vAlign w:val="bottom"/>
          </w:tcPr>
          <w:p>
            <w:pPr>
              <w:spacing w:after="0"/>
              <w:rPr>
                <w:sz w:val="14"/>
                <w:szCs w:val="14"/>
                <w:color w:val="auto"/>
              </w:rPr>
            </w:pPr>
          </w:p>
        </w:tc>
        <w:tc>
          <w:tcPr>
            <w:tcW w:w="3480" w:type="dxa"/>
            <w:vAlign w:val="bottom"/>
            <w:gridSpan w:val="43"/>
          </w:tcPr>
          <w:p>
            <w:pPr>
              <w:spacing w:after="0" w:line="169" w:lineRule="exact"/>
              <w:rPr>
                <w:rFonts w:ascii="Arial" w:cs="Arial" w:eastAsia="Arial" w:hAnsi="Arial"/>
                <w:sz w:val="18"/>
                <w:szCs w:val="18"/>
                <w:color w:val="auto"/>
                <w:w w:val="93"/>
              </w:rPr>
            </w:pPr>
            <w:hyperlink r:id="rId183">
              <w:r>
                <w:rPr>
                  <w:rFonts w:ascii="Arial" w:cs="Arial" w:eastAsia="Arial" w:hAnsi="Arial"/>
                  <w:sz w:val="18"/>
                  <w:szCs w:val="18"/>
                  <w:color w:val="auto"/>
                  <w:w w:val="93"/>
                </w:rPr>
                <w:t>and between Tandem Diabetes Care, Inc. and</w:t>
              </w:r>
            </w:hyperlink>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3280" w:type="dxa"/>
            <w:vAlign w:val="bottom"/>
            <w:tcBorders>
              <w:top w:val="single" w:sz="8" w:color="auto"/>
            </w:tcBorders>
            <w:gridSpan w:val="40"/>
          </w:tcPr>
          <w:p>
            <w:pPr>
              <w:spacing w:after="0" w:line="169" w:lineRule="exact"/>
              <w:rPr>
                <w:rFonts w:ascii="Arial" w:cs="Arial" w:eastAsia="Arial" w:hAnsi="Arial"/>
                <w:sz w:val="18"/>
                <w:szCs w:val="18"/>
                <w:color w:val="auto"/>
              </w:rPr>
            </w:pPr>
            <w:hyperlink r:id="rId183">
              <w:r>
                <w:rPr>
                  <w:rFonts w:ascii="Arial" w:cs="Arial" w:eastAsia="Arial" w:hAnsi="Arial"/>
                  <w:sz w:val="18"/>
                  <w:szCs w:val="18"/>
                  <w:color w:val="auto"/>
                </w:rPr>
                <w:t>TypeZero Technologies, LLC</w:t>
              </w:r>
            </w:hyperlink>
          </w:p>
        </w:tc>
        <w:tc>
          <w:tcPr>
            <w:tcW w:w="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8"/>
        </w:trPr>
        <w:tc>
          <w:tcPr>
            <w:tcW w:w="13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5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294967277"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20" w:type="dxa"/>
            <w:vAlign w:val="bottom"/>
          </w:tcPr>
          <w:p>
            <w:pPr>
              <w:spacing w:after="0"/>
              <w:rPr>
                <w:sz w:val="4"/>
                <w:szCs w:val="4"/>
                <w:color w:val="auto"/>
              </w:rPr>
            </w:pPr>
          </w:p>
        </w:tc>
      </w:tr>
      <w:tr>
        <w:trPr>
          <w:trHeight w:val="189"/>
        </w:trPr>
        <w:tc>
          <w:tcPr>
            <w:tcW w:w="138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10.31†</w:t>
            </w:r>
          </w:p>
        </w:tc>
        <w:tc>
          <w:tcPr>
            <w:tcW w:w="2720" w:type="dxa"/>
            <w:vAlign w:val="bottom"/>
            <w:tcBorders>
              <w:bottom w:val="single" w:sz="8" w:color="auto"/>
            </w:tcBorders>
            <w:gridSpan w:val="16"/>
            <w:shd w:val="clear" w:color="auto" w:fill="CCEEFF"/>
          </w:tcPr>
          <w:p>
            <w:pPr>
              <w:spacing w:after="0" w:line="189" w:lineRule="exact"/>
              <w:rPr>
                <w:rFonts w:ascii="Arial" w:cs="Arial" w:eastAsia="Arial" w:hAnsi="Arial"/>
                <w:sz w:val="18"/>
                <w:szCs w:val="18"/>
                <w:color w:val="auto"/>
                <w:w w:val="91"/>
              </w:rPr>
            </w:pPr>
            <w:hyperlink r:id="rId184">
              <w:r>
                <w:rPr>
                  <w:rFonts w:ascii="Arial" w:cs="Arial" w:eastAsia="Arial" w:hAnsi="Arial"/>
                  <w:sz w:val="18"/>
                  <w:szCs w:val="18"/>
                  <w:color w:val="auto"/>
                  <w:w w:val="91"/>
                </w:rPr>
                <w:t>Commercialization Agreement, dated</w:t>
              </w:r>
            </w:hyperlink>
          </w:p>
        </w:tc>
        <w:tc>
          <w:tcPr>
            <w:tcW w:w="760" w:type="dxa"/>
            <w:vAlign w:val="bottom"/>
            <w:tcBorders>
              <w:bottom w:val="single" w:sz="8" w:color="CCEEFF"/>
            </w:tcBorders>
            <w:gridSpan w:val="27"/>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9"/>
              </w:rPr>
              <w:t>10-K</w:t>
            </w:r>
          </w:p>
        </w:tc>
        <w:tc>
          <w:tcPr>
            <w:tcW w:w="13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tcBorders>
              <w:bottom w:val="single" w:sz="8" w:color="CCEEFF"/>
            </w:tcBorders>
            <w:shd w:val="clear" w:color="auto" w:fill="CCEEFF"/>
          </w:tcPr>
          <w:p>
            <w:pPr>
              <w:jc w:val="center"/>
              <w:ind w:right="50"/>
              <w:spacing w:after="0" w:line="189" w:lineRule="exact"/>
              <w:rPr>
                <w:sz w:val="20"/>
                <w:szCs w:val="20"/>
                <w:color w:val="auto"/>
              </w:rPr>
            </w:pPr>
            <w:r>
              <w:rPr>
                <w:rFonts w:ascii="Arial" w:cs="Arial" w:eastAsia="Arial" w:hAnsi="Arial"/>
                <w:sz w:val="18"/>
                <w:szCs w:val="18"/>
                <w:color w:val="auto"/>
                <w:w w:val="90"/>
              </w:rPr>
              <w:t>2-Feb-2022</w:t>
            </w:r>
          </w:p>
        </w:tc>
        <w:tc>
          <w:tcPr>
            <w:tcW w:w="2420" w:type="dxa"/>
            <w:vAlign w:val="bottom"/>
            <w:tcBorders>
              <w:bottom w:val="single" w:sz="8" w:color="CCEEFF"/>
            </w:tcBorders>
            <w:shd w:val="clear" w:color="auto" w:fill="CCEEFF"/>
          </w:tcPr>
          <w:p>
            <w:pPr>
              <w:jc w:val="center"/>
              <w:ind w:right="1270"/>
              <w:spacing w:after="0" w:line="189" w:lineRule="exact"/>
              <w:rPr>
                <w:sz w:val="20"/>
                <w:szCs w:val="20"/>
                <w:color w:val="auto"/>
              </w:rPr>
            </w:pPr>
            <w:r>
              <w:rPr>
                <w:rFonts w:ascii="Arial" w:cs="Arial" w:eastAsia="Arial" w:hAnsi="Arial"/>
                <w:sz w:val="18"/>
                <w:szCs w:val="18"/>
                <w:color w:val="auto"/>
                <w:w w:val="93"/>
              </w:rPr>
              <w:t>10.35</w:t>
            </w:r>
          </w:p>
        </w:tc>
      </w:tr>
      <w:tr>
        <w:trPr>
          <w:trHeight w:val="156"/>
        </w:trPr>
        <w:tc>
          <w:tcPr>
            <w:tcW w:w="1380" w:type="dxa"/>
            <w:vAlign w:val="bottom"/>
            <w:shd w:val="clear" w:color="auto" w:fill="CCEEFF"/>
          </w:tcPr>
          <w:p>
            <w:pPr>
              <w:spacing w:after="0"/>
              <w:rPr>
                <w:sz w:val="13"/>
                <w:szCs w:val="13"/>
                <w:color w:val="auto"/>
              </w:rPr>
            </w:pPr>
          </w:p>
        </w:tc>
        <w:tc>
          <w:tcPr>
            <w:tcW w:w="3480" w:type="dxa"/>
            <w:vAlign w:val="bottom"/>
            <w:gridSpan w:val="43"/>
            <w:shd w:val="clear" w:color="auto" w:fill="CCEEFF"/>
          </w:tcPr>
          <w:p>
            <w:pPr>
              <w:spacing w:after="0" w:line="156" w:lineRule="exact"/>
              <w:rPr>
                <w:rFonts w:ascii="Arial" w:cs="Arial" w:eastAsia="Arial" w:hAnsi="Arial"/>
                <w:sz w:val="18"/>
                <w:szCs w:val="18"/>
                <w:color w:val="auto"/>
                <w:w w:val="99"/>
              </w:rPr>
            </w:pPr>
            <w:hyperlink r:id="rId184">
              <w:r>
                <w:rPr>
                  <w:rFonts w:ascii="Arial" w:cs="Arial" w:eastAsia="Arial" w:hAnsi="Arial"/>
                  <w:sz w:val="18"/>
                  <w:szCs w:val="18"/>
                  <w:color w:val="auto"/>
                  <w:w w:val="99"/>
                </w:rPr>
                <w:t>January 14, 2022, by and between Tandem</w:t>
              </w:r>
            </w:hyperlink>
          </w:p>
        </w:tc>
        <w:tc>
          <w:tcPr>
            <w:tcW w:w="1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2980" w:type="dxa"/>
            <w:vAlign w:val="bottom"/>
            <w:tcBorders>
              <w:top w:val="single" w:sz="8" w:color="auto"/>
              <w:bottom w:val="single" w:sz="8" w:color="auto"/>
            </w:tcBorders>
            <w:gridSpan w:val="20"/>
            <w:shd w:val="clear" w:color="auto" w:fill="CCEEFF"/>
          </w:tcPr>
          <w:p>
            <w:pPr>
              <w:spacing w:after="0" w:line="156" w:lineRule="exact"/>
              <w:rPr>
                <w:rFonts w:ascii="Arial" w:cs="Arial" w:eastAsia="Arial" w:hAnsi="Arial"/>
                <w:sz w:val="18"/>
                <w:szCs w:val="18"/>
                <w:color w:val="auto"/>
                <w:w w:val="90"/>
              </w:rPr>
            </w:pPr>
            <w:hyperlink r:id="rId184">
              <w:r>
                <w:rPr>
                  <w:rFonts w:ascii="Arial" w:cs="Arial" w:eastAsia="Arial" w:hAnsi="Arial"/>
                  <w:sz w:val="18"/>
                  <w:szCs w:val="18"/>
                  <w:color w:val="auto"/>
                  <w:w w:val="90"/>
                </w:rPr>
                <w:t>Diabetes Care, Inc. and Unomedical A/S.</w:t>
              </w:r>
            </w:hyperlink>
          </w:p>
        </w:tc>
        <w:tc>
          <w:tcPr>
            <w:tcW w:w="120" w:type="dxa"/>
            <w:vAlign w:val="bottom"/>
            <w:tcBorders>
              <w:top w:val="single" w:sz="8" w:color="auto"/>
              <w:bottom w:val="single" w:sz="8" w:color="CCEEFF"/>
            </w:tcBorders>
            <w:gridSpan w:val="6"/>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10"/>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3"/>
              </w:rPr>
              <w:t>10.32</w:t>
            </w:r>
          </w:p>
        </w:tc>
        <w:tc>
          <w:tcPr>
            <w:tcW w:w="3080" w:type="dxa"/>
            <w:vAlign w:val="bottom"/>
            <w:tcBorders>
              <w:bottom w:val="single" w:sz="8" w:color="auto"/>
            </w:tcBorders>
            <w:gridSpan w:val="25"/>
          </w:tcPr>
          <w:p>
            <w:pPr>
              <w:spacing w:after="0" w:line="189" w:lineRule="exact"/>
              <w:rPr>
                <w:rFonts w:ascii="Arial" w:cs="Arial" w:eastAsia="Arial" w:hAnsi="Arial"/>
                <w:sz w:val="18"/>
                <w:szCs w:val="18"/>
                <w:color w:val="auto"/>
                <w:w w:val="89"/>
              </w:rPr>
            </w:pPr>
            <w:hyperlink r:id="rId185">
              <w:r>
                <w:rPr>
                  <w:rFonts w:ascii="Arial" w:cs="Arial" w:eastAsia="Arial" w:hAnsi="Arial"/>
                  <w:sz w:val="18"/>
                  <w:szCs w:val="18"/>
                  <w:color w:val="auto"/>
                  <w:w w:val="89"/>
                </w:rPr>
                <w:t>Office Lease dated September 15, 2021 by</w:t>
              </w:r>
            </w:hyperlink>
          </w:p>
        </w:tc>
        <w:tc>
          <w:tcPr>
            <w:tcW w:w="400" w:type="dxa"/>
            <w:vAlign w:val="bottom"/>
            <w:gridSpan w:val="18"/>
          </w:tcPr>
          <w:p>
            <w:pPr>
              <w:spacing w:after="0"/>
              <w:rPr>
                <w:sz w:val="16"/>
                <w:szCs w:val="16"/>
                <w:color w:val="auto"/>
              </w:rPr>
            </w:pPr>
          </w:p>
        </w:tc>
        <w:tc>
          <w:tcPr>
            <w:tcW w:w="11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0"/>
              </w:rPr>
              <w:t>001-36189</w:t>
            </w:r>
          </w:p>
        </w:tc>
        <w:tc>
          <w:tcPr>
            <w:tcW w:w="150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3"/>
              </w:rPr>
              <w:t>3-Nov-2021</w:t>
            </w:r>
          </w:p>
        </w:tc>
        <w:tc>
          <w:tcPr>
            <w:tcW w:w="2420" w:type="dxa"/>
            <w:vAlign w:val="bottom"/>
          </w:tcPr>
          <w:p>
            <w:pPr>
              <w:jc w:val="center"/>
              <w:ind w:right="1270"/>
              <w:spacing w:after="0" w:line="189" w:lineRule="exact"/>
              <w:rPr>
                <w:sz w:val="20"/>
                <w:szCs w:val="20"/>
                <w:color w:val="auto"/>
              </w:rPr>
            </w:pPr>
            <w:r>
              <w:rPr>
                <w:rFonts w:ascii="Arial" w:cs="Arial" w:eastAsia="Arial" w:hAnsi="Arial"/>
                <w:sz w:val="18"/>
                <w:szCs w:val="18"/>
                <w:color w:val="auto"/>
                <w:w w:val="85"/>
              </w:rPr>
              <w:t>10.1</w:t>
            </w:r>
          </w:p>
        </w:tc>
      </w:tr>
      <w:tr>
        <w:trPr>
          <w:trHeight w:val="155"/>
        </w:trPr>
        <w:tc>
          <w:tcPr>
            <w:tcW w:w="1380" w:type="dxa"/>
            <w:vAlign w:val="bottom"/>
          </w:tcPr>
          <w:p>
            <w:pPr>
              <w:spacing w:after="0"/>
              <w:rPr>
                <w:sz w:val="13"/>
                <w:szCs w:val="13"/>
                <w:color w:val="auto"/>
              </w:rPr>
            </w:pPr>
          </w:p>
        </w:tc>
        <w:tc>
          <w:tcPr>
            <w:tcW w:w="3480" w:type="dxa"/>
            <w:vAlign w:val="bottom"/>
            <w:gridSpan w:val="43"/>
          </w:tcPr>
          <w:p>
            <w:pPr>
              <w:spacing w:after="0" w:line="156" w:lineRule="exact"/>
              <w:rPr>
                <w:rFonts w:ascii="Arial" w:cs="Arial" w:eastAsia="Arial" w:hAnsi="Arial"/>
                <w:sz w:val="18"/>
                <w:szCs w:val="18"/>
                <w:color w:val="auto"/>
                <w:w w:val="93"/>
              </w:rPr>
            </w:pPr>
            <w:hyperlink r:id="rId185">
              <w:r>
                <w:rPr>
                  <w:rFonts w:ascii="Arial" w:cs="Arial" w:eastAsia="Arial" w:hAnsi="Arial"/>
                  <w:sz w:val="18"/>
                  <w:szCs w:val="18"/>
                  <w:color w:val="auto"/>
                  <w:w w:val="93"/>
                </w:rPr>
                <w:t>and between Tandem Diabetes Care, Inc. and</w:t>
              </w:r>
            </w:hyperlink>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80" w:type="dxa"/>
            <w:vAlign w:val="bottom"/>
            <w:tcBorders>
              <w:top w:val="single" w:sz="8" w:color="auto"/>
            </w:tcBorders>
            <w:gridSpan w:val="40"/>
          </w:tcPr>
          <w:p>
            <w:pPr>
              <w:spacing w:after="0" w:line="156" w:lineRule="exact"/>
              <w:rPr>
                <w:rFonts w:ascii="Arial" w:cs="Arial" w:eastAsia="Arial" w:hAnsi="Arial"/>
                <w:sz w:val="18"/>
                <w:szCs w:val="18"/>
                <w:color w:val="auto"/>
              </w:rPr>
            </w:pPr>
            <w:hyperlink r:id="rId185">
              <w:r>
                <w:rPr>
                  <w:rFonts w:ascii="Arial" w:cs="Arial" w:eastAsia="Arial" w:hAnsi="Arial"/>
                  <w:sz w:val="18"/>
                  <w:szCs w:val="18"/>
                  <w:color w:val="auto"/>
                </w:rPr>
                <w:t>Kilroy Realty L.P.</w:t>
              </w:r>
            </w:hyperlink>
          </w:p>
        </w:tc>
        <w:tc>
          <w:tcPr>
            <w:tcW w:w="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0"/>
              </w:rPr>
              <w:t>10.33†</w:t>
            </w:r>
          </w:p>
        </w:tc>
        <w:tc>
          <w:tcPr>
            <w:tcW w:w="348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auto"/>
                <w:w w:val="97"/>
              </w:rPr>
              <w:t>Share Purchase Agreement by and Between</w:t>
            </w:r>
          </w:p>
        </w:tc>
        <w:tc>
          <w:tcPr>
            <w:tcW w:w="1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20" w:type="dxa"/>
            <w:vAlign w:val="bottom"/>
            <w:shd w:val="clear" w:color="auto" w:fill="CCEEFF"/>
          </w:tcPr>
          <w:p>
            <w:pPr>
              <w:ind w:left="1760"/>
              <w:spacing w:after="0" w:line="189" w:lineRule="exact"/>
              <w:rPr>
                <w:sz w:val="20"/>
                <w:szCs w:val="20"/>
                <w:color w:val="auto"/>
              </w:rPr>
            </w:pPr>
            <w:r>
              <w:rPr>
                <w:rFonts w:ascii="Arial" w:cs="Arial" w:eastAsia="Arial" w:hAnsi="Arial"/>
                <w:sz w:val="18"/>
                <w:szCs w:val="18"/>
                <w:color w:val="auto"/>
              </w:rPr>
              <w:t>X</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3220" w:type="dxa"/>
            <w:vAlign w:val="bottom"/>
            <w:tcBorders>
              <w:top w:val="single" w:sz="8" w:color="auto"/>
            </w:tcBorders>
            <w:gridSpan w:val="32"/>
            <w:shd w:val="clear" w:color="auto" w:fill="CCEEFF"/>
          </w:tcPr>
          <w:p>
            <w:pPr>
              <w:spacing w:after="0" w:line="156" w:lineRule="exact"/>
              <w:rPr>
                <w:sz w:val="20"/>
                <w:szCs w:val="20"/>
                <w:color w:val="auto"/>
              </w:rPr>
            </w:pPr>
            <w:r>
              <w:rPr>
                <w:rFonts w:ascii="Arial" w:cs="Arial" w:eastAsia="Arial" w:hAnsi="Arial"/>
                <w:sz w:val="18"/>
                <w:szCs w:val="18"/>
                <w:color w:val="auto"/>
              </w:rPr>
              <w:t>Tandem Diabetes Care, Inc., and AMF</w:t>
            </w:r>
          </w:p>
        </w:tc>
        <w:tc>
          <w:tcPr>
            <w:tcW w:w="100" w:type="dxa"/>
            <w:vAlign w:val="bottom"/>
            <w:tcBorders>
              <w:top w:val="single" w:sz="8" w:color="CCEEFF"/>
            </w:tcBorders>
            <w:gridSpan w:val="10"/>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2780" w:type="dxa"/>
            <w:vAlign w:val="bottom"/>
            <w:tcBorders>
              <w:top w:val="single" w:sz="8" w:color="auto"/>
            </w:tcBorders>
            <w:gridSpan w:val="17"/>
            <w:shd w:val="clear" w:color="auto" w:fill="CCEEFF"/>
          </w:tcPr>
          <w:p>
            <w:pPr>
              <w:spacing w:after="0" w:line="156" w:lineRule="exact"/>
              <w:rPr>
                <w:sz w:val="20"/>
                <w:szCs w:val="20"/>
                <w:color w:val="auto"/>
              </w:rPr>
            </w:pPr>
            <w:r>
              <w:rPr>
                <w:rFonts w:ascii="Arial" w:cs="Arial" w:eastAsia="Arial" w:hAnsi="Arial"/>
                <w:sz w:val="18"/>
                <w:szCs w:val="18"/>
                <w:color w:val="auto"/>
              </w:rPr>
              <w:t>Medical</w:t>
            </w:r>
          </w:p>
        </w:tc>
        <w:tc>
          <w:tcPr>
            <w:tcW w:w="260" w:type="dxa"/>
            <w:vAlign w:val="bottom"/>
            <w:tcBorders>
              <w:top w:val="single" w:sz="8" w:color="CCEEFF"/>
            </w:tcBorders>
            <w:gridSpan w:val="6"/>
            <w:shd w:val="clear" w:color="auto" w:fill="CCEEFF"/>
          </w:tcPr>
          <w:p>
            <w:pPr>
              <w:spacing w:after="0"/>
              <w:rPr>
                <w:sz w:val="13"/>
                <w:szCs w:val="13"/>
                <w:color w:val="auto"/>
              </w:rPr>
            </w:pPr>
          </w:p>
        </w:tc>
        <w:tc>
          <w:tcPr>
            <w:tcW w:w="280" w:type="dxa"/>
            <w:vAlign w:val="bottom"/>
            <w:tcBorders>
              <w:top w:val="single" w:sz="8" w:color="CCEEFF"/>
            </w:tcBorders>
            <w:gridSpan w:val="19"/>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CCEEFF"/>
            </w:tcBorders>
            <w:shd w:val="clear" w:color="auto" w:fill="CCEEFF"/>
          </w:tcPr>
          <w:p>
            <w:pPr>
              <w:spacing w:after="0"/>
              <w:rPr>
                <w:sz w:val="13"/>
                <w:szCs w:val="13"/>
                <w:color w:val="auto"/>
              </w:rPr>
            </w:pPr>
          </w:p>
        </w:tc>
        <w:tc>
          <w:tcPr>
            <w:tcW w:w="242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5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5"/>
              </w:rPr>
              <w:t>21.1</w:t>
            </w:r>
          </w:p>
        </w:tc>
        <w:tc>
          <w:tcPr>
            <w:tcW w:w="3480" w:type="dxa"/>
            <w:vAlign w:val="bottom"/>
            <w:gridSpan w:val="43"/>
          </w:tcPr>
          <w:p>
            <w:pPr>
              <w:spacing w:after="0" w:line="189" w:lineRule="exact"/>
              <w:rPr>
                <w:sz w:val="20"/>
                <w:szCs w:val="20"/>
                <w:color w:val="auto"/>
              </w:rPr>
            </w:pPr>
            <w:r>
              <w:rPr>
                <w:rFonts w:ascii="Arial" w:cs="Arial" w:eastAsia="Arial" w:hAnsi="Arial"/>
                <w:sz w:val="18"/>
                <w:szCs w:val="18"/>
                <w:color w:val="auto"/>
              </w:rPr>
              <w:t>Subsidiaries of the Registrant</w:t>
            </w: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20" w:type="dxa"/>
            <w:vAlign w:val="bottom"/>
          </w:tcPr>
          <w:p>
            <w:pPr>
              <w:ind w:left="1760"/>
              <w:spacing w:after="0" w:line="189" w:lineRule="exact"/>
              <w:rPr>
                <w:sz w:val="20"/>
                <w:szCs w:val="20"/>
                <w:color w:val="auto"/>
              </w:rPr>
            </w:pPr>
            <w:r>
              <w:rPr>
                <w:rFonts w:ascii="Arial" w:cs="Arial" w:eastAsia="Arial" w:hAnsi="Arial"/>
                <w:sz w:val="18"/>
                <w:szCs w:val="18"/>
                <w:color w:val="auto"/>
              </w:rPr>
              <w:t>X</w:t>
            </w:r>
          </w:p>
        </w:tc>
      </w:tr>
      <w:tr>
        <w:trPr>
          <w:trHeight w:val="20"/>
        </w:trPr>
        <w:tc>
          <w:tcPr>
            <w:tcW w:w="1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85"/>
              </w:rPr>
              <w:t>23.1</w:t>
            </w:r>
          </w:p>
        </w:tc>
        <w:tc>
          <w:tcPr>
            <w:tcW w:w="348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auto"/>
              </w:rPr>
              <w:t>Consent of Independent Registered Public</w:t>
            </w:r>
          </w:p>
        </w:tc>
        <w:tc>
          <w:tcPr>
            <w:tcW w:w="1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20" w:type="dxa"/>
            <w:vAlign w:val="bottom"/>
            <w:shd w:val="clear" w:color="auto" w:fill="CCEEFF"/>
          </w:tcPr>
          <w:p>
            <w:pPr>
              <w:ind w:left="1760"/>
              <w:spacing w:after="0" w:line="189" w:lineRule="exact"/>
              <w:rPr>
                <w:sz w:val="20"/>
                <w:szCs w:val="20"/>
                <w:color w:val="auto"/>
              </w:rPr>
            </w:pPr>
            <w:r>
              <w:rPr>
                <w:rFonts w:ascii="Arial" w:cs="Arial" w:eastAsia="Arial" w:hAnsi="Arial"/>
                <w:sz w:val="18"/>
                <w:szCs w:val="18"/>
                <w:color w:val="auto"/>
              </w:rPr>
              <w:t>X</w:t>
            </w:r>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w w:val="93"/>
              </w:rPr>
              <w:t>Accounting Firm.</w:t>
            </w:r>
          </w:p>
        </w:tc>
        <w:tc>
          <w:tcPr>
            <w:tcW w:w="1760" w:type="dxa"/>
            <w:vAlign w:val="bottom"/>
            <w:tcBorders>
              <w:top w:val="single" w:sz="8" w:color="auto"/>
              <w:bottom w:val="single" w:sz="8" w:color="CCEEFF"/>
            </w:tcBorders>
            <w:gridSpan w:val="17"/>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19"/>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CCEEFF"/>
              <w:bottom w:val="single" w:sz="8" w:color="CCEEFF"/>
            </w:tcBorders>
            <w:shd w:val="clear" w:color="auto" w:fill="CCEEFF"/>
          </w:tcPr>
          <w:p>
            <w:pPr>
              <w:spacing w:after="0"/>
              <w:rPr>
                <w:sz w:val="16"/>
                <w:szCs w:val="16"/>
                <w:color w:val="auto"/>
              </w:rPr>
            </w:pP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5"/>
              </w:rPr>
              <w:t>24.1</w:t>
            </w:r>
          </w:p>
        </w:tc>
        <w:tc>
          <w:tcPr>
            <w:tcW w:w="3480" w:type="dxa"/>
            <w:vAlign w:val="bottom"/>
            <w:gridSpan w:val="43"/>
          </w:tcPr>
          <w:p>
            <w:pPr>
              <w:spacing w:after="0" w:line="189" w:lineRule="exact"/>
              <w:rPr>
                <w:sz w:val="20"/>
                <w:szCs w:val="20"/>
                <w:color w:val="auto"/>
              </w:rPr>
            </w:pPr>
            <w:r>
              <w:rPr>
                <w:rFonts w:ascii="Arial" w:cs="Arial" w:eastAsia="Arial" w:hAnsi="Arial"/>
                <w:sz w:val="18"/>
                <w:szCs w:val="18"/>
                <w:color w:val="auto"/>
                <w:w w:val="97"/>
              </w:rPr>
              <w:t>Power of Attorney (included on the signature</w:t>
            </w: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20" w:type="dxa"/>
            <w:vAlign w:val="bottom"/>
          </w:tcPr>
          <w:p>
            <w:pPr>
              <w:ind w:left="1760"/>
              <w:spacing w:after="0" w:line="189" w:lineRule="exact"/>
              <w:rPr>
                <w:sz w:val="20"/>
                <w:szCs w:val="20"/>
                <w:color w:val="auto"/>
              </w:rPr>
            </w:pPr>
            <w:r>
              <w:rPr>
                <w:rFonts w:ascii="Arial" w:cs="Arial" w:eastAsia="Arial" w:hAnsi="Arial"/>
                <w:sz w:val="18"/>
                <w:szCs w:val="18"/>
                <w:color w:val="auto"/>
              </w:rPr>
              <w:t>X</w:t>
            </w:r>
          </w:p>
        </w:tc>
      </w:tr>
      <w:tr>
        <w:trPr>
          <w:trHeight w:val="155"/>
        </w:trPr>
        <w:tc>
          <w:tcPr>
            <w:tcW w:w="1380" w:type="dxa"/>
            <w:vAlign w:val="bottom"/>
          </w:tcPr>
          <w:p>
            <w:pPr>
              <w:spacing w:after="0"/>
              <w:rPr>
                <w:sz w:val="13"/>
                <w:szCs w:val="13"/>
                <w:color w:val="auto"/>
              </w:rPr>
            </w:pPr>
          </w:p>
        </w:tc>
        <w:tc>
          <w:tcPr>
            <w:tcW w:w="3320" w:type="dxa"/>
            <w:vAlign w:val="bottom"/>
            <w:tcBorders>
              <w:top w:val="single" w:sz="8" w:color="auto"/>
            </w:tcBorders>
            <w:gridSpan w:val="42"/>
          </w:tcPr>
          <w:p>
            <w:pPr>
              <w:spacing w:after="0" w:line="156" w:lineRule="exact"/>
              <w:rPr>
                <w:sz w:val="20"/>
                <w:szCs w:val="20"/>
                <w:color w:val="auto"/>
              </w:rPr>
            </w:pPr>
            <w:r>
              <w:rPr>
                <w:rFonts w:ascii="Arial" w:cs="Arial" w:eastAsia="Arial" w:hAnsi="Arial"/>
                <w:sz w:val="18"/>
                <w:szCs w:val="18"/>
                <w:color w:val="auto"/>
              </w:rPr>
              <w:t>page).</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885"/>
        </w:trPr>
        <w:tc>
          <w:tcPr>
            <w:tcW w:w="1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111</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5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31.1</w:t>
            </w:r>
          </w:p>
        </w:tc>
        <w:tc>
          <w:tcPr>
            <w:tcW w:w="6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Certification of John F. Sheridan, Chief</w:t>
            </w:r>
          </w:p>
        </w:tc>
        <w:tc>
          <w:tcPr>
            <w:tcW w:w="362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X</w:t>
            </w:r>
          </w:p>
        </w:tc>
      </w:tr>
      <w:tr>
        <w:trPr>
          <w:trHeight w:val="156"/>
        </w:trPr>
        <w:tc>
          <w:tcPr>
            <w:tcW w:w="1380" w:type="dxa"/>
            <w:vAlign w:val="bottom"/>
            <w:tcBorders>
              <w:top w:val="single" w:sz="8" w:color="CCEEFF"/>
            </w:tcBorders>
            <w:shd w:val="clear" w:color="auto" w:fill="CCEEFF"/>
          </w:tcPr>
          <w:p>
            <w:pPr>
              <w:spacing w:after="0"/>
              <w:rPr>
                <w:sz w:val="13"/>
                <w:szCs w:val="13"/>
                <w:color w:val="auto"/>
              </w:rPr>
            </w:pPr>
          </w:p>
        </w:tc>
        <w:tc>
          <w:tcPr>
            <w:tcW w:w="2840" w:type="dxa"/>
            <w:vAlign w:val="bottom"/>
            <w:tcBorders>
              <w:top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3"/>
              </w:rPr>
              <w:t>Executive Officer, pursuant to Section</w:t>
            </w:r>
          </w:p>
        </w:tc>
        <w:tc>
          <w:tcPr>
            <w:tcW w:w="3400" w:type="dxa"/>
            <w:vAlign w:val="bottom"/>
            <w:tcBorders>
              <w:top w:val="single" w:sz="8" w:color="CCEEFF"/>
            </w:tcBorders>
            <w:gridSpan w:val="7"/>
            <w:shd w:val="clear" w:color="auto" w:fill="CCEEFF"/>
          </w:tcPr>
          <w:p>
            <w:pPr>
              <w:spacing w:after="0" w:line="156" w:lineRule="exact"/>
              <w:rPr>
                <w:sz w:val="20"/>
                <w:szCs w:val="20"/>
                <w:color w:val="auto"/>
              </w:rPr>
            </w:pPr>
            <w:r>
              <w:rPr>
                <w:rFonts w:ascii="Arial" w:cs="Arial" w:eastAsia="Arial" w:hAnsi="Arial"/>
                <w:sz w:val="18"/>
                <w:szCs w:val="18"/>
                <w:color w:val="auto"/>
              </w:rPr>
              <w:t>302 of</w:t>
            </w:r>
          </w:p>
        </w:tc>
        <w:tc>
          <w:tcPr>
            <w:tcW w:w="3620" w:type="dxa"/>
            <w:vAlign w:val="bottom"/>
            <w:tcBorders>
              <w:top w:val="single" w:sz="8" w:color="CCEEFF"/>
            </w:tcBorders>
            <w:shd w:val="clear" w:color="auto" w:fill="CCEEFF"/>
          </w:tcPr>
          <w:p>
            <w:pPr>
              <w:spacing w:after="0"/>
              <w:rPr>
                <w:sz w:val="13"/>
                <w:szCs w:val="13"/>
                <w:color w:val="auto"/>
              </w:rPr>
            </w:pPr>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2380" w:type="dxa"/>
            <w:vAlign w:val="bottom"/>
            <w:tcBorders>
              <w:top w:val="single" w:sz="8" w:color="auto"/>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0"/>
              </w:rPr>
              <w:t>the Sarbanes-Oxley Act of 2002.</w:t>
            </w:r>
          </w:p>
        </w:tc>
        <w:tc>
          <w:tcPr>
            <w:tcW w:w="90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2960" w:type="dxa"/>
            <w:vAlign w:val="bottom"/>
            <w:tcBorders>
              <w:top w:val="single" w:sz="8" w:color="CCEEFF"/>
              <w:bottom w:val="single" w:sz="8" w:color="CCEEFF"/>
            </w:tcBorders>
            <w:shd w:val="clear" w:color="auto" w:fill="CCEEFF"/>
          </w:tcPr>
          <w:p>
            <w:pPr>
              <w:spacing w:after="0"/>
              <w:rPr>
                <w:sz w:val="16"/>
                <w:szCs w:val="16"/>
                <w:color w:val="auto"/>
              </w:rPr>
            </w:pPr>
          </w:p>
        </w:tc>
        <w:tc>
          <w:tcPr>
            <w:tcW w:w="36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1"/>
              </w:rPr>
              <w:t>31.2</w:t>
            </w:r>
          </w:p>
        </w:tc>
        <w:tc>
          <w:tcPr>
            <w:tcW w:w="6240" w:type="dxa"/>
            <w:vAlign w:val="bottom"/>
            <w:gridSpan w:val="10"/>
          </w:tcPr>
          <w:p>
            <w:pPr>
              <w:spacing w:after="0" w:line="189" w:lineRule="exact"/>
              <w:rPr>
                <w:sz w:val="20"/>
                <w:szCs w:val="20"/>
                <w:color w:val="auto"/>
              </w:rPr>
            </w:pPr>
            <w:r>
              <w:rPr>
                <w:rFonts w:ascii="Arial" w:cs="Arial" w:eastAsia="Arial" w:hAnsi="Arial"/>
                <w:sz w:val="18"/>
                <w:szCs w:val="18"/>
                <w:color w:val="auto"/>
              </w:rPr>
              <w:t>Certification of Leigh A. Vosseller, Chief</w:t>
            </w:r>
          </w:p>
        </w:tc>
        <w:tc>
          <w:tcPr>
            <w:tcW w:w="3620" w:type="dxa"/>
            <w:vAlign w:val="bottom"/>
          </w:tcPr>
          <w:p>
            <w:pPr>
              <w:ind w:left="2960"/>
              <w:spacing w:after="0" w:line="189" w:lineRule="exact"/>
              <w:rPr>
                <w:sz w:val="20"/>
                <w:szCs w:val="20"/>
                <w:color w:val="auto"/>
              </w:rPr>
            </w:pPr>
            <w:r>
              <w:rPr>
                <w:rFonts w:ascii="Arial" w:cs="Arial" w:eastAsia="Arial" w:hAnsi="Arial"/>
                <w:sz w:val="18"/>
                <w:szCs w:val="18"/>
                <w:color w:val="auto"/>
              </w:rPr>
              <w:t>X</w:t>
            </w:r>
          </w:p>
        </w:tc>
      </w:tr>
      <w:tr>
        <w:trPr>
          <w:trHeight w:val="156"/>
        </w:trPr>
        <w:tc>
          <w:tcPr>
            <w:tcW w:w="1380" w:type="dxa"/>
            <w:vAlign w:val="bottom"/>
          </w:tcPr>
          <w:p>
            <w:pPr>
              <w:spacing w:after="0"/>
              <w:rPr>
                <w:sz w:val="13"/>
                <w:szCs w:val="13"/>
                <w:color w:val="auto"/>
              </w:rPr>
            </w:pPr>
          </w:p>
        </w:tc>
        <w:tc>
          <w:tcPr>
            <w:tcW w:w="2980" w:type="dxa"/>
            <w:vAlign w:val="bottom"/>
            <w:tcBorders>
              <w:top w:val="single" w:sz="8" w:color="auto"/>
            </w:tcBorders>
            <w:gridSpan w:val="5"/>
          </w:tcPr>
          <w:p>
            <w:pPr>
              <w:spacing w:after="0" w:line="156" w:lineRule="exact"/>
              <w:rPr>
                <w:sz w:val="20"/>
                <w:szCs w:val="20"/>
                <w:color w:val="auto"/>
              </w:rPr>
            </w:pPr>
            <w:r>
              <w:rPr>
                <w:rFonts w:ascii="Arial" w:cs="Arial" w:eastAsia="Arial" w:hAnsi="Arial"/>
                <w:sz w:val="18"/>
                <w:szCs w:val="18"/>
                <w:color w:val="auto"/>
                <w:w w:val="89"/>
              </w:rPr>
              <w:t>Financial Officer, pursuant to Section 302</w:t>
            </w:r>
          </w:p>
        </w:tc>
        <w:tc>
          <w:tcPr>
            <w:tcW w:w="3260" w:type="dxa"/>
            <w:vAlign w:val="bottom"/>
            <w:gridSpan w:val="5"/>
          </w:tcPr>
          <w:p>
            <w:pPr>
              <w:ind w:left="100"/>
              <w:spacing w:after="0" w:line="156" w:lineRule="exact"/>
              <w:rPr>
                <w:sz w:val="20"/>
                <w:szCs w:val="20"/>
                <w:color w:val="auto"/>
              </w:rPr>
            </w:pPr>
            <w:r>
              <w:rPr>
                <w:rFonts w:ascii="Arial" w:cs="Arial" w:eastAsia="Arial" w:hAnsi="Arial"/>
                <w:sz w:val="18"/>
                <w:szCs w:val="18"/>
                <w:color w:val="auto"/>
              </w:rPr>
              <w:t>of</w:t>
            </w:r>
          </w:p>
        </w:tc>
        <w:tc>
          <w:tcPr>
            <w:tcW w:w="36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220" w:type="dxa"/>
            <w:vAlign w:val="bottom"/>
            <w:tcBorders>
              <w:top w:val="single" w:sz="8" w:color="auto"/>
            </w:tcBorders>
            <w:gridSpan w:val="7"/>
          </w:tcPr>
          <w:p>
            <w:pPr>
              <w:spacing w:after="0" w:line="156" w:lineRule="exact"/>
              <w:rPr>
                <w:sz w:val="20"/>
                <w:szCs w:val="20"/>
                <w:color w:val="auto"/>
              </w:rPr>
            </w:pPr>
            <w:r>
              <w:rPr>
                <w:rFonts w:ascii="Arial" w:cs="Arial" w:eastAsia="Arial" w:hAnsi="Arial"/>
                <w:sz w:val="18"/>
                <w:szCs w:val="18"/>
                <w:color w:val="auto"/>
              </w:rPr>
              <w:t>the Sarbanes-Oxley Act of 2002.</w:t>
            </w:r>
          </w:p>
        </w:tc>
        <w:tc>
          <w:tcPr>
            <w:tcW w:w="20" w:type="dxa"/>
            <w:vAlign w:val="bottom"/>
          </w:tcPr>
          <w:p>
            <w:pPr>
              <w:spacing w:after="0"/>
              <w:rPr>
                <w:sz w:val="13"/>
                <w:szCs w:val="13"/>
                <w:color w:val="auto"/>
              </w:rPr>
            </w:pPr>
          </w:p>
        </w:tc>
        <w:tc>
          <w:tcPr>
            <w:tcW w:w="3000" w:type="dxa"/>
            <w:vAlign w:val="bottom"/>
            <w:gridSpan w:val="2"/>
          </w:tcPr>
          <w:p>
            <w:pPr>
              <w:spacing w:after="0"/>
              <w:rPr>
                <w:sz w:val="13"/>
                <w:szCs w:val="13"/>
                <w:color w:val="auto"/>
              </w:rPr>
            </w:pPr>
          </w:p>
        </w:tc>
        <w:tc>
          <w:tcPr>
            <w:tcW w:w="36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189"/>
        </w:trPr>
        <w:tc>
          <w:tcPr>
            <w:tcW w:w="138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rPr>
              <w:t>32.1***</w:t>
            </w:r>
          </w:p>
        </w:tc>
        <w:tc>
          <w:tcPr>
            <w:tcW w:w="624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auto"/>
              </w:rPr>
              <w:t>18 U.S.C. Section 1350 Certification by</w:t>
            </w:r>
          </w:p>
        </w:tc>
        <w:tc>
          <w:tcPr>
            <w:tcW w:w="3620" w:type="dxa"/>
            <w:vAlign w:val="bottom"/>
            <w:shd w:val="clear" w:color="auto" w:fill="CCEEFF"/>
          </w:tcPr>
          <w:p>
            <w:pPr>
              <w:ind w:left="2960"/>
              <w:spacing w:after="0" w:line="189" w:lineRule="exact"/>
              <w:rPr>
                <w:sz w:val="20"/>
                <w:szCs w:val="20"/>
                <w:color w:val="auto"/>
              </w:rPr>
            </w:pPr>
            <w:r>
              <w:rPr>
                <w:rFonts w:ascii="Arial" w:cs="Arial" w:eastAsia="Arial" w:hAnsi="Arial"/>
                <w:sz w:val="18"/>
                <w:szCs w:val="18"/>
                <w:color w:val="auto"/>
              </w:rPr>
              <w:t>X</w:t>
            </w:r>
          </w:p>
        </w:tc>
      </w:tr>
      <w:tr>
        <w:trPr>
          <w:trHeight w:val="20"/>
        </w:trPr>
        <w:tc>
          <w:tcPr>
            <w:tcW w:w="13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6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000" w:type="dxa"/>
            <w:vAlign w:val="bottom"/>
            <w:gridSpan w:val="2"/>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r>
      <w:tr>
        <w:trPr>
          <w:trHeight w:val="156"/>
        </w:trPr>
        <w:tc>
          <w:tcPr>
            <w:tcW w:w="1380" w:type="dxa"/>
            <w:vAlign w:val="bottom"/>
            <w:shd w:val="clear" w:color="auto" w:fill="CCEEFF"/>
          </w:tcPr>
          <w:p>
            <w:pPr>
              <w:spacing w:after="0"/>
              <w:rPr>
                <w:sz w:val="13"/>
                <w:szCs w:val="13"/>
                <w:color w:val="auto"/>
              </w:rPr>
            </w:pPr>
          </w:p>
        </w:tc>
        <w:tc>
          <w:tcPr>
            <w:tcW w:w="6240" w:type="dxa"/>
            <w:vAlign w:val="bottom"/>
            <w:gridSpan w:val="10"/>
            <w:shd w:val="clear" w:color="auto" w:fill="CCEEFF"/>
          </w:tcPr>
          <w:p>
            <w:pPr>
              <w:spacing w:after="0" w:line="156" w:lineRule="exact"/>
              <w:rPr>
                <w:sz w:val="20"/>
                <w:szCs w:val="20"/>
                <w:color w:val="auto"/>
              </w:rPr>
            </w:pPr>
            <w:r>
              <w:rPr>
                <w:rFonts w:ascii="Arial" w:cs="Arial" w:eastAsia="Arial" w:hAnsi="Arial"/>
                <w:sz w:val="18"/>
                <w:szCs w:val="18"/>
                <w:color w:val="auto"/>
              </w:rPr>
              <w:t>Chief Executive Officer of Tandem Diabetes</w:t>
            </w:r>
          </w:p>
        </w:tc>
        <w:tc>
          <w:tcPr>
            <w:tcW w:w="3620" w:type="dxa"/>
            <w:vAlign w:val="bottom"/>
            <w:shd w:val="clear" w:color="auto" w:fill="CCEEFF"/>
          </w:tcPr>
          <w:p>
            <w:pPr>
              <w:spacing w:after="0"/>
              <w:rPr>
                <w:sz w:val="13"/>
                <w:szCs w:val="13"/>
                <w:color w:val="auto"/>
              </w:rPr>
            </w:pPr>
          </w:p>
        </w:tc>
      </w:tr>
      <w:tr>
        <w:trPr>
          <w:trHeight w:val="189"/>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Care, Inc.</w:t>
            </w:r>
          </w:p>
        </w:tc>
        <w:tc>
          <w:tcPr>
            <w:tcW w:w="2520" w:type="dxa"/>
            <w:vAlign w:val="bottom"/>
            <w:tcBorders>
              <w:top w:val="single" w:sz="8" w:color="auto"/>
              <w:bottom w:val="single" w:sz="8" w:color="CCEEFF"/>
            </w:tcBorders>
            <w:gridSpan w:val="7"/>
            <w:shd w:val="clear" w:color="auto" w:fill="CCEEFF"/>
          </w:tcPr>
          <w:p>
            <w:pPr>
              <w:spacing w:after="0"/>
              <w:rPr>
                <w:sz w:val="16"/>
                <w:szCs w:val="16"/>
                <w:color w:val="auto"/>
              </w:rPr>
            </w:pPr>
          </w:p>
        </w:tc>
        <w:tc>
          <w:tcPr>
            <w:tcW w:w="30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36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ind w:right="30"/>
              <w:spacing w:after="0" w:line="189" w:lineRule="exact"/>
              <w:rPr>
                <w:sz w:val="20"/>
                <w:szCs w:val="20"/>
                <w:color w:val="auto"/>
              </w:rPr>
            </w:pPr>
            <w:r>
              <w:rPr>
                <w:rFonts w:ascii="Arial" w:cs="Arial" w:eastAsia="Arial" w:hAnsi="Arial"/>
                <w:sz w:val="18"/>
                <w:szCs w:val="18"/>
                <w:color w:val="auto"/>
              </w:rPr>
              <w:t>32.2***</w:t>
            </w:r>
          </w:p>
        </w:tc>
        <w:tc>
          <w:tcPr>
            <w:tcW w:w="6240" w:type="dxa"/>
            <w:vAlign w:val="bottom"/>
            <w:gridSpan w:val="10"/>
          </w:tcPr>
          <w:p>
            <w:pPr>
              <w:spacing w:after="0" w:line="189" w:lineRule="exact"/>
              <w:rPr>
                <w:sz w:val="20"/>
                <w:szCs w:val="20"/>
                <w:color w:val="auto"/>
              </w:rPr>
            </w:pPr>
            <w:r>
              <w:rPr>
                <w:rFonts w:ascii="Arial" w:cs="Arial" w:eastAsia="Arial" w:hAnsi="Arial"/>
                <w:sz w:val="18"/>
                <w:szCs w:val="18"/>
                <w:color w:val="auto"/>
              </w:rPr>
              <w:t>18 U.S.C. Section 1350 Certification by</w:t>
            </w:r>
          </w:p>
        </w:tc>
        <w:tc>
          <w:tcPr>
            <w:tcW w:w="3620" w:type="dxa"/>
            <w:vAlign w:val="bottom"/>
          </w:tcPr>
          <w:p>
            <w:pPr>
              <w:ind w:left="2960"/>
              <w:spacing w:after="0" w:line="189" w:lineRule="exact"/>
              <w:rPr>
                <w:sz w:val="20"/>
                <w:szCs w:val="20"/>
                <w:color w:val="auto"/>
              </w:rPr>
            </w:pPr>
            <w:r>
              <w:rPr>
                <w:rFonts w:ascii="Arial" w:cs="Arial" w:eastAsia="Arial" w:hAnsi="Arial"/>
                <w:sz w:val="18"/>
                <w:szCs w:val="18"/>
                <w:color w:val="auto"/>
              </w:rPr>
              <w:t>X</w:t>
            </w:r>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6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156"/>
        </w:trPr>
        <w:tc>
          <w:tcPr>
            <w:tcW w:w="1380" w:type="dxa"/>
            <w:vAlign w:val="bottom"/>
          </w:tcPr>
          <w:p>
            <w:pPr>
              <w:spacing w:after="0"/>
              <w:rPr>
                <w:sz w:val="13"/>
                <w:szCs w:val="13"/>
                <w:color w:val="auto"/>
              </w:rPr>
            </w:pPr>
          </w:p>
        </w:tc>
        <w:tc>
          <w:tcPr>
            <w:tcW w:w="6240" w:type="dxa"/>
            <w:vAlign w:val="bottom"/>
            <w:gridSpan w:val="10"/>
          </w:tcPr>
          <w:p>
            <w:pPr>
              <w:spacing w:after="0" w:line="156" w:lineRule="exact"/>
              <w:rPr>
                <w:sz w:val="20"/>
                <w:szCs w:val="20"/>
                <w:color w:val="auto"/>
              </w:rPr>
            </w:pPr>
            <w:r>
              <w:rPr>
                <w:rFonts w:ascii="Arial" w:cs="Arial" w:eastAsia="Arial" w:hAnsi="Arial"/>
                <w:sz w:val="18"/>
                <w:szCs w:val="18"/>
                <w:color w:val="auto"/>
              </w:rPr>
              <w:t>Chief Financial Officer of Tandem Diabetes</w:t>
            </w:r>
          </w:p>
        </w:tc>
        <w:tc>
          <w:tcPr>
            <w:tcW w:w="362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3180" w:type="dxa"/>
            <w:vAlign w:val="bottom"/>
            <w:tcBorders>
              <w:top w:val="single" w:sz="8" w:color="auto"/>
            </w:tcBorders>
            <w:gridSpan w:val="6"/>
          </w:tcPr>
          <w:p>
            <w:pPr>
              <w:spacing w:after="0" w:line="156" w:lineRule="exact"/>
              <w:rPr>
                <w:sz w:val="20"/>
                <w:szCs w:val="20"/>
                <w:color w:val="auto"/>
              </w:rPr>
            </w:pPr>
            <w:r>
              <w:rPr>
                <w:rFonts w:ascii="Arial" w:cs="Arial" w:eastAsia="Arial" w:hAnsi="Arial"/>
                <w:sz w:val="18"/>
                <w:szCs w:val="18"/>
                <w:color w:val="auto"/>
              </w:rPr>
              <w:t>Care, Inc.</w:t>
            </w:r>
          </w:p>
        </w:tc>
        <w:tc>
          <w:tcPr>
            <w:tcW w:w="3060" w:type="dxa"/>
            <w:vAlign w:val="bottom"/>
            <w:gridSpan w:val="4"/>
          </w:tcPr>
          <w:p>
            <w:pPr>
              <w:spacing w:after="0"/>
              <w:rPr>
                <w:sz w:val="13"/>
                <w:szCs w:val="13"/>
                <w:color w:val="auto"/>
              </w:rPr>
            </w:pPr>
          </w:p>
        </w:tc>
        <w:tc>
          <w:tcPr>
            <w:tcW w:w="3620" w:type="dxa"/>
            <w:vAlign w:val="bottom"/>
          </w:tcPr>
          <w:p>
            <w:pPr>
              <w:spacing w:after="0"/>
              <w:rPr>
                <w:sz w:val="13"/>
                <w:szCs w:val="13"/>
                <w:color w:val="auto"/>
              </w:rPr>
            </w:pPr>
          </w:p>
        </w:tc>
      </w:tr>
      <w:tr>
        <w:trPr>
          <w:trHeight w:val="34"/>
        </w:trPr>
        <w:tc>
          <w:tcPr>
            <w:tcW w:w="13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29"/>
        </w:trPr>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101.INS</w:t>
            </w:r>
          </w:p>
        </w:tc>
        <w:tc>
          <w:tcPr>
            <w:tcW w:w="6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3620" w:type="dxa"/>
            <w:vAlign w:val="bottom"/>
            <w:shd w:val="clear" w:color="auto" w:fill="CCEEFF"/>
          </w:tcPr>
          <w:p>
            <w:pPr>
              <w:ind w:left="2960"/>
              <w:spacing w:after="0"/>
              <w:rPr>
                <w:sz w:val="20"/>
                <w:szCs w:val="20"/>
                <w:color w:val="auto"/>
              </w:rPr>
            </w:pPr>
            <w:r>
              <w:rPr>
                <w:rFonts w:ascii="Arial" w:cs="Arial" w:eastAsia="Arial" w:hAnsi="Arial"/>
                <w:sz w:val="18"/>
                <w:szCs w:val="18"/>
                <w:color w:val="auto"/>
              </w:rPr>
              <w:t>X</w:t>
            </w:r>
          </w:p>
        </w:tc>
      </w:tr>
      <w:tr>
        <w:trPr>
          <w:trHeight w:val="176"/>
        </w:trPr>
        <w:tc>
          <w:tcPr>
            <w:tcW w:w="13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101.SCH</w:t>
            </w:r>
          </w:p>
        </w:tc>
        <w:tc>
          <w:tcPr>
            <w:tcW w:w="624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3620" w:type="dxa"/>
            <w:vAlign w:val="bottom"/>
          </w:tcPr>
          <w:p>
            <w:pPr>
              <w:ind w:left="2960"/>
              <w:spacing w:after="0" w:line="176" w:lineRule="exact"/>
              <w:rPr>
                <w:sz w:val="20"/>
                <w:szCs w:val="20"/>
                <w:color w:val="auto"/>
              </w:rPr>
            </w:pPr>
            <w:r>
              <w:rPr>
                <w:rFonts w:ascii="Arial" w:cs="Arial" w:eastAsia="Arial" w:hAnsi="Arial"/>
                <w:sz w:val="18"/>
                <w:szCs w:val="18"/>
                <w:color w:val="auto"/>
              </w:rPr>
              <w:t>X</w:t>
            </w:r>
          </w:p>
        </w:tc>
      </w:tr>
      <w:tr>
        <w:trPr>
          <w:trHeight w:val="237"/>
        </w:trPr>
        <w:tc>
          <w:tcPr>
            <w:tcW w:w="1380" w:type="dxa"/>
            <w:vAlign w:val="bottom"/>
          </w:tcPr>
          <w:p>
            <w:pPr>
              <w:spacing w:after="0"/>
              <w:rPr>
                <w:sz w:val="20"/>
                <w:szCs w:val="20"/>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3620" w:type="dxa"/>
            <w:vAlign w:val="bottom"/>
          </w:tcPr>
          <w:p>
            <w:pPr>
              <w:spacing w:after="0"/>
              <w:rPr>
                <w:sz w:val="20"/>
                <w:szCs w:val="20"/>
                <w:color w:val="auto"/>
              </w:rPr>
            </w:pPr>
          </w:p>
        </w:tc>
      </w:tr>
      <w:tr>
        <w:trPr>
          <w:trHeight w:val="182"/>
        </w:trPr>
        <w:tc>
          <w:tcPr>
            <w:tcW w:w="1380" w:type="dxa"/>
            <w:vAlign w:val="bottom"/>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97"/>
              </w:rPr>
              <w:t>101.CAL</w:t>
            </w:r>
          </w:p>
        </w:tc>
        <w:tc>
          <w:tcPr>
            <w:tcW w:w="6240" w:type="dxa"/>
            <w:vAlign w:val="bottom"/>
            <w:gridSpan w:val="10"/>
            <w:shd w:val="clear" w:color="auto" w:fill="CCEEFF"/>
          </w:tcPr>
          <w:p>
            <w:pPr>
              <w:spacing w:after="0" w:line="182" w:lineRule="exact"/>
              <w:rPr>
                <w:sz w:val="20"/>
                <w:szCs w:val="20"/>
                <w:color w:val="auto"/>
              </w:rPr>
            </w:pPr>
            <w:r>
              <w:rPr>
                <w:rFonts w:ascii="Arial" w:cs="Arial" w:eastAsia="Arial" w:hAnsi="Arial"/>
                <w:sz w:val="18"/>
                <w:szCs w:val="18"/>
                <w:color w:val="auto"/>
              </w:rPr>
              <w:t>Inline XBRL Taxonomy Extension</w:t>
            </w:r>
          </w:p>
        </w:tc>
        <w:tc>
          <w:tcPr>
            <w:tcW w:w="3620" w:type="dxa"/>
            <w:vAlign w:val="bottom"/>
            <w:shd w:val="clear" w:color="auto" w:fill="CCEEFF"/>
          </w:tcPr>
          <w:p>
            <w:pPr>
              <w:ind w:left="2960"/>
              <w:spacing w:after="0" w:line="182" w:lineRule="exact"/>
              <w:rPr>
                <w:sz w:val="20"/>
                <w:szCs w:val="20"/>
                <w:color w:val="auto"/>
              </w:rPr>
            </w:pPr>
            <w:r>
              <w:rPr>
                <w:rFonts w:ascii="Arial" w:cs="Arial" w:eastAsia="Arial" w:hAnsi="Arial"/>
                <w:sz w:val="18"/>
                <w:szCs w:val="18"/>
                <w:color w:val="auto"/>
              </w:rPr>
              <w:t>X</w:t>
            </w:r>
          </w:p>
        </w:tc>
      </w:tr>
      <w:tr>
        <w:trPr>
          <w:trHeight w:val="243"/>
        </w:trPr>
        <w:tc>
          <w:tcPr>
            <w:tcW w:w="1380" w:type="dxa"/>
            <w:vAlign w:val="bottom"/>
            <w:shd w:val="clear" w:color="auto" w:fill="CCEEFF"/>
          </w:tcPr>
          <w:p>
            <w:pPr>
              <w:spacing w:after="0"/>
              <w:rPr>
                <w:sz w:val="21"/>
                <w:szCs w:val="21"/>
                <w:color w:val="auto"/>
              </w:rPr>
            </w:pPr>
          </w:p>
        </w:tc>
        <w:tc>
          <w:tcPr>
            <w:tcW w:w="6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Calculation Linkbase Document.</w:t>
            </w:r>
          </w:p>
        </w:tc>
        <w:tc>
          <w:tcPr>
            <w:tcW w:w="3620" w:type="dxa"/>
            <w:vAlign w:val="bottom"/>
            <w:shd w:val="clear" w:color="auto" w:fill="CCEEFF"/>
          </w:tcPr>
          <w:p>
            <w:pPr>
              <w:spacing w:after="0"/>
              <w:rPr>
                <w:sz w:val="21"/>
                <w:szCs w:val="21"/>
                <w:color w:val="auto"/>
              </w:rPr>
            </w:pPr>
          </w:p>
        </w:tc>
      </w:tr>
      <w:tr>
        <w:trPr>
          <w:trHeight w:val="176"/>
        </w:trPr>
        <w:tc>
          <w:tcPr>
            <w:tcW w:w="13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101.DEF</w:t>
            </w:r>
          </w:p>
        </w:tc>
        <w:tc>
          <w:tcPr>
            <w:tcW w:w="624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w:t>
            </w:r>
          </w:p>
        </w:tc>
        <w:tc>
          <w:tcPr>
            <w:tcW w:w="3620" w:type="dxa"/>
            <w:vAlign w:val="bottom"/>
          </w:tcPr>
          <w:p>
            <w:pPr>
              <w:ind w:left="2960"/>
              <w:spacing w:after="0" w:line="176" w:lineRule="exact"/>
              <w:rPr>
                <w:sz w:val="20"/>
                <w:szCs w:val="20"/>
                <w:color w:val="auto"/>
              </w:rPr>
            </w:pPr>
            <w:r>
              <w:rPr>
                <w:rFonts w:ascii="Arial" w:cs="Arial" w:eastAsia="Arial" w:hAnsi="Arial"/>
                <w:sz w:val="18"/>
                <w:szCs w:val="18"/>
                <w:color w:val="auto"/>
              </w:rPr>
              <w:t>X</w:t>
            </w:r>
          </w:p>
        </w:tc>
      </w:tr>
      <w:tr>
        <w:trPr>
          <w:trHeight w:val="237"/>
        </w:trPr>
        <w:tc>
          <w:tcPr>
            <w:tcW w:w="1380" w:type="dxa"/>
            <w:vAlign w:val="bottom"/>
          </w:tcPr>
          <w:p>
            <w:pPr>
              <w:spacing w:after="0"/>
              <w:rPr>
                <w:sz w:val="20"/>
                <w:szCs w:val="20"/>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Definition Linkbase Document.</w:t>
            </w:r>
          </w:p>
        </w:tc>
        <w:tc>
          <w:tcPr>
            <w:tcW w:w="3620" w:type="dxa"/>
            <w:vAlign w:val="bottom"/>
          </w:tcPr>
          <w:p>
            <w:pPr>
              <w:spacing w:after="0"/>
              <w:rPr>
                <w:sz w:val="20"/>
                <w:szCs w:val="20"/>
                <w:color w:val="auto"/>
              </w:rPr>
            </w:pPr>
          </w:p>
        </w:tc>
      </w:tr>
      <w:tr>
        <w:trPr>
          <w:trHeight w:val="182"/>
        </w:trPr>
        <w:tc>
          <w:tcPr>
            <w:tcW w:w="1380" w:type="dxa"/>
            <w:vAlign w:val="bottom"/>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98"/>
              </w:rPr>
              <w:t>101.LAB</w:t>
            </w:r>
          </w:p>
        </w:tc>
        <w:tc>
          <w:tcPr>
            <w:tcW w:w="6240" w:type="dxa"/>
            <w:vAlign w:val="bottom"/>
            <w:gridSpan w:val="10"/>
            <w:shd w:val="clear" w:color="auto" w:fill="CCEEFF"/>
          </w:tcPr>
          <w:p>
            <w:pPr>
              <w:spacing w:after="0" w:line="182" w:lineRule="exact"/>
              <w:rPr>
                <w:sz w:val="20"/>
                <w:szCs w:val="20"/>
                <w:color w:val="auto"/>
              </w:rPr>
            </w:pPr>
            <w:r>
              <w:rPr>
                <w:rFonts w:ascii="Arial" w:cs="Arial" w:eastAsia="Arial" w:hAnsi="Arial"/>
                <w:sz w:val="18"/>
                <w:szCs w:val="18"/>
                <w:color w:val="auto"/>
              </w:rPr>
              <w:t>Inline XBRL Taxonomy Extension Label</w:t>
            </w:r>
          </w:p>
        </w:tc>
        <w:tc>
          <w:tcPr>
            <w:tcW w:w="3620" w:type="dxa"/>
            <w:vAlign w:val="bottom"/>
            <w:shd w:val="clear" w:color="auto" w:fill="CCEEFF"/>
          </w:tcPr>
          <w:p>
            <w:pPr>
              <w:ind w:left="2960"/>
              <w:spacing w:after="0" w:line="182" w:lineRule="exact"/>
              <w:rPr>
                <w:sz w:val="20"/>
                <w:szCs w:val="20"/>
                <w:color w:val="auto"/>
              </w:rPr>
            </w:pPr>
            <w:r>
              <w:rPr>
                <w:rFonts w:ascii="Arial" w:cs="Arial" w:eastAsia="Arial" w:hAnsi="Arial"/>
                <w:sz w:val="18"/>
                <w:szCs w:val="18"/>
                <w:color w:val="auto"/>
              </w:rPr>
              <w:t>X</w:t>
            </w:r>
          </w:p>
        </w:tc>
      </w:tr>
      <w:tr>
        <w:trPr>
          <w:trHeight w:val="243"/>
        </w:trPr>
        <w:tc>
          <w:tcPr>
            <w:tcW w:w="1380" w:type="dxa"/>
            <w:vAlign w:val="bottom"/>
            <w:shd w:val="clear" w:color="auto" w:fill="CCEEFF"/>
          </w:tcPr>
          <w:p>
            <w:pPr>
              <w:spacing w:after="0"/>
              <w:rPr>
                <w:sz w:val="21"/>
                <w:szCs w:val="21"/>
                <w:color w:val="auto"/>
              </w:rPr>
            </w:pPr>
          </w:p>
        </w:tc>
        <w:tc>
          <w:tcPr>
            <w:tcW w:w="6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3620" w:type="dxa"/>
            <w:vAlign w:val="bottom"/>
            <w:shd w:val="clear" w:color="auto" w:fill="CCEEFF"/>
          </w:tcPr>
          <w:p>
            <w:pPr>
              <w:spacing w:after="0"/>
              <w:rPr>
                <w:sz w:val="21"/>
                <w:szCs w:val="21"/>
                <w:color w:val="auto"/>
              </w:rPr>
            </w:pPr>
          </w:p>
        </w:tc>
      </w:tr>
      <w:tr>
        <w:trPr>
          <w:trHeight w:val="175"/>
        </w:trPr>
        <w:tc>
          <w:tcPr>
            <w:tcW w:w="13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8"/>
              </w:rPr>
              <w:t>101.PRE</w:t>
            </w:r>
          </w:p>
        </w:tc>
        <w:tc>
          <w:tcPr>
            <w:tcW w:w="624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w:t>
            </w:r>
          </w:p>
        </w:tc>
        <w:tc>
          <w:tcPr>
            <w:tcW w:w="3620" w:type="dxa"/>
            <w:vAlign w:val="bottom"/>
          </w:tcPr>
          <w:p>
            <w:pPr>
              <w:ind w:left="2960"/>
              <w:spacing w:after="0" w:line="176" w:lineRule="exact"/>
              <w:rPr>
                <w:sz w:val="20"/>
                <w:szCs w:val="20"/>
                <w:color w:val="auto"/>
              </w:rPr>
            </w:pPr>
            <w:r>
              <w:rPr>
                <w:rFonts w:ascii="Arial" w:cs="Arial" w:eastAsia="Arial" w:hAnsi="Arial"/>
                <w:sz w:val="18"/>
                <w:szCs w:val="18"/>
                <w:color w:val="auto"/>
              </w:rPr>
              <w:t>X</w:t>
            </w:r>
          </w:p>
        </w:tc>
      </w:tr>
      <w:tr>
        <w:trPr>
          <w:trHeight w:val="237"/>
        </w:trPr>
        <w:tc>
          <w:tcPr>
            <w:tcW w:w="1380" w:type="dxa"/>
            <w:vAlign w:val="bottom"/>
          </w:tcPr>
          <w:p>
            <w:pPr>
              <w:spacing w:after="0"/>
              <w:rPr>
                <w:sz w:val="20"/>
                <w:szCs w:val="20"/>
                <w:color w:val="auto"/>
              </w:rPr>
            </w:pPr>
          </w:p>
        </w:tc>
        <w:tc>
          <w:tcPr>
            <w:tcW w:w="6240" w:type="dxa"/>
            <w:vAlign w:val="bottom"/>
            <w:gridSpan w:val="10"/>
          </w:tcPr>
          <w:p>
            <w:pPr>
              <w:spacing w:after="0"/>
              <w:rPr>
                <w:sz w:val="20"/>
                <w:szCs w:val="20"/>
                <w:color w:val="auto"/>
              </w:rPr>
            </w:pPr>
            <w:r>
              <w:rPr>
                <w:rFonts w:ascii="Arial" w:cs="Arial" w:eastAsia="Arial" w:hAnsi="Arial"/>
                <w:sz w:val="18"/>
                <w:szCs w:val="18"/>
                <w:color w:val="auto"/>
              </w:rPr>
              <w:t>Presentation Linkbase Document.</w:t>
            </w:r>
          </w:p>
        </w:tc>
        <w:tc>
          <w:tcPr>
            <w:tcW w:w="3620" w:type="dxa"/>
            <w:vAlign w:val="bottom"/>
          </w:tcPr>
          <w:p>
            <w:pPr>
              <w:spacing w:after="0"/>
              <w:rPr>
                <w:sz w:val="20"/>
                <w:szCs w:val="20"/>
                <w:color w:val="auto"/>
              </w:rPr>
            </w:pPr>
          </w:p>
        </w:tc>
      </w:tr>
      <w:tr>
        <w:trPr>
          <w:trHeight w:val="182"/>
        </w:trPr>
        <w:tc>
          <w:tcPr>
            <w:tcW w:w="1380" w:type="dxa"/>
            <w:vAlign w:val="bottom"/>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93"/>
              </w:rPr>
              <w:t>104</w:t>
            </w:r>
          </w:p>
        </w:tc>
        <w:tc>
          <w:tcPr>
            <w:tcW w:w="6240" w:type="dxa"/>
            <w:vAlign w:val="bottom"/>
            <w:gridSpan w:val="10"/>
            <w:shd w:val="clear" w:color="auto" w:fill="CCEEFF"/>
          </w:tcPr>
          <w:p>
            <w:pPr>
              <w:spacing w:after="0" w:line="182" w:lineRule="exact"/>
              <w:rPr>
                <w:sz w:val="20"/>
                <w:szCs w:val="20"/>
                <w:color w:val="auto"/>
              </w:rPr>
            </w:pPr>
            <w:r>
              <w:rPr>
                <w:rFonts w:ascii="Arial" w:cs="Arial" w:eastAsia="Arial" w:hAnsi="Arial"/>
                <w:sz w:val="18"/>
                <w:szCs w:val="18"/>
                <w:color w:val="auto"/>
              </w:rPr>
              <w:t>Cover Page Interactive Data File (embedded</w:t>
            </w:r>
          </w:p>
        </w:tc>
        <w:tc>
          <w:tcPr>
            <w:tcW w:w="3620" w:type="dxa"/>
            <w:vAlign w:val="bottom"/>
            <w:shd w:val="clear" w:color="auto" w:fill="CCEEFF"/>
          </w:tcPr>
          <w:p>
            <w:pPr>
              <w:ind w:left="2960"/>
              <w:spacing w:after="0" w:line="182" w:lineRule="exact"/>
              <w:rPr>
                <w:sz w:val="20"/>
                <w:szCs w:val="20"/>
                <w:color w:val="auto"/>
              </w:rPr>
            </w:pPr>
            <w:r>
              <w:rPr>
                <w:rFonts w:ascii="Arial" w:cs="Arial" w:eastAsia="Arial" w:hAnsi="Arial"/>
                <w:sz w:val="18"/>
                <w:szCs w:val="18"/>
                <w:color w:val="auto"/>
              </w:rPr>
              <w:t>X</w:t>
            </w:r>
          </w:p>
        </w:tc>
      </w:tr>
      <w:tr>
        <w:trPr>
          <w:trHeight w:val="243"/>
        </w:trPr>
        <w:tc>
          <w:tcPr>
            <w:tcW w:w="1380" w:type="dxa"/>
            <w:vAlign w:val="bottom"/>
            <w:shd w:val="clear" w:color="auto" w:fill="CCEEFF"/>
          </w:tcPr>
          <w:p>
            <w:pPr>
              <w:spacing w:after="0"/>
              <w:rPr>
                <w:sz w:val="21"/>
                <w:szCs w:val="21"/>
                <w:color w:val="auto"/>
              </w:rPr>
            </w:pPr>
          </w:p>
        </w:tc>
        <w:tc>
          <w:tcPr>
            <w:tcW w:w="62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c>
          <w:tcPr>
            <w:tcW w:w="3620" w:type="dxa"/>
            <w:vAlign w:val="bottom"/>
            <w:shd w:val="clear" w:color="auto" w:fill="CCEEFF"/>
          </w:tcPr>
          <w:p>
            <w:pPr>
              <w:spacing w:after="0"/>
              <w:rPr>
                <w:sz w:val="21"/>
                <w:szCs w:val="21"/>
                <w:color w:val="auto"/>
              </w:rPr>
            </w:pPr>
          </w:p>
        </w:tc>
      </w:tr>
    </w:tbl>
    <w:p>
      <w:pPr>
        <w:spacing w:after="0" w:line="67" w:lineRule="exact"/>
        <w:rPr>
          <w:sz w:val="20"/>
          <w:szCs w:val="20"/>
          <w:color w:val="auto"/>
        </w:rPr>
      </w:pPr>
    </w:p>
    <w:p>
      <w:pPr>
        <w:ind w:left="340" w:right="180" w:hanging="332"/>
        <w:spacing w:after="0" w:line="308" w:lineRule="auto"/>
        <w:tabs>
          <w:tab w:leader="none" w:pos="286" w:val="left"/>
        </w:tabs>
        <w:numPr>
          <w:ilvl w:val="0"/>
          <w:numId w:val="60"/>
        </w:numPr>
        <w:rPr>
          <w:rFonts w:ascii="Arial" w:cs="Arial" w:eastAsia="Arial" w:hAnsi="Arial"/>
          <w:sz w:val="17"/>
          <w:szCs w:val="17"/>
          <w:color w:val="auto"/>
        </w:rPr>
      </w:pPr>
      <w:r>
        <w:rPr>
          <w:rFonts w:ascii="Arial" w:cs="Arial" w:eastAsia="Arial" w:hAnsi="Arial"/>
          <w:sz w:val="17"/>
          <w:szCs w:val="17"/>
          <w:color w:val="auto"/>
        </w:rPr>
        <w:t>Certain confidential portions of this exhibit have been redacted pursuant to Item 601(b)(10)(iv) of Regulation S-K. The Company has determined that such omitted information is (i) not material, and (ii) would likely cause competitive harm to the Company if publicly disclosed.</w:t>
      </w:r>
    </w:p>
    <w:p>
      <w:pPr>
        <w:spacing w:after="0" w:line="17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52" w:lineRule="exact"/>
        <w:rPr>
          <w:sz w:val="20"/>
          <w:szCs w:val="20"/>
          <w:color w:val="auto"/>
        </w:rPr>
      </w:pPr>
    </w:p>
    <w:p>
      <w:pPr>
        <w:ind w:left="340" w:right="100" w:hanging="332"/>
        <w:spacing w:after="0" w:line="255" w:lineRule="auto"/>
        <w:tabs>
          <w:tab w:leader="none" w:pos="3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2" w:lineRule="exact"/>
        <w:rPr>
          <w:rFonts w:ascii="Arial" w:cs="Arial" w:eastAsia="Arial" w:hAnsi="Arial"/>
          <w:sz w:val="18"/>
          <w:szCs w:val="18"/>
          <w:color w:val="auto"/>
        </w:rPr>
      </w:pPr>
    </w:p>
    <w:p>
      <w:pPr>
        <w:ind w:left="340" w:right="600" w:hanging="332"/>
        <w:spacing w:after="0" w:line="260" w:lineRule="auto"/>
        <w:tabs>
          <w:tab w:leader="none" w:pos="4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Certification pursuant to 18 U.S.C. Section 1350, adopted pursuant to Section 906 of the Sarbanes-Oxley Act of 2002, as amended; furnished herewith.</w:t>
      </w:r>
    </w:p>
    <w:p>
      <w:pPr>
        <w:spacing w:after="0" w:line="200" w:lineRule="exact"/>
        <w:rPr>
          <w:sz w:val="20"/>
          <w:szCs w:val="20"/>
          <w:color w:val="auto"/>
        </w:rPr>
      </w:pPr>
    </w:p>
    <w:p>
      <w:pPr>
        <w:spacing w:after="0" w:line="2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Tandem Diabetes Care, Inc.</w:t>
      </w:r>
    </w:p>
    <w:p>
      <w:pPr>
        <w:spacing w:after="0" w:line="27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F. Sheridan</w:t>
            </w:r>
          </w:p>
        </w:tc>
      </w:tr>
      <w:tr>
        <w:trPr>
          <w:trHeight w:val="222"/>
        </w:trPr>
        <w:tc>
          <w:tcPr>
            <w:tcW w:w="5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John F. Sheridan</w:t>
            </w:r>
          </w:p>
        </w:tc>
      </w:tr>
      <w:tr>
        <w:trPr>
          <w:trHeight w:val="230"/>
        </w:trPr>
        <w:tc>
          <w:tcPr>
            <w:tcW w:w="5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ind w:left="20"/>
        <w:spacing w:after="0"/>
        <w:rPr>
          <w:sz w:val="20"/>
          <w:szCs w:val="20"/>
          <w:color w:val="auto"/>
        </w:rPr>
      </w:pPr>
      <w:r>
        <w:rPr>
          <w:rFonts w:ascii="Arial" w:cs="Arial" w:eastAsia="Arial" w:hAnsi="Arial"/>
          <w:sz w:val="18"/>
          <w:szCs w:val="18"/>
          <w:color w:val="auto"/>
        </w:rPr>
        <w:t>Date: February 22, 2023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26" w:lineRule="exact"/>
        <w:rPr>
          <w:sz w:val="20"/>
          <w:szCs w:val="20"/>
          <w:color w:val="auto"/>
        </w:rPr>
      </w:pPr>
    </w:p>
    <w:p>
      <w:pPr>
        <w:ind w:right="26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480" w:type="dxa"/>
            <w:vAlign w:val="bottom"/>
          </w:tcPr>
          <w:p>
            <w:pPr>
              <w:spacing w:after="0"/>
              <w:rPr>
                <w:sz w:val="14"/>
                <w:szCs w:val="14"/>
                <w:color w:val="auto"/>
              </w:rPr>
            </w:pP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00" w:type="dxa"/>
            <w:vAlign w:val="bottom"/>
            <w:gridSpan w:val="3"/>
          </w:tcPr>
          <w:p>
            <w:pPr>
              <w:ind w:left="860"/>
              <w:spacing w:after="0"/>
              <w:rPr>
                <w:sz w:val="20"/>
                <w:szCs w:val="20"/>
                <w:color w:val="auto"/>
              </w:rPr>
            </w:pPr>
            <w:r>
              <w:rPr>
                <w:rFonts w:ascii="Arial" w:cs="Arial" w:eastAsia="Arial" w:hAnsi="Arial"/>
                <w:sz w:val="14"/>
                <w:szCs w:val="14"/>
                <w:b w:val="1"/>
                <w:bCs w:val="1"/>
                <w:color w:val="auto"/>
              </w:rPr>
              <w:t>Date</w:t>
            </w:r>
          </w:p>
        </w:tc>
      </w:tr>
      <w:tr>
        <w:trPr>
          <w:trHeight w:val="20"/>
        </w:trPr>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18"/>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w w:val="93"/>
              </w:rPr>
              <w:t>President, Chief Executive Officer and Director (Principal Executive</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JOHN F. SHERIDAN</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John F. Sheridan</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23"/>
        </w:trPr>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w w:val="99"/>
              </w:rPr>
              <w:t>Executive Vice President, Chief Financial Officer and Treasurer</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LEIGH A. VOSSELLER</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Leigh A. Vosseller</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DICK P. ALLEN</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Lead Independent 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Dick P. Allen</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KIM D. BLICKENSTAFF</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Chair of the Board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Kim D. Blickenstaff</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MYOUNGIL CHA</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Myoungil Cha</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PEYTON R. HOWELL</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Peyton R. Howell</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JOAO PAULO FALCAO MALAGUEIRA</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Joao Paulo Falcao Malagueira</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KATHLEEN MCGRODDY-GOETZ</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Kathleen McGroddy-Goetz</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REBECCA B. ROBERTSON</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Rebecca B. Robertson</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RAJWANT S. SODHI</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Rajwant S. Sodhi</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85"/>
        </w:trPr>
        <w:tc>
          <w:tcPr>
            <w:tcW w:w="4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i w:val="1"/>
                <w:iCs w:val="1"/>
                <w:color w:val="auto"/>
              </w:rPr>
              <w:t>/s/ CHRISTOPHER J. TWOMEY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22, 2023</w:t>
            </w:r>
          </w:p>
        </w:tc>
      </w:tr>
      <w:tr>
        <w:trPr>
          <w:trHeight w:val="22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Christopher J. Twomey</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985" w:right="379" w:bottom="1440" w:gutter="0" w:footer="0" w:header="0"/>
        </w:sectPr>
      </w:pPr>
    </w:p>
    <w:bookmarkStart w:id="115" w:name="page116"/>
    <w:bookmarkEnd w:id="115"/>
    <w:p>
      <w:pPr>
        <w:spacing w:after="0"/>
        <w:rPr>
          <w:sz w:val="20"/>
          <w:szCs w:val="20"/>
          <w:color w:val="auto"/>
        </w:rPr>
      </w:pPr>
      <w:r>
        <w:rPr>
          <w:rFonts w:ascii="Arial" w:cs="Arial" w:eastAsia="Arial" w:hAnsi="Arial"/>
          <w:sz w:val="25"/>
          <w:szCs w:val="25"/>
          <w:color w:val="auto"/>
        </w:rPr>
        <w:t>Share Purchase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dated as of December 10,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and among</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520" w:type="dxa"/>
            <w:vAlign w:val="bottom"/>
            <w:gridSpan w:val="2"/>
          </w:tcPr>
          <w:p>
            <w:pPr>
              <w:spacing w:after="0"/>
              <w:rPr>
                <w:sz w:val="20"/>
                <w:szCs w:val="20"/>
                <w:color w:val="auto"/>
              </w:rPr>
            </w:pPr>
            <w:r>
              <w:rPr>
                <w:rFonts w:ascii="Arial" w:cs="Arial" w:eastAsia="Arial" w:hAnsi="Arial"/>
                <w:sz w:val="18"/>
                <w:szCs w:val="18"/>
                <w:color w:val="auto"/>
              </w:rPr>
              <w:t>each of the individuals and entities listed in</w:t>
            </w:r>
          </w:p>
        </w:tc>
        <w:tc>
          <w:tcPr>
            <w:tcW w:w="4520" w:type="dxa"/>
            <w:vAlign w:val="bottom"/>
          </w:tcPr>
          <w:p>
            <w:pPr>
              <w:ind w:left="1100"/>
              <w:spacing w:after="0"/>
              <w:rPr>
                <w:sz w:val="20"/>
                <w:szCs w:val="20"/>
                <w:color w:val="auto"/>
              </w:rPr>
            </w:pPr>
            <w:r>
              <w:rPr>
                <w:rFonts w:ascii="Arial" w:cs="Arial" w:eastAsia="Arial" w:hAnsi="Arial"/>
                <w:sz w:val="18"/>
                <w:szCs w:val="18"/>
                <w:color w:val="auto"/>
                <w:w w:val="99"/>
              </w:rPr>
              <w:t xml:space="preserve">(each a </w:t>
            </w:r>
            <w:r>
              <w:rPr>
                <w:rFonts w:ascii="Arial" w:cs="Arial" w:eastAsia="Arial" w:hAnsi="Arial"/>
                <w:sz w:val="18"/>
                <w:szCs w:val="18"/>
                <w:b w:val="1"/>
                <w:bCs w:val="1"/>
                <w:color w:val="auto"/>
                <w:w w:val="99"/>
              </w:rPr>
              <w:t>Seller</w:t>
            </w:r>
            <w:r>
              <w:rPr>
                <w:rFonts w:ascii="Arial" w:cs="Arial" w:eastAsia="Arial" w:hAnsi="Arial"/>
                <w:sz w:val="18"/>
                <w:szCs w:val="18"/>
                <w:color w:val="auto"/>
                <w:w w:val="99"/>
              </w:rPr>
              <w:t xml:space="preserve"> and collectively the </w:t>
            </w:r>
            <w:r>
              <w:rPr>
                <w:rFonts w:ascii="Arial" w:cs="Arial" w:eastAsia="Arial" w:hAnsi="Arial"/>
                <w:sz w:val="18"/>
                <w:szCs w:val="18"/>
                <w:b w:val="1"/>
                <w:bCs w:val="1"/>
                <w:color w:val="auto"/>
                <w:w w:val="99"/>
              </w:rPr>
              <w:t>Sellers</w:t>
            </w:r>
            <w:r>
              <w:rPr>
                <w:rFonts w:ascii="Arial" w:cs="Arial" w:eastAsia="Arial" w:hAnsi="Arial"/>
                <w:sz w:val="18"/>
                <w:szCs w:val="18"/>
                <w:color w:val="auto"/>
                <w:w w:val="99"/>
              </w:rPr>
              <w:t>)</w:t>
            </w:r>
          </w:p>
        </w:tc>
      </w:tr>
      <w:tr>
        <w:trPr>
          <w:trHeight w:val="189"/>
        </w:trPr>
        <w:tc>
          <w:tcPr>
            <w:tcW w:w="4520" w:type="dxa"/>
            <w:vAlign w:val="bottom"/>
            <w:gridSpan w:val="2"/>
          </w:tcPr>
          <w:p>
            <w:pPr>
              <w:spacing w:after="0" w:line="189" w:lineRule="exact"/>
              <w:rPr>
                <w:sz w:val="20"/>
                <w:szCs w:val="20"/>
                <w:color w:val="auto"/>
              </w:rPr>
            </w:pPr>
            <w:r>
              <w:rPr>
                <w:rFonts w:ascii="Arial" w:cs="Arial" w:eastAsia="Arial" w:hAnsi="Arial"/>
                <w:sz w:val="18"/>
                <w:szCs w:val="18"/>
                <w:color w:val="auto"/>
              </w:rPr>
              <w:t>Annex B</w:t>
            </w:r>
          </w:p>
        </w:tc>
        <w:tc>
          <w:tcPr>
            <w:tcW w:w="4520" w:type="dxa"/>
            <w:vAlign w:val="bottom"/>
          </w:tcPr>
          <w:p>
            <w:pPr>
              <w:spacing w:after="0"/>
              <w:rPr>
                <w:sz w:val="16"/>
                <w:szCs w:val="16"/>
                <w:color w:val="auto"/>
              </w:rPr>
            </w:pPr>
          </w:p>
        </w:tc>
      </w:tr>
      <w:tr>
        <w:trPr>
          <w:trHeight w:val="898"/>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w:t>
            </w:r>
          </w:p>
        </w:tc>
        <w:tc>
          <w:tcPr>
            <w:tcW w:w="38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78"/>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Tandem Diabetes Care, Inc.</w:t>
            </w:r>
          </w:p>
        </w:tc>
        <w:tc>
          <w:tcPr>
            <w:tcW w:w="4520" w:type="dxa"/>
            <w:vAlign w:val="bottom"/>
          </w:tcPr>
          <w:p>
            <w:pPr>
              <w:ind w:left="110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Buyer</w:t>
            </w:r>
            <w:r>
              <w:rPr>
                <w:rFonts w:ascii="Arial" w:cs="Arial" w:eastAsia="Arial" w:hAnsi="Arial"/>
                <w:sz w:val="18"/>
                <w:szCs w:val="18"/>
                <w:color w:val="auto"/>
              </w:rPr>
              <w:t>)</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11075 Roselle Street</w:t>
            </w:r>
          </w:p>
        </w:tc>
        <w:tc>
          <w:tcPr>
            <w:tcW w:w="4520" w:type="dxa"/>
            <w:vAlign w:val="bottom"/>
          </w:tcPr>
          <w:p>
            <w:pPr>
              <w:spacing w:after="0"/>
              <w:rPr>
                <w:sz w:val="19"/>
                <w:szCs w:val="19"/>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San Diego, CA 92121</w:t>
            </w:r>
          </w:p>
        </w:tc>
        <w:tc>
          <w:tcPr>
            <w:tcW w:w="4520" w:type="dxa"/>
            <w:vAlign w:val="bottom"/>
          </w:tcPr>
          <w:p>
            <w:pPr>
              <w:spacing w:after="0"/>
              <w:rPr>
                <w:sz w:val="19"/>
                <w:szCs w:val="19"/>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c>
          <w:tcPr>
            <w:tcW w:w="4520" w:type="dxa"/>
            <w:vAlign w:val="bottom"/>
          </w:tcPr>
          <w:p>
            <w:pPr>
              <w:spacing w:after="0"/>
              <w:rPr>
                <w:sz w:val="19"/>
                <w:szCs w:val="19"/>
                <w:color w:val="auto"/>
              </w:rPr>
            </w:pPr>
          </w:p>
        </w:tc>
      </w:tr>
      <w:tr>
        <w:trPr>
          <w:trHeight w:val="662"/>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661"/>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662"/>
        </w:trPr>
        <w:tc>
          <w:tcPr>
            <w:tcW w:w="4520" w:type="dxa"/>
            <w:vAlign w:val="bottom"/>
            <w:gridSpan w:val="2"/>
          </w:tcPr>
          <w:p>
            <w:pPr>
              <w:spacing w:after="0"/>
              <w:rPr>
                <w:sz w:val="20"/>
                <w:szCs w:val="20"/>
                <w:color w:val="auto"/>
              </w:rPr>
            </w:pPr>
            <w:r>
              <w:rPr>
                <w:rFonts w:ascii="Arial" w:cs="Arial" w:eastAsia="Arial" w:hAnsi="Arial"/>
                <w:sz w:val="18"/>
                <w:szCs w:val="18"/>
                <w:color w:val="auto"/>
              </w:rPr>
              <w:t>[***] and [***]</w:t>
            </w:r>
          </w:p>
        </w:tc>
        <w:tc>
          <w:tcPr>
            <w:tcW w:w="4520" w:type="dxa"/>
            <w:vAlign w:val="bottom"/>
          </w:tcPr>
          <w:p>
            <w:pPr>
              <w:spacing w:after="0"/>
              <w:rPr>
                <w:sz w:val="24"/>
                <w:szCs w:val="24"/>
                <w:color w:val="auto"/>
              </w:rPr>
            </w:pPr>
          </w:p>
        </w:tc>
      </w:tr>
      <w:tr>
        <w:trPr>
          <w:trHeight w:val="878"/>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AMF Medical SA</w:t>
            </w:r>
          </w:p>
        </w:tc>
        <w:tc>
          <w:tcPr>
            <w:tcW w:w="4520" w:type="dxa"/>
            <w:vAlign w:val="bottom"/>
          </w:tcPr>
          <w:p>
            <w:pPr>
              <w:spacing w:after="0"/>
              <w:rPr>
                <w:sz w:val="24"/>
                <w:szCs w:val="24"/>
                <w:color w:val="auto"/>
              </w:rPr>
            </w:pP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Rue des Jordils 38</w:t>
            </w:r>
          </w:p>
        </w:tc>
        <w:tc>
          <w:tcPr>
            <w:tcW w:w="4520" w:type="dxa"/>
            <w:vAlign w:val="bottom"/>
          </w:tcPr>
          <w:p>
            <w:pPr>
              <w:spacing w:after="0"/>
              <w:rPr>
                <w:sz w:val="19"/>
                <w:szCs w:val="19"/>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1025 St.-Sulpice</w:t>
            </w:r>
          </w:p>
        </w:tc>
        <w:tc>
          <w:tcPr>
            <w:tcW w:w="4520" w:type="dxa"/>
            <w:vAlign w:val="bottom"/>
          </w:tcPr>
          <w:p>
            <w:pPr>
              <w:spacing w:after="0"/>
              <w:rPr>
                <w:sz w:val="19"/>
                <w:szCs w:val="19"/>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4520" w:type="dxa"/>
            <w:vAlign w:val="bottom"/>
          </w:tcPr>
          <w:p>
            <w:pPr>
              <w:spacing w:after="0"/>
              <w:rPr>
                <w:sz w:val="19"/>
                <w:szCs w:val="19"/>
                <w:color w:val="auto"/>
              </w:rPr>
            </w:pPr>
          </w:p>
        </w:tc>
      </w:tr>
    </w:tbl>
    <w:p>
      <w:pPr>
        <w:sectPr>
          <w:pgSz w:w="11900" w:h="16838" w:orient="portrait"/>
          <w:cols w:equalWidth="0" w:num="1">
            <w:col w:w="10139"/>
          </w:cols>
          <w:pgMar w:left="320" w:top="1437" w:right="1440" w:bottom="1440" w:gutter="0" w:footer="0" w:header="0"/>
        </w:sectPr>
      </w:pPr>
    </w:p>
    <w:bookmarkStart w:id="116" w:name="page117"/>
    <w:bookmarkEnd w:id="11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9540" w:type="dxa"/>
            <w:vAlign w:val="bottom"/>
          </w:tcPr>
          <w:p>
            <w:pPr>
              <w:ind w:left="6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9"/>
        </w:trPr>
        <w:tc>
          <w:tcPr>
            <w:tcW w:w="1200" w:type="dxa"/>
            <w:vAlign w:val="bottom"/>
            <w:shd w:val="clear" w:color="auto" w:fill="CCEEFF"/>
          </w:tcPr>
          <w:p>
            <w:pPr>
              <w:spacing w:after="0"/>
              <w:rPr>
                <w:sz w:val="16"/>
                <w:szCs w:val="16"/>
                <w:color w:val="auto"/>
              </w:rPr>
            </w:pP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Recitals</w:t>
            </w:r>
          </w:p>
        </w:tc>
        <w:tc>
          <w:tcPr>
            <w:tcW w:w="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5</w:t>
            </w:r>
          </w:p>
        </w:tc>
        <w:tc>
          <w:tcPr>
            <w:tcW w:w="300" w:type="dxa"/>
            <w:vAlign w:val="bottom"/>
            <w:shd w:val="clear" w:color="auto" w:fill="CCEEFF"/>
          </w:tcPr>
          <w:p>
            <w:pPr>
              <w:spacing w:after="0"/>
              <w:rPr>
                <w:sz w:val="16"/>
                <w:szCs w:val="16"/>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1</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Definitions and Interpretation</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5</w:t>
            </w:r>
          </w:p>
        </w:tc>
        <w:tc>
          <w:tcPr>
            <w:tcW w:w="300" w:type="dxa"/>
            <w:vAlign w:val="bottom"/>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Sale and Purchase of the Shares</w:t>
            </w:r>
          </w:p>
        </w:tc>
        <w:tc>
          <w:tcPr>
            <w:tcW w:w="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5</w:t>
            </w:r>
          </w:p>
        </w:tc>
        <w:tc>
          <w:tcPr>
            <w:tcW w:w="300" w:type="dxa"/>
            <w:vAlign w:val="bottom"/>
            <w:shd w:val="clear" w:color="auto" w:fill="CCEEFF"/>
          </w:tcPr>
          <w:p>
            <w:pPr>
              <w:spacing w:after="0"/>
              <w:rPr>
                <w:sz w:val="16"/>
                <w:szCs w:val="16"/>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Object of the Sale</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5</w:t>
            </w:r>
          </w:p>
        </w:tc>
        <w:tc>
          <w:tcPr>
            <w:tcW w:w="300" w:type="dxa"/>
            <w:vAlign w:val="bottom"/>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2.2</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Preliminary Consideration Payable at the Closing</w:t>
            </w:r>
          </w:p>
        </w:tc>
        <w:tc>
          <w:tcPr>
            <w:tcW w:w="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6</w:t>
            </w:r>
          </w:p>
        </w:tc>
        <w:tc>
          <w:tcPr>
            <w:tcW w:w="300" w:type="dxa"/>
            <w:vAlign w:val="bottom"/>
            <w:shd w:val="clear" w:color="auto" w:fill="CCEEFF"/>
          </w:tcPr>
          <w:p>
            <w:pPr>
              <w:spacing w:after="0"/>
              <w:rPr>
                <w:sz w:val="16"/>
                <w:szCs w:val="16"/>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2.3</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Determination of Adjustments</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7</w:t>
            </w:r>
          </w:p>
        </w:tc>
        <w:tc>
          <w:tcPr>
            <w:tcW w:w="300" w:type="dxa"/>
            <w:vAlign w:val="bottom"/>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2.3.1</w:t>
            </w:r>
          </w:p>
        </w:tc>
        <w:tc>
          <w:tcPr>
            <w:tcW w:w="9540" w:type="dxa"/>
            <w:vAlign w:val="bottom"/>
            <w:shd w:val="clear" w:color="auto" w:fill="CCEEFF"/>
          </w:tcPr>
          <w:p>
            <w:pPr>
              <w:ind w:left="780"/>
              <w:spacing w:after="0" w:line="189" w:lineRule="exact"/>
              <w:rPr>
                <w:sz w:val="20"/>
                <w:szCs w:val="20"/>
                <w:color w:val="auto"/>
              </w:rPr>
            </w:pPr>
            <w:r>
              <w:rPr>
                <w:rFonts w:ascii="Arial" w:cs="Arial" w:eastAsia="Arial" w:hAnsi="Arial"/>
                <w:sz w:val="18"/>
                <w:szCs w:val="18"/>
                <w:color w:val="auto"/>
              </w:rPr>
              <w:t>Principles</w:t>
            </w:r>
          </w:p>
        </w:tc>
        <w:tc>
          <w:tcPr>
            <w:tcW w:w="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7</w:t>
            </w:r>
          </w:p>
        </w:tc>
        <w:tc>
          <w:tcPr>
            <w:tcW w:w="300" w:type="dxa"/>
            <w:vAlign w:val="bottom"/>
            <w:shd w:val="clear" w:color="auto" w:fill="CCEEFF"/>
          </w:tcPr>
          <w:p>
            <w:pPr>
              <w:spacing w:after="0"/>
              <w:rPr>
                <w:sz w:val="16"/>
                <w:szCs w:val="16"/>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140"/>
              <w:spacing w:after="0" w:line="189" w:lineRule="exact"/>
              <w:rPr>
                <w:sz w:val="20"/>
                <w:szCs w:val="20"/>
                <w:color w:val="auto"/>
              </w:rPr>
            </w:pPr>
            <w:r>
              <w:rPr>
                <w:rFonts w:ascii="Arial" w:cs="Arial" w:eastAsia="Arial" w:hAnsi="Arial"/>
                <w:sz w:val="18"/>
                <w:szCs w:val="18"/>
                <w:color w:val="auto"/>
              </w:rPr>
              <w:t>2.3.2</w:t>
            </w:r>
          </w:p>
        </w:tc>
        <w:tc>
          <w:tcPr>
            <w:tcW w:w="9540" w:type="dxa"/>
            <w:vAlign w:val="bottom"/>
          </w:tcPr>
          <w:p>
            <w:pPr>
              <w:ind w:left="780"/>
              <w:spacing w:after="0" w:line="189" w:lineRule="exact"/>
              <w:rPr>
                <w:sz w:val="20"/>
                <w:szCs w:val="20"/>
                <w:color w:val="auto"/>
              </w:rPr>
            </w:pPr>
            <w:r>
              <w:rPr>
                <w:rFonts w:ascii="Arial" w:cs="Arial" w:eastAsia="Arial" w:hAnsi="Arial"/>
                <w:sz w:val="18"/>
                <w:szCs w:val="18"/>
                <w:color w:val="auto"/>
              </w:rPr>
              <w:t>Procedural Matters</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7</w:t>
            </w:r>
          </w:p>
        </w:tc>
        <w:tc>
          <w:tcPr>
            <w:tcW w:w="300" w:type="dxa"/>
            <w:vAlign w:val="bottom"/>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2.3.3</w:t>
            </w:r>
          </w:p>
        </w:tc>
        <w:tc>
          <w:tcPr>
            <w:tcW w:w="9540" w:type="dxa"/>
            <w:vAlign w:val="bottom"/>
            <w:shd w:val="clear" w:color="auto" w:fill="CCEEFF"/>
          </w:tcPr>
          <w:p>
            <w:pPr>
              <w:ind w:left="780"/>
              <w:spacing w:after="0" w:line="189" w:lineRule="exact"/>
              <w:rPr>
                <w:sz w:val="20"/>
                <w:szCs w:val="20"/>
                <w:color w:val="auto"/>
              </w:rPr>
            </w:pPr>
            <w:r>
              <w:rPr>
                <w:rFonts w:ascii="Arial" w:cs="Arial" w:eastAsia="Arial" w:hAnsi="Arial"/>
                <w:sz w:val="18"/>
                <w:szCs w:val="18"/>
                <w:color w:val="auto"/>
              </w:rPr>
              <w:t>General Principles Applicable to the Closing Accounts</w:t>
            </w:r>
          </w:p>
        </w:tc>
        <w:tc>
          <w:tcPr>
            <w:tcW w:w="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9</w:t>
            </w:r>
          </w:p>
        </w:tc>
        <w:tc>
          <w:tcPr>
            <w:tcW w:w="300" w:type="dxa"/>
            <w:vAlign w:val="bottom"/>
            <w:shd w:val="clear" w:color="auto" w:fill="CCEEFF"/>
          </w:tcPr>
          <w:p>
            <w:pPr>
              <w:spacing w:after="0"/>
              <w:rPr>
                <w:sz w:val="16"/>
                <w:szCs w:val="16"/>
                <w:color w:val="auto"/>
              </w:rPr>
            </w:pP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140"/>
              <w:spacing w:after="0" w:line="189" w:lineRule="exact"/>
              <w:rPr>
                <w:sz w:val="20"/>
                <w:szCs w:val="20"/>
                <w:color w:val="auto"/>
              </w:rPr>
            </w:pPr>
            <w:r>
              <w:rPr>
                <w:rFonts w:ascii="Arial" w:cs="Arial" w:eastAsia="Arial" w:hAnsi="Arial"/>
                <w:sz w:val="18"/>
                <w:szCs w:val="18"/>
                <w:color w:val="auto"/>
              </w:rPr>
              <w:t>2.3.4</w:t>
            </w:r>
          </w:p>
        </w:tc>
        <w:tc>
          <w:tcPr>
            <w:tcW w:w="9540" w:type="dxa"/>
            <w:vAlign w:val="bottom"/>
          </w:tcPr>
          <w:p>
            <w:pPr>
              <w:ind w:left="780"/>
              <w:spacing w:after="0" w:line="189" w:lineRule="exact"/>
              <w:rPr>
                <w:sz w:val="20"/>
                <w:szCs w:val="20"/>
                <w:color w:val="auto"/>
              </w:rPr>
            </w:pPr>
            <w:r>
              <w:rPr>
                <w:rFonts w:ascii="Arial" w:cs="Arial" w:eastAsia="Arial" w:hAnsi="Arial"/>
                <w:sz w:val="18"/>
                <w:szCs w:val="18"/>
                <w:color w:val="auto"/>
              </w:rPr>
              <w:t>Computation of Net Debt</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9</w:t>
            </w:r>
          </w:p>
        </w:tc>
        <w:tc>
          <w:tcPr>
            <w:tcW w:w="300" w:type="dxa"/>
            <w:vAlign w:val="bottom"/>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2.3.5</w:t>
            </w:r>
          </w:p>
        </w:tc>
        <w:tc>
          <w:tcPr>
            <w:tcW w:w="9540" w:type="dxa"/>
            <w:vAlign w:val="bottom"/>
            <w:tcBorders>
              <w:bottom w:val="single" w:sz="8" w:color="CCEEFF"/>
            </w:tcBorders>
            <w:shd w:val="clear" w:color="auto" w:fill="CCEEFF"/>
          </w:tcPr>
          <w:p>
            <w:pPr>
              <w:ind w:left="780"/>
              <w:spacing w:after="0" w:line="189" w:lineRule="exact"/>
              <w:rPr>
                <w:sz w:val="20"/>
                <w:szCs w:val="20"/>
                <w:color w:val="auto"/>
              </w:rPr>
            </w:pPr>
            <w:r>
              <w:rPr>
                <w:rFonts w:ascii="Arial" w:cs="Arial" w:eastAsia="Arial" w:hAnsi="Arial"/>
                <w:sz w:val="18"/>
                <w:szCs w:val="18"/>
                <w:color w:val="auto"/>
              </w:rPr>
              <w:t>Computation of Net Working Capital</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10</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140"/>
              <w:spacing w:after="0" w:line="189" w:lineRule="exact"/>
              <w:rPr>
                <w:sz w:val="20"/>
                <w:szCs w:val="20"/>
                <w:color w:val="auto"/>
              </w:rPr>
            </w:pPr>
            <w:r>
              <w:rPr>
                <w:rFonts w:ascii="Arial" w:cs="Arial" w:eastAsia="Arial" w:hAnsi="Arial"/>
                <w:sz w:val="18"/>
                <w:szCs w:val="18"/>
                <w:color w:val="auto"/>
              </w:rPr>
              <w:t>2.3.6</w:t>
            </w:r>
          </w:p>
        </w:tc>
        <w:tc>
          <w:tcPr>
            <w:tcW w:w="9540" w:type="dxa"/>
            <w:vAlign w:val="bottom"/>
            <w:tcBorders>
              <w:top w:val="single" w:sz="8" w:color="CCEEFF"/>
            </w:tcBorders>
          </w:tcPr>
          <w:p>
            <w:pPr>
              <w:ind w:left="780"/>
              <w:spacing w:after="0" w:line="189" w:lineRule="exact"/>
              <w:rPr>
                <w:sz w:val="20"/>
                <w:szCs w:val="20"/>
                <w:color w:val="auto"/>
              </w:rPr>
            </w:pPr>
            <w:r>
              <w:rPr>
                <w:rFonts w:ascii="Arial" w:cs="Arial" w:eastAsia="Arial" w:hAnsi="Arial"/>
                <w:sz w:val="18"/>
                <w:szCs w:val="18"/>
                <w:color w:val="auto"/>
              </w:rPr>
              <w:t>Computation of Pre-Closing Taxes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10</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2.3.7</w:t>
            </w:r>
          </w:p>
        </w:tc>
        <w:tc>
          <w:tcPr>
            <w:tcW w:w="9540" w:type="dxa"/>
            <w:vAlign w:val="bottom"/>
            <w:tcBorders>
              <w:bottom w:val="single" w:sz="8" w:color="CCEEFF"/>
            </w:tcBorders>
            <w:shd w:val="clear" w:color="auto" w:fill="CCEEFF"/>
          </w:tcPr>
          <w:p>
            <w:pPr>
              <w:ind w:left="780"/>
              <w:spacing w:after="0" w:line="189" w:lineRule="exact"/>
              <w:rPr>
                <w:sz w:val="20"/>
                <w:szCs w:val="20"/>
                <w:color w:val="auto"/>
              </w:rPr>
            </w:pPr>
            <w:r>
              <w:rPr>
                <w:rFonts w:ascii="Arial" w:cs="Arial" w:eastAsia="Arial" w:hAnsi="Arial"/>
                <w:sz w:val="18"/>
                <w:szCs w:val="18"/>
                <w:color w:val="auto"/>
              </w:rPr>
              <w:t>Computation of Closing Payroll Taxes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11</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2.4</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Adjustment Payments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11</w:t>
            </w:r>
          </w:p>
        </w:tc>
        <w:tc>
          <w:tcPr>
            <w:tcW w:w="300" w:type="dxa"/>
            <w:vAlign w:val="bottom"/>
            <w:tcBorders>
              <w:top w:val="single" w:sz="8" w:color="CCEEFF"/>
            </w:tcBorders>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4"/>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2.4.1</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Net Debt, Pre-Closing Taxes and Company Transaction Expenses Adjustment</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11</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2.4.2</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Net Working Capital Adjustment</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11</w:t>
            </w:r>
          </w:p>
        </w:tc>
        <w:tc>
          <w:tcPr>
            <w:tcW w:w="300" w:type="dxa"/>
            <w:vAlign w:val="bottom"/>
            <w:tcBorders>
              <w:top w:val="single" w:sz="8" w:color="CCEEFF"/>
            </w:tcBorders>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4"/>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2.4.3</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Closing Employee Payroll Taxes Amount Adjustment</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11</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2.4.4</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Payment of the Adjustments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12</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Earnout</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12</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2.5.1</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Determination of Earnout Payments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12</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2.5.2</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Sellers' Information Rights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12</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2.5.3</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Payment of Earnout Payments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13</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2.5.4</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Procedural Matters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14</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2.5.5</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Acceleration of Earnout Payments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16</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Actions Prior to Closing</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16</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3.1</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General</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16</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Conduct Before Closing</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16</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3.2.1</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Restricted Actions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16</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3.2.2</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Buyer Convertible Loan</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19</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3.2.3</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Pre-Closing Distribution</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19</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3.2.4</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Access to the Company</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19</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3.3</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Exercise of Options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19</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3.4</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Closing Memorandum</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Closing</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Date and Place</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4.2</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Conditions Precedent to the Closing</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top w:val="single" w:sz="8" w:color="CCEEFF"/>
            </w:tcBorders>
          </w:tcPr>
          <w:p>
            <w:pPr>
              <w:spacing w:after="0"/>
              <w:rPr>
                <w:sz w:val="16"/>
                <w:szCs w:val="16"/>
                <w:color w:val="auto"/>
              </w:rPr>
            </w:pP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4"/>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4.2.1</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Conditions to the Obligations of Each Party</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4.2.2</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Conditions to the Obligations of the Buyer</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20</w:t>
            </w:r>
          </w:p>
        </w:tc>
        <w:tc>
          <w:tcPr>
            <w:tcW w:w="300" w:type="dxa"/>
            <w:vAlign w:val="bottom"/>
            <w:tcBorders>
              <w:top w:val="single" w:sz="8" w:color="CCEEFF"/>
            </w:tcBorders>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5"/>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4.2.3</w:t>
            </w:r>
          </w:p>
        </w:tc>
        <w:tc>
          <w:tcPr>
            <w:tcW w:w="9540" w:type="dxa"/>
            <w:vAlign w:val="bottom"/>
            <w:tcBorders>
              <w:bottom w:val="single" w:sz="8" w:color="CCEEFF"/>
            </w:tcBorders>
            <w:shd w:val="clear" w:color="auto" w:fill="CCEEFF"/>
          </w:tcPr>
          <w:p>
            <w:pPr>
              <w:ind w:left="680"/>
              <w:spacing w:after="0" w:line="189" w:lineRule="exact"/>
              <w:rPr>
                <w:sz w:val="20"/>
                <w:szCs w:val="20"/>
                <w:color w:val="auto"/>
              </w:rPr>
            </w:pPr>
            <w:r>
              <w:rPr>
                <w:rFonts w:ascii="Arial" w:cs="Arial" w:eastAsia="Arial" w:hAnsi="Arial"/>
                <w:sz w:val="18"/>
                <w:szCs w:val="18"/>
                <w:color w:val="auto"/>
              </w:rPr>
              <w:t>Conditions to the Obligations of the Sellers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21</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89"/>
        </w:trPr>
        <w:tc>
          <w:tcPr>
            <w:tcW w:w="12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4.2.4</w:t>
            </w:r>
          </w:p>
        </w:tc>
        <w:tc>
          <w:tcPr>
            <w:tcW w:w="9540" w:type="dxa"/>
            <w:vAlign w:val="bottom"/>
            <w:tcBorders>
              <w:top w:val="single" w:sz="8" w:color="CCEEFF"/>
            </w:tcBorders>
          </w:tcPr>
          <w:p>
            <w:pPr>
              <w:ind w:left="680"/>
              <w:spacing w:after="0" w:line="189" w:lineRule="exact"/>
              <w:rPr>
                <w:sz w:val="20"/>
                <w:szCs w:val="20"/>
                <w:color w:val="auto"/>
              </w:rPr>
            </w:pPr>
            <w:r>
              <w:rPr>
                <w:rFonts w:ascii="Arial" w:cs="Arial" w:eastAsia="Arial" w:hAnsi="Arial"/>
                <w:sz w:val="18"/>
                <w:szCs w:val="18"/>
                <w:color w:val="auto"/>
              </w:rPr>
              <w:t>Waiver of Conditions Not Satisfied</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21</w:t>
            </w:r>
          </w:p>
        </w:tc>
        <w:tc>
          <w:tcPr>
            <w:tcW w:w="300" w:type="dxa"/>
            <w:vAlign w:val="bottom"/>
            <w:tcBorders>
              <w:top w:val="single" w:sz="8" w:color="CCEEFF"/>
            </w:tcBorders>
          </w:tcPr>
          <w:p>
            <w:pPr>
              <w:spacing w:after="0"/>
              <w:rPr>
                <w:sz w:val="16"/>
                <w:szCs w:val="16"/>
                <w:color w:val="auto"/>
              </w:rPr>
            </w:pPr>
          </w:p>
        </w:tc>
      </w:tr>
    </w:tbl>
    <w:p>
      <w:pPr>
        <w:sectPr>
          <w:pgSz w:w="11900" w:h="16838" w:orient="portrait"/>
          <w:cols w:equalWidth="0" w:num="1">
            <w:col w:w="11240"/>
          </w:cols>
          <w:pgMar w:left="320" w:top="1440" w:right="339" w:bottom="1440" w:gutter="0" w:footer="0" w:header="0"/>
        </w:sectPr>
      </w:pPr>
    </w:p>
    <w:bookmarkStart w:id="117" w:name="page118"/>
    <w:bookmarkEnd w:id="11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4.2.5</w:t>
            </w:r>
          </w:p>
        </w:tc>
        <w:tc>
          <w:tcPr>
            <w:tcW w:w="9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Right of Termination</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0000FF"/>
                <w:w w:val="89"/>
              </w:rPr>
              <w:t>21</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4.3</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Closing Actions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22</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4.3.1</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Actions by the Sellers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22</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4.3.2</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Actions by the Buyer</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23</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4.3.3</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Concurrent Closing Actions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23</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5</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Other Covenants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24</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5.1</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Financing Undertakings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24</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5.2</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Press Releases and Other Public Announcements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24</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5.3</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No Claims Against Directors, Officers and Shareholders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24</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5.4</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Covenant Not to Compete and Not to Solicit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25</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5.5</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Document Retention and Access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25</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5.6</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Confidentiality</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25</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Taxes, Costs, Expenses and Interest</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26</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6.1</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26</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6.2</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Costs and Expenses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26</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6.3</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Interest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26</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6.4</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Exchange Rate</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27</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Representations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27</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7.1</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Fundamental Representations of the Sellers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27</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7.1.1</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Capacity and Authority / Validity of Agreement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27</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7.1.2</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Organization of the Company; No Conflicts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28</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7.1.3</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Shares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28</w:t>
            </w:r>
          </w:p>
        </w:tc>
      </w:tr>
      <w:tr>
        <w:trPr>
          <w:trHeight w:val="21"/>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7.1.4</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Intellectual Property Rights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29</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Business Representations of the Sellers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Financial Statements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7.2.2</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Taxes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30</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7.2.3</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Assets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31</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7.2.4</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Intellectual Property Rights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31</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7.2.5</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Information Technology Assets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32</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7.2.6</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Product Software</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33</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7.2.7</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Licenses; Regulatory Matters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34</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7.2.8</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Real Property</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34</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7.2.9</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Employment</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34</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7.2.10</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Material Contracts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35</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7.2.11</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Insurance</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37</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7.2.12</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Litigation</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37</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7.2.13</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Absence of Material Adverse Effect</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37</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7.2.14</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Fair Disclosure</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37</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7.2.15</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Compliance</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37</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7.2.16</w:t>
            </w:r>
          </w:p>
        </w:tc>
        <w:tc>
          <w:tcPr>
            <w:tcW w:w="9540" w:type="dxa"/>
            <w:vAlign w:val="bottom"/>
          </w:tcPr>
          <w:p>
            <w:pPr>
              <w:ind w:left="680"/>
              <w:spacing w:after="0" w:line="189" w:lineRule="exact"/>
              <w:rPr>
                <w:sz w:val="20"/>
                <w:szCs w:val="20"/>
                <w:color w:val="auto"/>
              </w:rPr>
            </w:pPr>
            <w:r>
              <w:rPr>
                <w:rFonts w:ascii="Arial" w:cs="Arial" w:eastAsia="Arial" w:hAnsi="Arial"/>
                <w:sz w:val="18"/>
                <w:szCs w:val="18"/>
                <w:color w:val="auto"/>
              </w:rPr>
              <w:t>Environment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38</w:t>
            </w:r>
          </w:p>
        </w:tc>
      </w:tr>
      <w:tr>
        <w:trPr>
          <w:trHeight w:val="20"/>
        </w:trPr>
        <w:tc>
          <w:tcPr>
            <w:tcW w:w="12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7.2.17</w:t>
            </w:r>
          </w:p>
        </w:tc>
        <w:tc>
          <w:tcPr>
            <w:tcW w:w="954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rPr>
              <w:t>Social Security, Pensions and Benefit Plans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38</w:t>
            </w:r>
          </w:p>
        </w:tc>
      </w:tr>
      <w:tr>
        <w:trPr>
          <w:trHeight w:val="21"/>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9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18" w:name="page119"/>
    <w:bookmarkEnd w:id="11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ind w:left="20"/>
              <w:spacing w:after="0"/>
              <w:rPr>
                <w:sz w:val="20"/>
                <w:szCs w:val="20"/>
                <w:color w:val="auto"/>
              </w:rPr>
            </w:pPr>
            <w:r>
              <w:rPr>
                <w:rFonts w:ascii="Arial" w:cs="Arial" w:eastAsia="Arial" w:hAnsi="Arial"/>
                <w:sz w:val="18"/>
                <w:szCs w:val="18"/>
                <w:color w:val="auto"/>
              </w:rPr>
              <w:t>7.2.18</w:t>
            </w:r>
          </w:p>
        </w:tc>
        <w:tc>
          <w:tcPr>
            <w:tcW w:w="9160" w:type="dxa"/>
            <w:vAlign w:val="bottom"/>
          </w:tcPr>
          <w:p>
            <w:pPr>
              <w:ind w:left="300"/>
              <w:spacing w:after="0"/>
              <w:rPr>
                <w:sz w:val="20"/>
                <w:szCs w:val="20"/>
                <w:color w:val="auto"/>
              </w:rPr>
            </w:pPr>
            <w:r>
              <w:rPr>
                <w:rFonts w:ascii="Arial" w:cs="Arial" w:eastAsia="Arial" w:hAnsi="Arial"/>
                <w:sz w:val="18"/>
                <w:szCs w:val="18"/>
                <w:color w:val="auto"/>
              </w:rPr>
              <w:t>Books and Records; Bank Accounts</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0000FF"/>
                <w:w w:val="89"/>
              </w:rPr>
              <w:t>38</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7.2.19</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Broker’s Fees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39</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7.3</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Representations of the Buyer</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39</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7.4</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Exclusive Representations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40</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8</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Remedies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40</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8.1</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Partial Liquidation</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40</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8.2</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General Remedies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41</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Remedies Procedure</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41</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9.1</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Notification / Third Party Claims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42</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9.2</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Time Limitations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42</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9.2.1</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Statute of Limitations (Verwirkung) of Claims for Liability under Section 8.2</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42</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9.2.2</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Term of Claims under Section 8.1</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43</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9.2.3</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Waiver of Statute of Limitations under Article 210 CO</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43</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9.3</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Liability Limitations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43</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10</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Indemnities by the Sellers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46</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General Provisions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46</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11.1</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Effect on Third Parties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46</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11.2</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Notices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46</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11.3</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Entire Agreement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51</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11.4</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Amendments and Waivers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51</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11.5</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No Assignment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51</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11.6</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No Set-Off</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1"/>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11.7</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Severability</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11.8</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Relationship between the Sellers and the Buyer</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11.9</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Counterparts; Delivery by Electronic Transmission</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12</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Governing Law and Dispute Resolution</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12.1</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Governing Law</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52</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12.2</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Dispute Resolution</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53</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B -</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Individual Holdings of the Sellers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56</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Annex 1 -</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Definitions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57</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2.5</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Earn-out</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58</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Schedule 2.5(a)</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Development List</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59</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2.5.2(a)</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Form of Quarterly Reports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60</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Annex 3.4</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Form of Closing Memorandum</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61</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4.2.2(d)</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Form of Employment Agreement with Key Persons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62</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Annex 7.1.4</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Fundamental Intellectual Property Rights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63</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7.2.4</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Owned Intellectual Property Rights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64</w:t>
            </w:r>
          </w:p>
        </w:tc>
      </w:tr>
      <w:tr>
        <w:trPr>
          <w:trHeight w:val="21"/>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Annex 7.2.18</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Bank Accounts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65</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Annex 9.3(a)(ii)</w:t>
            </w:r>
          </w:p>
        </w:tc>
        <w:tc>
          <w:tcPr>
            <w:tcW w:w="9160" w:type="dxa"/>
            <w:vAlign w:val="bottom"/>
          </w:tcPr>
          <w:p>
            <w:pPr>
              <w:ind w:left="300"/>
              <w:spacing w:after="0" w:line="189" w:lineRule="exact"/>
              <w:rPr>
                <w:sz w:val="20"/>
                <w:szCs w:val="20"/>
                <w:color w:val="auto"/>
              </w:rPr>
            </w:pPr>
            <w:r>
              <w:rPr>
                <w:rFonts w:ascii="Arial" w:cs="Arial" w:eastAsia="Arial" w:hAnsi="Arial"/>
                <w:sz w:val="18"/>
                <w:szCs w:val="18"/>
                <w:color w:val="auto"/>
              </w:rPr>
              <w:t>Index of Data Room Documents</w:t>
            </w:r>
          </w:p>
        </w:tc>
        <w:tc>
          <w:tcPr>
            <w:tcW w:w="5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0000FF"/>
                <w:w w:val="89"/>
              </w:rPr>
              <w:t>66</w:t>
            </w:r>
          </w:p>
        </w:tc>
      </w:tr>
      <w:tr>
        <w:trPr>
          <w:trHeight w:val="20"/>
        </w:trPr>
        <w:tc>
          <w:tcPr>
            <w:tcW w:w="1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Annex 10</w:t>
            </w:r>
          </w:p>
        </w:tc>
        <w:tc>
          <w:tcPr>
            <w:tcW w:w="91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Indemnities by the Sellers</w:t>
            </w:r>
          </w:p>
        </w:tc>
        <w:tc>
          <w:tcPr>
            <w:tcW w:w="5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8"/>
                <w:szCs w:val="18"/>
                <w:color w:val="0000FF"/>
                <w:w w:val="89"/>
              </w:rPr>
              <w:t>67</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9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19" w:name="page120"/>
    <w:bookmarkEnd w:id="119"/>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left="660" w:right="40" w:hanging="652"/>
        <w:spacing w:after="0" w:line="262"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AMF Medical SA (the </w:t>
      </w:r>
      <w:r>
        <w:rPr>
          <w:rFonts w:ascii="Arial" w:cs="Arial" w:eastAsia="Arial" w:hAnsi="Arial"/>
          <w:sz w:val="18"/>
          <w:szCs w:val="18"/>
          <w:b w:val="1"/>
          <w:bCs w:val="1"/>
          <w:color w:val="auto"/>
        </w:rPr>
        <w:t>Company</w:t>
      </w:r>
      <w:r>
        <w:rPr>
          <w:rFonts w:ascii="Arial" w:cs="Arial" w:eastAsia="Arial" w:hAnsi="Arial"/>
          <w:sz w:val="18"/>
          <w:szCs w:val="18"/>
          <w:color w:val="auto"/>
        </w:rPr>
        <w:t>) is a corporation organized and existing under the laws of Switzerland, registered under identification number CHE-378.435.207, with its registered office at Rue des Jordils 38, 1025 St.-Sulpice, Switzerland. As of the date of this Agreement, the Company has a share capital of CHF 283,156.00, divided into 283,156 registered shares with a nominal value of CHF 1 each.</w:t>
      </w:r>
    </w:p>
    <w:p>
      <w:pPr>
        <w:spacing w:after="0" w:line="225" w:lineRule="exact"/>
        <w:rPr>
          <w:rFonts w:ascii="Arial" w:cs="Arial" w:eastAsia="Arial" w:hAnsi="Arial"/>
          <w:sz w:val="18"/>
          <w:szCs w:val="18"/>
          <w:color w:val="auto"/>
        </w:rPr>
      </w:pPr>
    </w:p>
    <w:p>
      <w:pPr>
        <w:ind w:left="660" w:right="40" w:hanging="652"/>
        <w:spacing w:after="0" w:line="271"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As of the date of this Agreement, the Sellers are the legal and beneficial owners of (i) all 283,156 registered shares in the Company with a nominal value of CHF 1 each (the </w:t>
      </w:r>
      <w:r>
        <w:rPr>
          <w:rFonts w:ascii="Arial" w:cs="Arial" w:eastAsia="Arial" w:hAnsi="Arial"/>
          <w:sz w:val="17"/>
          <w:szCs w:val="17"/>
          <w:b w:val="1"/>
          <w:bCs w:val="1"/>
          <w:color w:val="auto"/>
        </w:rPr>
        <w:t>Issued Shares</w:t>
      </w:r>
      <w:r>
        <w:rPr>
          <w:rFonts w:ascii="Arial" w:cs="Arial" w:eastAsia="Arial" w:hAnsi="Arial"/>
          <w:sz w:val="17"/>
          <w:szCs w:val="17"/>
          <w:color w:val="auto"/>
        </w:rPr>
        <w:t xml:space="preserve">, and each an </w:t>
      </w:r>
      <w:r>
        <w:rPr>
          <w:rFonts w:ascii="Arial" w:cs="Arial" w:eastAsia="Arial" w:hAnsi="Arial"/>
          <w:sz w:val="17"/>
          <w:szCs w:val="17"/>
          <w:b w:val="1"/>
          <w:bCs w:val="1"/>
          <w:color w:val="auto"/>
        </w:rPr>
        <w:t>Issued Share</w:t>
      </w:r>
      <w:r>
        <w:rPr>
          <w:rFonts w:ascii="Arial" w:cs="Arial" w:eastAsia="Arial" w:hAnsi="Arial"/>
          <w:sz w:val="17"/>
          <w:szCs w:val="17"/>
          <w:color w:val="auto"/>
        </w:rPr>
        <w:t xml:space="preserve">) and (ii) all 38,469 options to acquire registered shares in the Company with a nominal value of CHF 1 each (the </w:t>
      </w:r>
      <w:r>
        <w:rPr>
          <w:rFonts w:ascii="Arial" w:cs="Arial" w:eastAsia="Arial" w:hAnsi="Arial"/>
          <w:sz w:val="17"/>
          <w:szCs w:val="17"/>
          <w:b w:val="1"/>
          <w:bCs w:val="1"/>
          <w:color w:val="auto"/>
        </w:rPr>
        <w:t>Options</w:t>
      </w:r>
      <w:r>
        <w:rPr>
          <w:rFonts w:ascii="Arial" w:cs="Arial" w:eastAsia="Arial" w:hAnsi="Arial"/>
          <w:sz w:val="17"/>
          <w:szCs w:val="17"/>
          <w:color w:val="auto"/>
        </w:rPr>
        <w:t xml:space="preserve">, each an </w:t>
      </w:r>
      <w:r>
        <w:rPr>
          <w:rFonts w:ascii="Arial" w:cs="Arial" w:eastAsia="Arial" w:hAnsi="Arial"/>
          <w:sz w:val="17"/>
          <w:szCs w:val="17"/>
          <w:b w:val="1"/>
          <w:bCs w:val="1"/>
          <w:color w:val="auto"/>
        </w:rPr>
        <w:t>Option</w:t>
      </w:r>
      <w:r>
        <w:rPr>
          <w:rFonts w:ascii="Arial" w:cs="Arial" w:eastAsia="Arial" w:hAnsi="Arial"/>
          <w:sz w:val="17"/>
          <w:szCs w:val="17"/>
          <w:color w:val="auto"/>
        </w:rPr>
        <w:t xml:space="preserve">, and the shares in the Company to be issued upon exercise of such Options in accordance with the terms of this Agreement prior to the Closing Date, the </w:t>
      </w:r>
      <w:r>
        <w:rPr>
          <w:rFonts w:ascii="Arial" w:cs="Arial" w:eastAsia="Arial" w:hAnsi="Arial"/>
          <w:sz w:val="17"/>
          <w:szCs w:val="17"/>
          <w:b w:val="1"/>
          <w:bCs w:val="1"/>
          <w:color w:val="auto"/>
        </w:rPr>
        <w:t>Option Shares</w:t>
      </w:r>
      <w:r>
        <w:rPr>
          <w:rFonts w:ascii="Arial" w:cs="Arial" w:eastAsia="Arial" w:hAnsi="Arial"/>
          <w:sz w:val="17"/>
          <w:szCs w:val="17"/>
          <w:color w:val="auto"/>
        </w:rPr>
        <w:t xml:space="preserve"> and each an </w:t>
      </w:r>
      <w:r>
        <w:rPr>
          <w:rFonts w:ascii="Arial" w:cs="Arial" w:eastAsia="Arial" w:hAnsi="Arial"/>
          <w:sz w:val="17"/>
          <w:szCs w:val="17"/>
          <w:b w:val="1"/>
          <w:bCs w:val="1"/>
          <w:color w:val="auto"/>
        </w:rPr>
        <w:t>Option Share</w:t>
      </w:r>
      <w:r>
        <w:rPr>
          <w:rFonts w:ascii="Arial" w:cs="Arial" w:eastAsia="Arial" w:hAnsi="Arial"/>
          <w:sz w:val="17"/>
          <w:szCs w:val="17"/>
          <w:color w:val="auto"/>
        </w:rPr>
        <w:t xml:space="preserve">, and together with the Issued Shares,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and each a </w:t>
      </w:r>
      <w:r>
        <w:rPr>
          <w:rFonts w:ascii="Arial" w:cs="Arial" w:eastAsia="Arial" w:hAnsi="Arial"/>
          <w:sz w:val="17"/>
          <w:szCs w:val="17"/>
          <w:b w:val="1"/>
          <w:bCs w:val="1"/>
          <w:color w:val="auto"/>
        </w:rPr>
        <w:t>Share</w:t>
      </w:r>
      <w:r>
        <w:rPr>
          <w:rFonts w:ascii="Arial" w:cs="Arial" w:eastAsia="Arial" w:hAnsi="Arial"/>
          <w:sz w:val="17"/>
          <w:szCs w:val="17"/>
          <w:color w:val="auto"/>
        </w:rPr>
        <w:t xml:space="preserve">), as further set forth in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219" w:lineRule="exact"/>
        <w:rPr>
          <w:rFonts w:ascii="Arial" w:cs="Arial" w:eastAsia="Arial" w:hAnsi="Arial"/>
          <w:sz w:val="17"/>
          <w:szCs w:val="17"/>
          <w:color w:val="auto"/>
        </w:rPr>
      </w:pPr>
    </w:p>
    <w:p>
      <w:pPr>
        <w:ind w:left="660" w:right="20" w:hanging="652"/>
        <w:spacing w:after="0" w:line="256" w:lineRule="auto"/>
        <w:tabs>
          <w:tab w:leader="none" w:pos="65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Seller intends to sell and transfer to the Buyer such number of Shares as set forth opposite his, her or its name in Annex B, and the Buyer intends to buy and accept the Shares from the Sellers, on the terms and subject to the conditions contained in this Agreement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jc w:val="both"/>
        <w:ind w:left="660" w:right="60" w:hanging="652"/>
        <w:spacing w:after="0" w:line="278" w:lineRule="auto"/>
        <w:tabs>
          <w:tab w:leader="none" w:pos="65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As of the date of this Agreement, the Buyer is the holder of a convertible loan with a principal amount of CHF 8,000,000 on the terms and subject to the conditions contained in the Convertible Loan Agreement by and between the Company and the Buyer dated as of July 29, 2022 (the </w:t>
      </w:r>
      <w:r>
        <w:rPr>
          <w:rFonts w:ascii="Arial" w:cs="Arial" w:eastAsia="Arial" w:hAnsi="Arial"/>
          <w:sz w:val="17"/>
          <w:szCs w:val="17"/>
          <w:b w:val="1"/>
          <w:bCs w:val="1"/>
          <w:color w:val="auto"/>
        </w:rPr>
        <w:t>Convertible Loan Agreement</w:t>
      </w:r>
      <w:r>
        <w:rPr>
          <w:rFonts w:ascii="Arial" w:cs="Arial" w:eastAsia="Arial" w:hAnsi="Arial"/>
          <w:sz w:val="17"/>
          <w:szCs w:val="17"/>
          <w:color w:val="auto"/>
        </w:rPr>
        <w:t xml:space="preserve">), as amended by the Term Sheet dated as of October 26, 2022 (the </w:t>
      </w:r>
      <w:r>
        <w:rPr>
          <w:rFonts w:ascii="Arial" w:cs="Arial" w:eastAsia="Arial" w:hAnsi="Arial"/>
          <w:sz w:val="17"/>
          <w:szCs w:val="17"/>
          <w:b w:val="1"/>
          <w:bCs w:val="1"/>
          <w:color w:val="auto"/>
        </w:rPr>
        <w:t>Term Sheet</w:t>
      </w:r>
      <w:r>
        <w:rPr>
          <w:rFonts w:ascii="Arial" w:cs="Arial" w:eastAsia="Arial" w:hAnsi="Arial"/>
          <w:sz w:val="17"/>
          <w:szCs w:val="17"/>
          <w:color w:val="auto"/>
        </w:rPr>
        <w:t>).</w:t>
      </w:r>
    </w:p>
    <w:p>
      <w:pPr>
        <w:spacing w:after="0" w:line="211" w:lineRule="exact"/>
        <w:rPr>
          <w:rFonts w:ascii="Arial" w:cs="Arial" w:eastAsia="Arial" w:hAnsi="Arial"/>
          <w:sz w:val="17"/>
          <w:szCs w:val="17"/>
          <w:color w:val="auto"/>
        </w:rPr>
      </w:pPr>
    </w:p>
    <w:p>
      <w:pPr>
        <w:ind w:left="660" w:hanging="652"/>
        <w:spacing w:after="0" w:line="252"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Prior to the execution of this Agreement, the Sellers have given access to the Buyer and its Representatives, and the Buyer and its Representatives have reviewed, analyzed and assessed (the </w:t>
      </w:r>
      <w:r>
        <w:rPr>
          <w:rFonts w:ascii="Arial" w:cs="Arial" w:eastAsia="Arial" w:hAnsi="Arial"/>
          <w:sz w:val="18"/>
          <w:szCs w:val="18"/>
          <w:b w:val="1"/>
          <w:bCs w:val="1"/>
          <w:color w:val="auto"/>
        </w:rPr>
        <w:t>Due Diligence Review</w:t>
      </w:r>
      <w:r>
        <w:rPr>
          <w:rFonts w:ascii="Arial" w:cs="Arial" w:eastAsia="Arial" w:hAnsi="Arial"/>
          <w:sz w:val="18"/>
          <w:szCs w:val="18"/>
          <w:color w:val="auto"/>
        </w:rPr>
        <w:t xml:space="preserve">), legal, financial, accounting, tax, operational, commercial and other information in relation to the Company and the Company's business, including, without limitation, based on the information uploaded to the online data room hosted by Datasite on behalf of the Sellers under the name "Sparrow" (the </w:t>
      </w:r>
      <w:r>
        <w:rPr>
          <w:rFonts w:ascii="Arial" w:cs="Arial" w:eastAsia="Arial" w:hAnsi="Arial"/>
          <w:sz w:val="18"/>
          <w:szCs w:val="18"/>
          <w:b w:val="1"/>
          <w:bCs w:val="1"/>
          <w:color w:val="auto"/>
        </w:rPr>
        <w:t>Data Room</w:t>
      </w:r>
      <w:r>
        <w:rPr>
          <w:rFonts w:ascii="Arial" w:cs="Arial" w:eastAsia="Arial" w:hAnsi="Arial"/>
          <w:sz w:val="18"/>
          <w:szCs w:val="18"/>
          <w:color w:val="auto"/>
        </w:rPr>
        <w:t xml:space="preserve">) (as saved to an electronic data storage device in the form as existing as of December 7, 2022 and made available to the Buyer by the Sellers at the signing of this Agreement) (the </w:t>
      </w:r>
      <w:r>
        <w:rPr>
          <w:rFonts w:ascii="Arial" w:cs="Arial" w:eastAsia="Arial" w:hAnsi="Arial"/>
          <w:sz w:val="18"/>
          <w:szCs w:val="18"/>
          <w:b w:val="1"/>
          <w:bCs w:val="1"/>
          <w:color w:val="auto"/>
        </w:rPr>
        <w:t>Data Room Documents</w:t>
      </w:r>
      <w:r>
        <w:rPr>
          <w:rFonts w:ascii="Arial" w:cs="Arial" w:eastAsia="Arial" w:hAnsi="Arial"/>
          <w:sz w:val="18"/>
          <w:szCs w:val="18"/>
          <w:color w:val="auto"/>
        </w:rPr>
        <w:t>). The Buyer has further had the opportunity to discuss with the Sellers and their Representatives and the Management of the Company and clarify with them any matters pertaining to the Company and the Company's business.</w:t>
      </w:r>
    </w:p>
    <w:p>
      <w:pPr>
        <w:spacing w:after="0" w:line="21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Sellers, the Buyer and, where applicable, [***] and the Company (each a</w:t>
      </w:r>
      <w:r>
        <w:rPr>
          <w:rFonts w:ascii="Arial" w:cs="Arial" w:eastAsia="Arial" w:hAnsi="Arial"/>
          <w:sz w:val="18"/>
          <w:szCs w:val="18"/>
          <w:b w:val="1"/>
          <w:bCs w:val="1"/>
          <w:color w:val="auto"/>
        </w:rPr>
        <w:t xml:space="preserve"> Party</w:t>
      </w:r>
      <w:r>
        <w:rPr>
          <w:rFonts w:ascii="Arial" w:cs="Arial" w:eastAsia="Arial" w:hAnsi="Arial"/>
          <w:sz w:val="18"/>
          <w:szCs w:val="18"/>
          <w:color w:val="auto"/>
        </w:rPr>
        <w:t>, and collectively the</w:t>
      </w:r>
      <w:r>
        <w:rPr>
          <w:rFonts w:ascii="Arial" w:cs="Arial" w:eastAsia="Arial" w:hAnsi="Arial"/>
          <w:sz w:val="18"/>
          <w:szCs w:val="18"/>
          <w:b w:val="1"/>
          <w:bCs w:val="1"/>
          <w:color w:val="auto"/>
        </w:rPr>
        <w:t xml:space="preserve"> Parties</w:t>
      </w:r>
      <w:r>
        <w:rPr>
          <w:rFonts w:ascii="Arial" w:cs="Arial" w:eastAsia="Arial" w:hAnsi="Arial"/>
          <w:sz w:val="18"/>
          <w:szCs w:val="18"/>
          <w:color w:val="auto"/>
        </w:rPr>
        <w:t>)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74"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 xml:space="preserve">Capitalized terms used in this Agreement have the meanings assigned to such terms (a) in the body of this Agreement and referenced in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to this Agreement, or (b) in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1. For purposes of this Agreement, the interpretational rules set forth in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1 shall apply.</w:t>
      </w:r>
    </w:p>
    <w:p>
      <w:pPr>
        <w:spacing w:after="0" w:line="179"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of the Shares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7"/>
          <w:szCs w:val="17"/>
          <w:b w:val="1"/>
          <w:bCs w:val="1"/>
          <w:color w:val="auto"/>
        </w:rPr>
        <w:t>Object of the Sale</w:t>
      </w:r>
    </w:p>
    <w:p>
      <w:pPr>
        <w:sectPr>
          <w:pgSz w:w="11900" w:h="16838" w:orient="portrait"/>
          <w:cols w:equalWidth="0" w:num="1">
            <w:col w:w="11240"/>
          </w:cols>
          <w:pgMar w:left="320" w:top="1440" w:right="339" w:bottom="1440" w:gutter="0" w:footer="0" w:header="0"/>
        </w:sectPr>
      </w:pPr>
    </w:p>
    <w:bookmarkStart w:id="120" w:name="page121"/>
    <w:bookmarkEnd w:id="120"/>
    <w:p>
      <w:pPr>
        <w:ind w:left="660" w:right="20" w:hanging="652"/>
        <w:spacing w:after="0" w:line="254" w:lineRule="auto"/>
        <w:tabs>
          <w:tab w:leader="none" w:pos="6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the terms and subject to the conditions of this Agreement, each Seller hereby agrees to sell, individually and not jointly with the other Sellers, and at the Closing, to transfer to the Buyer the full legal and beneficial ownership of the Shares, free and clear of any Liens, as set forth opposite such Seller's name on Annex B, with all rights attached or accruing to such Shares as of the Closing, and the Buyer hereby agrees to purchase and accept from the Sellers the Shares.</w:t>
      </w:r>
    </w:p>
    <w:p>
      <w:pPr>
        <w:spacing w:after="0" w:line="230" w:lineRule="exact"/>
        <w:rPr>
          <w:rFonts w:ascii="Arial" w:cs="Arial" w:eastAsia="Arial" w:hAnsi="Arial"/>
          <w:sz w:val="18"/>
          <w:szCs w:val="18"/>
          <w:color w:val="auto"/>
        </w:rPr>
      </w:pPr>
    </w:p>
    <w:p>
      <w:pPr>
        <w:ind w:left="660" w:hanging="652"/>
        <w:spacing w:after="0" w:line="252" w:lineRule="auto"/>
        <w:tabs>
          <w:tab w:leader="none" w:pos="6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Each Seller, subject to and as of the Closing, (i) unconditionally and irrevocably waives all rights of pre-emption, redemption, first offer, first refusal, transfer, tag along and drag along and any other similar rights as holder of Shares that each Seller may have under the second restated and amended shareholders' agreement dated as of August 13, 2021 by and among the Sellers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and (ii) agrees to terminate the Shareholders' Agreement, including Section 15 (</w:t>
      </w:r>
      <w:r>
        <w:rPr>
          <w:rFonts w:ascii="Arial" w:cs="Arial" w:eastAsia="Arial" w:hAnsi="Arial"/>
          <w:sz w:val="18"/>
          <w:szCs w:val="18"/>
          <w:i w:val="1"/>
          <w:iCs w:val="1"/>
          <w:color w:val="auto"/>
        </w:rPr>
        <w:t>Non-Compete and Non-Solicitation</w:t>
      </w:r>
      <w:r>
        <w:rPr>
          <w:rFonts w:ascii="Arial" w:cs="Arial" w:eastAsia="Arial" w:hAnsi="Arial"/>
          <w:sz w:val="18"/>
          <w:szCs w:val="18"/>
          <w:color w:val="auto"/>
        </w:rPr>
        <w:t>), effective as of the Closing, except for Section 1 (</w:t>
      </w:r>
      <w:r>
        <w:rPr>
          <w:rFonts w:ascii="Arial" w:cs="Arial" w:eastAsia="Arial" w:hAnsi="Arial"/>
          <w:sz w:val="18"/>
          <w:szCs w:val="18"/>
          <w:i w:val="1"/>
          <w:iCs w:val="1"/>
          <w:color w:val="auto"/>
        </w:rPr>
        <w:t>Definitions</w:t>
      </w:r>
      <w:r>
        <w:rPr>
          <w:rFonts w:ascii="Arial" w:cs="Arial" w:eastAsia="Arial" w:hAnsi="Arial"/>
          <w:sz w:val="18"/>
          <w:szCs w:val="18"/>
          <w:color w:val="auto"/>
        </w:rPr>
        <w:t>), Section 13 (</w:t>
      </w:r>
      <w:r>
        <w:rPr>
          <w:rFonts w:ascii="Arial" w:cs="Arial" w:eastAsia="Arial" w:hAnsi="Arial"/>
          <w:sz w:val="18"/>
          <w:szCs w:val="18"/>
          <w:i w:val="1"/>
          <w:iCs w:val="1"/>
          <w:color w:val="auto"/>
        </w:rPr>
        <w:t>Confidentiality</w:t>
      </w:r>
      <w:r>
        <w:rPr>
          <w:rFonts w:ascii="Arial" w:cs="Arial" w:eastAsia="Arial" w:hAnsi="Arial"/>
          <w:sz w:val="18"/>
          <w:szCs w:val="18"/>
          <w:color w:val="auto"/>
        </w:rPr>
        <w:t>), Section 16 (</w:t>
      </w:r>
      <w:r>
        <w:rPr>
          <w:rFonts w:ascii="Arial" w:cs="Arial" w:eastAsia="Arial" w:hAnsi="Arial"/>
          <w:sz w:val="18"/>
          <w:szCs w:val="18"/>
          <w:i w:val="1"/>
          <w:iCs w:val="1"/>
          <w:color w:val="auto"/>
        </w:rPr>
        <w:t>Miscellaneous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Section 17 (</w:t>
      </w:r>
      <w:r>
        <w:rPr>
          <w:rFonts w:ascii="Arial" w:cs="Arial" w:eastAsia="Arial" w:hAnsi="Arial"/>
          <w:sz w:val="18"/>
          <w:szCs w:val="18"/>
          <w:i w:val="1"/>
          <w:iCs w:val="1"/>
          <w:color w:val="auto"/>
        </w:rPr>
        <w:t>Governing Law and Arbitration</w:t>
      </w:r>
      <w:r>
        <w:rPr>
          <w:rFonts w:ascii="Arial" w:cs="Arial" w:eastAsia="Arial" w:hAnsi="Arial"/>
          <w:sz w:val="18"/>
          <w:szCs w:val="18"/>
          <w:color w:val="auto"/>
        </w:rPr>
        <w:t>).</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Preliminary Consideration Payable at the Closing</w:t>
      </w:r>
    </w:p>
    <w:p>
      <w:pPr>
        <w:spacing w:after="0" w:line="274" w:lineRule="exact"/>
        <w:rPr>
          <w:sz w:val="20"/>
          <w:szCs w:val="20"/>
          <w:color w:val="auto"/>
        </w:rPr>
      </w:pPr>
    </w:p>
    <w:p>
      <w:pPr>
        <w:ind w:left="660" w:right="1000" w:hanging="652"/>
        <w:spacing w:after="0" w:line="261"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consideration for the Shares payable by the Buyer to the Sellers at the Closing in accordance with Section 4.3.2 (the </w:t>
      </w:r>
      <w:r>
        <w:rPr>
          <w:rFonts w:ascii="Arial" w:cs="Arial" w:eastAsia="Arial" w:hAnsi="Arial"/>
          <w:sz w:val="18"/>
          <w:szCs w:val="18"/>
          <w:b w:val="1"/>
          <w:bCs w:val="1"/>
          <w:color w:val="auto"/>
        </w:rPr>
        <w:t>Preliminary Closing Consideration</w:t>
      </w:r>
      <w:r>
        <w:rPr>
          <w:rFonts w:ascii="Arial" w:cs="Arial" w:eastAsia="Arial" w:hAnsi="Arial"/>
          <w:sz w:val="18"/>
          <w:szCs w:val="18"/>
          <w:color w:val="auto"/>
        </w:rPr>
        <w:t>) is equal to:</w:t>
      </w:r>
    </w:p>
    <w:p>
      <w:pPr>
        <w:spacing w:after="0" w:line="202" w:lineRule="exact"/>
        <w:rPr>
          <w:rFonts w:ascii="Arial" w:cs="Arial" w:eastAsia="Arial" w:hAnsi="Arial"/>
          <w:sz w:val="18"/>
          <w:szCs w:val="18"/>
          <w:color w:val="auto"/>
        </w:rPr>
      </w:pPr>
    </w:p>
    <w:p>
      <w:pPr>
        <w:ind w:left="1300" w:hanging="642"/>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CHF 62,400,000 (Swiss Francs sixty-two million four hundred thousand) (the </w:t>
      </w:r>
      <w:r>
        <w:rPr>
          <w:rFonts w:ascii="Arial" w:cs="Arial" w:eastAsia="Arial" w:hAnsi="Arial"/>
          <w:sz w:val="18"/>
          <w:szCs w:val="18"/>
          <w:b w:val="1"/>
          <w:bCs w:val="1"/>
          <w:color w:val="auto"/>
        </w:rPr>
        <w:t>Headline Price</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300" w:hanging="682"/>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Estimated Net Debt, established in accordance with Section 2.2(c),</w:t>
      </w:r>
    </w:p>
    <w:p>
      <w:pPr>
        <w:spacing w:after="0" w:line="270" w:lineRule="exact"/>
        <w:rPr>
          <w:rFonts w:ascii="Arial" w:cs="Arial" w:eastAsia="Arial" w:hAnsi="Arial"/>
          <w:sz w:val="18"/>
          <w:szCs w:val="18"/>
          <w:color w:val="auto"/>
        </w:rPr>
      </w:pPr>
    </w:p>
    <w:p>
      <w:pPr>
        <w:ind w:left="1300" w:right="120" w:hanging="722"/>
        <w:spacing w:after="0" w:line="256"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(1) if the Estimated Net Working Capital (established in accordance with Section 2.2(c)) exceeds the Net Working Capital Target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such excess, or (2) if the Estimated Net Working Capital (established in accordance with Section 2.2(c)) is less than the Net Working Capital Target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such shortfall,</w:t>
      </w:r>
    </w:p>
    <w:p>
      <w:pPr>
        <w:spacing w:after="0" w:line="210" w:lineRule="exact"/>
        <w:rPr>
          <w:rFonts w:ascii="Arial" w:cs="Arial" w:eastAsia="Arial" w:hAnsi="Arial"/>
          <w:sz w:val="18"/>
          <w:szCs w:val="18"/>
          <w:color w:val="auto"/>
        </w:rPr>
      </w:pPr>
    </w:p>
    <w:p>
      <w:pPr>
        <w:ind w:left="1300" w:hanging="732"/>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Estimated Pre-Closing Taxes, established in accordance with Section 2.2(c), and</w:t>
      </w:r>
    </w:p>
    <w:p>
      <w:pPr>
        <w:spacing w:after="0" w:line="252" w:lineRule="exact"/>
        <w:rPr>
          <w:rFonts w:ascii="Arial" w:cs="Arial" w:eastAsia="Arial" w:hAnsi="Arial"/>
          <w:sz w:val="18"/>
          <w:szCs w:val="18"/>
          <w:color w:val="auto"/>
        </w:rPr>
      </w:pPr>
    </w:p>
    <w:p>
      <w:pPr>
        <w:ind w:left="1300" w:hanging="692"/>
        <w:spacing w:after="0"/>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Estimated Company Transaction Expenses, established in accordance with Section 2.2(c).</w:t>
      </w:r>
    </w:p>
    <w:p>
      <w:pPr>
        <w:spacing w:after="0" w:line="270" w:lineRule="exact"/>
        <w:rPr>
          <w:sz w:val="20"/>
          <w:szCs w:val="20"/>
          <w:color w:val="auto"/>
        </w:rPr>
      </w:pPr>
    </w:p>
    <w:p>
      <w:pPr>
        <w:ind w:left="660" w:right="40"/>
        <w:spacing w:after="0" w:line="252" w:lineRule="auto"/>
        <w:rPr>
          <w:sz w:val="20"/>
          <w:szCs w:val="20"/>
          <w:color w:val="auto"/>
        </w:rPr>
      </w:pPr>
      <w:r>
        <w:rPr>
          <w:rFonts w:ascii="Arial" w:cs="Arial" w:eastAsia="Arial" w:hAnsi="Arial"/>
          <w:sz w:val="18"/>
          <w:szCs w:val="18"/>
          <w:color w:val="auto"/>
        </w:rPr>
        <w:t xml:space="preserve">subject to the adjustments pursuant to Section 2.3. Once established in accordance with Section 2.2(c), but not later than five (5) Business Days prior to the Closing Date, the Sellers shall deliver to the Buyer a statement (the </w:t>
      </w:r>
      <w:r>
        <w:rPr>
          <w:rFonts w:ascii="Arial" w:cs="Arial" w:eastAsia="Arial" w:hAnsi="Arial"/>
          <w:sz w:val="18"/>
          <w:szCs w:val="18"/>
          <w:b w:val="1"/>
          <w:bCs w:val="1"/>
          <w:color w:val="auto"/>
        </w:rPr>
        <w:t>Closing Payment Statement</w:t>
      </w:r>
      <w:r>
        <w:rPr>
          <w:rFonts w:ascii="Arial" w:cs="Arial" w:eastAsia="Arial" w:hAnsi="Arial"/>
          <w:sz w:val="18"/>
          <w:szCs w:val="18"/>
          <w:color w:val="auto"/>
        </w:rPr>
        <w:t>) containing (i) the Preliminary Closing Consideration including separate line items regarding the Estimated Net Debt, the Estimated Net Working Capital, the Estimated Pre-Closing Taxes, and the Estimated Company Transaction Expenses, (ii) the allocation to each of the Sellers based on the Ownership Percentage, (ii) the Estimated Closing Employee Payroll Taxes Amount in connection with the Closing Purchase Price and its allocation to each Seller who is subject to Closing Payroll Taxes, (iii) the Sellers' Advisor Closing Fees Amount, (iv) the Sellers' Legal Fees Amount, and (v) the wire instructions for the payments to be made by the Buyer at the Closing in accordance with Section 4.3.2.</w:t>
      </w:r>
    </w:p>
    <w:p>
      <w:pPr>
        <w:spacing w:after="0" w:line="232" w:lineRule="exact"/>
        <w:rPr>
          <w:sz w:val="20"/>
          <w:szCs w:val="20"/>
          <w:color w:val="auto"/>
        </w:rPr>
      </w:pPr>
    </w:p>
    <w:p>
      <w:pPr>
        <w:jc w:val="both"/>
        <w:ind w:left="660" w:right="60" w:hanging="652"/>
        <w:spacing w:after="0" w:line="256" w:lineRule="auto"/>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Buyer shall deduct from the respective portion of the Preliminary Closing Consideration that is payable to a Seller who is subject to Closing Payroll Taxes the relevant Estimated Closing Employee Payroll Taxes Amount, and pay these amounts to the Company in accordance with Section 4.3.2.</w:t>
      </w:r>
    </w:p>
    <w:p>
      <w:pPr>
        <w:sectPr>
          <w:pgSz w:w="11900" w:h="16838" w:orient="portrait"/>
          <w:cols w:equalWidth="0" w:num="1">
            <w:col w:w="11240"/>
          </w:cols>
          <w:pgMar w:left="320" w:top="1435" w:right="339" w:bottom="1440" w:gutter="0" w:footer="0" w:header="0"/>
        </w:sectPr>
      </w:pPr>
    </w:p>
    <w:bookmarkStart w:id="121" w:name="page122"/>
    <w:bookmarkEnd w:id="121"/>
    <w:p>
      <w:pPr>
        <w:ind w:left="660" w:hanging="652"/>
        <w:spacing w:after="0" w:line="251" w:lineRule="auto"/>
        <w:tabs>
          <w:tab w:leader="none" w:pos="6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Sellers shall estimate in good faith the Net Debt, the Net Working Capital, the Pre-Closing Taxes and the Company Transaction Expenses (the latter, for the avoidance of doubt including the Sellers' Advisor Closing Fees Amount and the Sellers' Legal Fees Amount) as at the Cut-off Date as well as the Estimated Closing Employee Payroll Taxes Amount (the </w:t>
      </w:r>
      <w:r>
        <w:rPr>
          <w:rFonts w:ascii="Arial" w:cs="Arial" w:eastAsia="Arial" w:hAnsi="Arial"/>
          <w:sz w:val="18"/>
          <w:szCs w:val="18"/>
          <w:b w:val="1"/>
          <w:bCs w:val="1"/>
          <w:color w:val="auto"/>
        </w:rPr>
        <w:t>Estimates</w:t>
      </w:r>
      <w:r>
        <w:rPr>
          <w:rFonts w:ascii="Arial" w:cs="Arial" w:eastAsia="Arial" w:hAnsi="Arial"/>
          <w:sz w:val="18"/>
          <w:szCs w:val="18"/>
          <w:color w:val="auto"/>
        </w:rPr>
        <w:t>) for purposes of calculating the Preliminary Closing Consideration and deliver the Estimates to the Buyer no later than seven (7) Business Days prior to the anticipated Closing, together with reasonable documentation supporting the calculation of the Estimates. If the Buyer disagrees with the Estimates as proposed by the Sellers, the matter shall be escalated to the Sellers' Representative and the Chief Strategy Officer and General Counsel of the Buyer (or an individual or individuals of equivalent standing within the Buyer’s organization), acting on behalf of the Buyer, who shall between them agree on the Estimates to be used for purposes of the Closing. Absent agreement on the Estimates within two (2) Business Days of the referral of the matter to the individuals identified in the preceding sentence, the Estimates established by the Sellers corrected in accordance with the reasonable objections of the Buyer shall be used for purposes of calculating the Preliminary Closing Consideration (which shall, for the avoidance of doubt, be subject to the adjustments pursuant to Sections 2.3 and 2.4).</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Determination of Adjustments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Principles</w:t>
      </w:r>
    </w:p>
    <w:p>
      <w:pPr>
        <w:spacing w:after="0" w:line="274" w:lineRule="exact"/>
        <w:rPr>
          <w:sz w:val="20"/>
          <w:szCs w:val="20"/>
          <w:color w:val="auto"/>
        </w:rPr>
      </w:pPr>
    </w:p>
    <w:p>
      <w:pPr>
        <w:ind w:left="660" w:hanging="652"/>
        <w:spacing w:after="0" w:line="256"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Final Net Debt, the Final Net Working Capital, the Final Pre-Closing Taxes and the Final Company Transaction Expenses as well as the Closing Employee Payroll Taxes Amount shall be determined by establishing the Final Closing Accounts and the Final Adjustment in accordance with this Section 2.3 and Section 2.4.</w:t>
      </w:r>
    </w:p>
    <w:p>
      <w:pPr>
        <w:spacing w:after="0" w:line="228" w:lineRule="exact"/>
        <w:rPr>
          <w:rFonts w:ascii="Arial" w:cs="Arial" w:eastAsia="Arial" w:hAnsi="Arial"/>
          <w:sz w:val="18"/>
          <w:szCs w:val="18"/>
          <w:color w:val="auto"/>
        </w:rPr>
      </w:pPr>
    </w:p>
    <w:p>
      <w:pPr>
        <w:ind w:left="660" w:right="240" w:hanging="652"/>
        <w:spacing w:after="0" w:line="261"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Preliminary Closing Consideration, as adjusted in accordance with this Section 2.3 and Section 2.4 (other than with respect to the Closing Employee Payroll Taxes Amount), shall be referred to hereinafter as the </w:t>
      </w:r>
      <w:r>
        <w:rPr>
          <w:rFonts w:ascii="Arial" w:cs="Arial" w:eastAsia="Arial" w:hAnsi="Arial"/>
          <w:sz w:val="18"/>
          <w:szCs w:val="18"/>
          <w:b w:val="1"/>
          <w:bCs w:val="1"/>
          <w:color w:val="auto"/>
        </w:rPr>
        <w:t>Closing Purchase Price</w:t>
      </w:r>
      <w:r>
        <w:rPr>
          <w:rFonts w:ascii="Arial" w:cs="Arial" w:eastAsia="Arial" w:hAnsi="Arial"/>
          <w:sz w:val="18"/>
          <w:szCs w:val="18"/>
          <w:color w:val="auto"/>
        </w:rPr>
        <w: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7"/>
          <w:szCs w:val="17"/>
          <w:b w:val="1"/>
          <w:bCs w:val="1"/>
          <w:color w:val="auto"/>
        </w:rPr>
        <w:t>Procedural Matters</w:t>
      </w:r>
    </w:p>
    <w:p>
      <w:pPr>
        <w:spacing w:after="0" w:line="274" w:lineRule="exact"/>
        <w:rPr>
          <w:sz w:val="20"/>
          <w:szCs w:val="20"/>
          <w:color w:val="auto"/>
        </w:rPr>
      </w:pPr>
    </w:p>
    <w:p>
      <w:pPr>
        <w:ind w:left="660" w:right="140" w:hanging="652"/>
        <w:spacing w:after="0" w:line="252" w:lineRule="auto"/>
        <w:tabs>
          <w:tab w:leader="none" w:pos="6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 later than forty-five (45) Business Days following the Closing Date, the Buyer shall deliver to the Sellers' Representative the Company's financial statements as of the Cut-off Date and established in accordance with the manner described in Section 2.3 (the </w:t>
      </w:r>
      <w:r>
        <w:rPr>
          <w:rFonts w:ascii="Arial" w:cs="Arial" w:eastAsia="Arial" w:hAnsi="Arial"/>
          <w:sz w:val="18"/>
          <w:szCs w:val="18"/>
          <w:b w:val="1"/>
          <w:bCs w:val="1"/>
          <w:color w:val="auto"/>
        </w:rPr>
        <w:t>Proposed Closing Accounts</w:t>
      </w:r>
      <w:r>
        <w:rPr>
          <w:rFonts w:ascii="Arial" w:cs="Arial" w:eastAsia="Arial" w:hAnsi="Arial"/>
          <w:sz w:val="18"/>
          <w:szCs w:val="18"/>
          <w:color w:val="auto"/>
        </w:rPr>
        <w:t>, and upon becoming final and binding in accordance with this Section 2.3 the</w:t>
      </w:r>
      <w:r>
        <w:rPr>
          <w:rFonts w:ascii="Arial" w:cs="Arial" w:eastAsia="Arial" w:hAnsi="Arial"/>
          <w:sz w:val="18"/>
          <w:szCs w:val="18"/>
          <w:b w:val="1"/>
          <w:bCs w:val="1"/>
          <w:color w:val="auto"/>
        </w:rPr>
        <w:t xml:space="preserve"> Final Closing Accounts</w:t>
      </w:r>
      <w:r>
        <w:rPr>
          <w:rFonts w:ascii="Arial" w:cs="Arial" w:eastAsia="Arial" w:hAnsi="Arial"/>
          <w:sz w:val="18"/>
          <w:szCs w:val="18"/>
          <w:color w:val="auto"/>
        </w:rPr>
        <w:t>), and determine based thereon the Final Net Debt, the Final Net Working Capital, the Final Pre-Closing Taxes,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Transaction Expenses as well as the Closing Employee Payroll Taxes Amount, and the balance of the adjustments pursuant to this Section 2.3 and Section 2.4 (the </w:t>
      </w:r>
      <w:r>
        <w:rPr>
          <w:rFonts w:ascii="Arial" w:cs="Arial" w:eastAsia="Arial" w:hAnsi="Arial"/>
          <w:sz w:val="18"/>
          <w:szCs w:val="18"/>
          <w:b w:val="1"/>
          <w:bCs w:val="1"/>
          <w:color w:val="auto"/>
        </w:rPr>
        <w:t>Proposed Adjustment</w:t>
      </w:r>
      <w:r>
        <w:rPr>
          <w:rFonts w:ascii="Arial" w:cs="Arial" w:eastAsia="Arial" w:hAnsi="Arial"/>
          <w:sz w:val="18"/>
          <w:szCs w:val="18"/>
          <w:color w:val="auto"/>
        </w:rPr>
        <w:t xml:space="preserve">, and upon becoming final and binding in accordance with this Section 2.3 the </w:t>
      </w:r>
      <w:r>
        <w:rPr>
          <w:rFonts w:ascii="Arial" w:cs="Arial" w:eastAsia="Arial" w:hAnsi="Arial"/>
          <w:sz w:val="18"/>
          <w:szCs w:val="18"/>
          <w:b w:val="1"/>
          <w:bCs w:val="1"/>
          <w:color w:val="auto"/>
        </w:rPr>
        <w:t>Final Adjustment</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660" w:hanging="652"/>
        <w:spacing w:after="0" w:line="261" w:lineRule="auto"/>
        <w:tabs>
          <w:tab w:leader="none" w:pos="6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Buyer shall procure that the Sellers' Representative and its advisors are given full access (during ordinary business hours) to the books and records of the Company for the purposes of reviewing the Proposed Closing Accounts and the Proposed Adjustment.</w:t>
      </w:r>
    </w:p>
    <w:p>
      <w:pPr>
        <w:spacing w:after="0" w:line="202" w:lineRule="exact"/>
        <w:rPr>
          <w:rFonts w:ascii="Arial" w:cs="Arial" w:eastAsia="Arial" w:hAnsi="Arial"/>
          <w:sz w:val="18"/>
          <w:szCs w:val="18"/>
          <w:color w:val="auto"/>
        </w:rPr>
      </w:pPr>
    </w:p>
    <w:p>
      <w:pPr>
        <w:ind w:left="660" w:right="260" w:hanging="652"/>
        <w:spacing w:after="0" w:line="257" w:lineRule="auto"/>
        <w:tabs>
          <w:tab w:leader="none" w:pos="65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Unless the Sellers' Representative gives written notice (the </w:t>
      </w:r>
      <w:r>
        <w:rPr>
          <w:rFonts w:ascii="Arial" w:cs="Arial" w:eastAsia="Arial" w:hAnsi="Arial"/>
          <w:sz w:val="18"/>
          <w:szCs w:val="18"/>
          <w:b w:val="1"/>
          <w:bCs w:val="1"/>
          <w:color w:val="auto"/>
        </w:rPr>
        <w:t>Notice of Objection</w:t>
      </w:r>
      <w:r>
        <w:rPr>
          <w:rFonts w:ascii="Arial" w:cs="Arial" w:eastAsia="Arial" w:hAnsi="Arial"/>
          <w:sz w:val="18"/>
          <w:szCs w:val="18"/>
          <w:color w:val="auto"/>
        </w:rPr>
        <w:t>) to the Buyer within thirty (30) Business Days following receipt of the Proposed Closing Accounts and the Proposed Adjustment that it disagrees with any specific item of the Proposed Closing Accounts or the Proposed Adjustment, stating in such notice in reasonable detail the reasons for the objections and including specific proposals for adjustment of each disputed item in the Proposed Closing Accounts and the Proposed Adjustment, the Proposed Closing Accounts and the Proposed Adjustment shall be deemed final and binding on the Parties for all purposes.</w:t>
      </w:r>
    </w:p>
    <w:p>
      <w:pPr>
        <w:sectPr>
          <w:pgSz w:w="11900" w:h="16838" w:orient="portrait"/>
          <w:cols w:equalWidth="0" w:num="1">
            <w:col w:w="11220"/>
          </w:cols>
          <w:pgMar w:left="320" w:top="1435" w:right="359" w:bottom="1440" w:gutter="0" w:footer="0" w:header="0"/>
        </w:sectPr>
      </w:pPr>
    </w:p>
    <w:bookmarkStart w:id="122" w:name="page123"/>
    <w:bookmarkEnd w:id="122"/>
    <w:p>
      <w:pPr>
        <w:ind w:left="652" w:hanging="652"/>
        <w:spacing w:after="0" w:line="252" w:lineRule="auto"/>
        <w:tabs>
          <w:tab w:leader="none" w:pos="6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Parties shall endeavor to resolve in good faith any objection stated in the Notice of Objection within twenty (20) Business Days after the Buyer's receipt of the Notice of Objection. If the Parties are unable to do so, either Party may refer the matter to an accounting firm which is independent from the Sellers, the Buyer, and their Affiliates, and which is based in Switzerland with an international reputation such as BDO AG, Deloitte AG, Ernst &amp; Young AG, KPMG AG or PricewaterhouseCoopers AG, to be agreed upon by the Parties, or, if the Parties cannot agree on an accounting firm within fifteen (15) Business Days after the Buyer's receipt of the Notice of Objection, such an accounting firm appointed by the Zurich Chamber of Commerce upon request by either the Buyer or the Sellers (the accounting firm appointed in accordance with this Section 2.3.2(d) hereinafter referred to as the </w:t>
      </w:r>
      <w:r>
        <w:rPr>
          <w:rFonts w:ascii="Arial" w:cs="Arial" w:eastAsia="Arial" w:hAnsi="Arial"/>
          <w:sz w:val="18"/>
          <w:szCs w:val="18"/>
          <w:b w:val="1"/>
          <w:bCs w:val="1"/>
          <w:color w:val="auto"/>
        </w:rPr>
        <w:t>Appraiser</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ind w:left="652" w:right="120" w:hanging="652"/>
        <w:spacing w:after="0" w:line="252" w:lineRule="auto"/>
        <w:tabs>
          <w:tab w:leader="none" w:pos="6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Appraiser shall establish independently, on behalf of the Parties and on the terms set forth in this Section 2.3 and Section 2.4, the Final Closing Accounts and the Final Adjustment. In so doing, the Appraiser shall serve as an expert (</w:t>
      </w:r>
      <w:r>
        <w:rPr>
          <w:rFonts w:ascii="Arial" w:cs="Arial" w:eastAsia="Arial" w:hAnsi="Arial"/>
          <w:sz w:val="18"/>
          <w:szCs w:val="18"/>
          <w:i w:val="1"/>
          <w:iCs w:val="1"/>
          <w:color w:val="auto"/>
        </w:rPr>
        <w:t>Schiedsgutachter</w:t>
      </w:r>
      <w:r>
        <w:rPr>
          <w:rFonts w:ascii="Arial" w:cs="Arial" w:eastAsia="Arial" w:hAnsi="Arial"/>
          <w:sz w:val="18"/>
          <w:szCs w:val="18"/>
          <w:color w:val="auto"/>
        </w:rPr>
        <w:t>), as that term is defined in article 189 of the Swiss Code of Civil Procedure (</w:t>
      </w:r>
      <w:r>
        <w:rPr>
          <w:rFonts w:ascii="Arial" w:cs="Arial" w:eastAsia="Arial" w:hAnsi="Arial"/>
          <w:sz w:val="18"/>
          <w:szCs w:val="18"/>
          <w:i w:val="1"/>
          <w:iCs w:val="1"/>
          <w:color w:val="auto"/>
        </w:rPr>
        <w:t>Schweizerische Zivilprozessordnung</w:t>
      </w:r>
      <w:r>
        <w:rPr>
          <w:rFonts w:ascii="Arial" w:cs="Arial" w:eastAsia="Arial" w:hAnsi="Arial"/>
          <w:sz w:val="18"/>
          <w:szCs w:val="18"/>
          <w:color w:val="auto"/>
        </w:rPr>
        <w:t>), and not as an arbitrator, and his or her determination of any subject matter falling within the scope of his or her mandate shall be final and binding on the Parties, except in the event of a manifest error on the part of the Appraiser (in which case the relevant part of his or her determination shall be void and the matter be remitted to the Appraiser for correction).</w:t>
      </w:r>
    </w:p>
    <w:p>
      <w:pPr>
        <w:spacing w:after="0" w:line="235" w:lineRule="exact"/>
        <w:rPr>
          <w:rFonts w:ascii="Arial" w:cs="Arial" w:eastAsia="Arial" w:hAnsi="Arial"/>
          <w:sz w:val="18"/>
          <w:szCs w:val="18"/>
          <w:color w:val="auto"/>
        </w:rPr>
      </w:pPr>
    </w:p>
    <w:p>
      <w:pPr>
        <w:ind w:left="652" w:right="160" w:hanging="652"/>
        <w:spacing w:after="0" w:line="261" w:lineRule="auto"/>
        <w:tabs>
          <w:tab w:leader="none" w:pos="64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Parties shall procure that the Appraiser will be furnished with all documents and information relating to the establishment of the Final Closing Accounts and the Final Adjustment as the Appraiser may reasonably request.</w:t>
      </w:r>
    </w:p>
    <w:p>
      <w:pPr>
        <w:spacing w:after="0" w:line="224" w:lineRule="exact"/>
        <w:rPr>
          <w:rFonts w:ascii="Arial" w:cs="Arial" w:eastAsia="Arial" w:hAnsi="Arial"/>
          <w:sz w:val="18"/>
          <w:szCs w:val="18"/>
          <w:color w:val="auto"/>
        </w:rPr>
      </w:pPr>
    </w:p>
    <w:p>
      <w:pPr>
        <w:ind w:left="632" w:hanging="632"/>
        <w:spacing w:after="0"/>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Appraiser shall determine only:</w:t>
      </w:r>
    </w:p>
    <w:p>
      <w:pPr>
        <w:spacing w:after="0" w:line="252" w:lineRule="exact"/>
        <w:rPr>
          <w:rFonts w:ascii="Arial" w:cs="Arial" w:eastAsia="Arial" w:hAnsi="Arial"/>
          <w:sz w:val="18"/>
          <w:szCs w:val="18"/>
          <w:color w:val="auto"/>
        </w:rPr>
      </w:pPr>
    </w:p>
    <w:p>
      <w:pPr>
        <w:ind w:left="1292" w:right="80" w:hanging="642"/>
        <w:spacing w:after="0" w:line="254"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whether the specific items of the Proposed Closing Accounts or the Closing Employee Payroll Taxes Amount, as applicable, that are disputed by the Sellers' Representative in their Notice of Objection are accurate and in accordance with this Section 2.3, and if not, what alterations are to be made to the Proposed Closing Accounts or the Closing Employee Payroll Taxes Amount, as applicable, in order to correct the relevant inaccuracy of any such specific item; and</w:t>
      </w:r>
    </w:p>
    <w:p>
      <w:pPr>
        <w:spacing w:after="0" w:line="230" w:lineRule="exact"/>
        <w:rPr>
          <w:rFonts w:ascii="Arial" w:cs="Arial" w:eastAsia="Arial" w:hAnsi="Arial"/>
          <w:sz w:val="18"/>
          <w:szCs w:val="18"/>
          <w:color w:val="auto"/>
        </w:rPr>
      </w:pPr>
    </w:p>
    <w:p>
      <w:pPr>
        <w:ind w:left="1292" w:right="520" w:hanging="682"/>
        <w:spacing w:after="0" w:line="261" w:lineRule="auto"/>
        <w:tabs>
          <w:tab w:leader="none" w:pos="12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based on the Final Closing Accounts or the Closing Employee Payroll Taxes Amount, as applicable, established by the Appraiser in accordance with the above, the Final Adjustment in accordance with this Section 2.3 and Section 2.4.</w:t>
      </w:r>
    </w:p>
    <w:p>
      <w:pPr>
        <w:spacing w:after="0" w:line="225" w:lineRule="exact"/>
        <w:rPr>
          <w:sz w:val="20"/>
          <w:szCs w:val="20"/>
          <w:color w:val="auto"/>
        </w:rPr>
      </w:pPr>
    </w:p>
    <w:p>
      <w:pPr>
        <w:ind w:left="652" w:right="120"/>
        <w:spacing w:after="0" w:line="254" w:lineRule="auto"/>
        <w:rPr>
          <w:sz w:val="20"/>
          <w:szCs w:val="20"/>
          <w:color w:val="auto"/>
        </w:rPr>
      </w:pPr>
      <w:r>
        <w:rPr>
          <w:rFonts w:ascii="Arial" w:cs="Arial" w:eastAsia="Arial" w:hAnsi="Arial"/>
          <w:sz w:val="18"/>
          <w:szCs w:val="18"/>
          <w:color w:val="auto"/>
        </w:rPr>
        <w:t>For the avoidance of doubt, the Appraiser shall, where necessary for the determinations pursuant to Section 2.3.2(a), upon consultation, where required or considered appropriate by the Appraiser, of an independent legal expert appointed by the Appraiser, decide over disputes by the Parties on legal questions in connection with the establishment of the Final Closing Accounts and the Final Adjustment, including, but not limited to, the proper construction and interpretation of this Agreement.</w:t>
      </w:r>
    </w:p>
    <w:p>
      <w:pPr>
        <w:spacing w:after="0" w:line="231" w:lineRule="exact"/>
        <w:rPr>
          <w:sz w:val="20"/>
          <w:szCs w:val="20"/>
          <w:color w:val="auto"/>
        </w:rPr>
      </w:pPr>
    </w:p>
    <w:p>
      <w:pPr>
        <w:ind w:left="652" w:right="400" w:hanging="652"/>
        <w:spacing w:after="0" w:line="261" w:lineRule="auto"/>
        <w:tabs>
          <w:tab w:leader="none" w:pos="6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Appraiser shall make his or her determination pursuant to Section 2.3.2 as soon as reasonably practicable, but no later than thirty (30) Business Days from the date of his or her appointment.</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procedure as determined by the Appraiser shall comply with the requirements of due process; in particular, the Appraiser shall:</w:t>
      </w:r>
    </w:p>
    <w:p>
      <w:pPr>
        <w:spacing w:after="0" w:line="252" w:lineRule="exact"/>
        <w:rPr>
          <w:rFonts w:ascii="Arial" w:cs="Arial" w:eastAsia="Arial" w:hAnsi="Arial"/>
          <w:sz w:val="18"/>
          <w:szCs w:val="18"/>
          <w:color w:val="auto"/>
        </w:rPr>
      </w:pPr>
    </w:p>
    <w:p>
      <w:pPr>
        <w:ind w:left="1292" w:hanging="642"/>
        <w:spacing w:after="0"/>
        <w:tabs>
          <w:tab w:leader="none" w:pos="1292" w:val="left"/>
        </w:tabs>
        <w:numPr>
          <w:ilvl w:val="1"/>
          <w:numId w:val="73"/>
        </w:numPr>
        <w:rPr>
          <w:rFonts w:ascii="Arial" w:cs="Arial" w:eastAsia="Arial" w:hAnsi="Arial"/>
          <w:sz w:val="18"/>
          <w:szCs w:val="18"/>
          <w:color w:val="auto"/>
        </w:rPr>
      </w:pPr>
      <w:r>
        <w:rPr>
          <w:rFonts w:ascii="Arial" w:cs="Arial" w:eastAsia="Arial" w:hAnsi="Arial"/>
          <w:sz w:val="18"/>
          <w:szCs w:val="18"/>
          <w:color w:val="auto"/>
        </w:rPr>
        <w:t>give the Parties a reasonable opportunity to make written and oral presentations to him or her;</w:t>
      </w:r>
    </w:p>
    <w:p>
      <w:pPr>
        <w:sectPr>
          <w:pgSz w:w="11900" w:h="16838" w:orient="portrait"/>
          <w:cols w:equalWidth="0" w:num="1">
            <w:col w:w="11232"/>
          </w:cols>
          <w:pgMar w:left="328" w:top="1435" w:right="339" w:bottom="1440" w:gutter="0" w:footer="0" w:header="0"/>
        </w:sectPr>
      </w:pPr>
    </w:p>
    <w:bookmarkStart w:id="123" w:name="page124"/>
    <w:bookmarkEnd w:id="123"/>
    <w:p>
      <w:pPr>
        <w:ind w:left="1300" w:right="700" w:hanging="682"/>
        <w:spacing w:after="0" w:line="261"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require that each Party provide the other with a copy of any written presentations at the same time as they are made available to the Appraiser;</w:t>
      </w:r>
    </w:p>
    <w:p>
      <w:pPr>
        <w:spacing w:after="0" w:line="224" w:lineRule="exact"/>
        <w:rPr>
          <w:rFonts w:ascii="Arial" w:cs="Arial" w:eastAsia="Arial" w:hAnsi="Arial"/>
          <w:sz w:val="18"/>
          <w:szCs w:val="18"/>
          <w:color w:val="auto"/>
        </w:rPr>
      </w:pPr>
    </w:p>
    <w:p>
      <w:pPr>
        <w:ind w:left="1300" w:right="180" w:hanging="722"/>
        <w:spacing w:after="0" w:line="261"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permit each Party to be present while oral submissions are being made by the other Party or while evidence is gathered by the Appraiser, including meetings and discussions with the employees of the Company; and</w:t>
      </w:r>
    </w:p>
    <w:p>
      <w:pPr>
        <w:spacing w:after="0" w:line="224" w:lineRule="exact"/>
        <w:rPr>
          <w:rFonts w:ascii="Arial" w:cs="Arial" w:eastAsia="Arial" w:hAnsi="Arial"/>
          <w:sz w:val="18"/>
          <w:szCs w:val="18"/>
          <w:color w:val="auto"/>
        </w:rPr>
      </w:pPr>
    </w:p>
    <w:p>
      <w:pPr>
        <w:ind w:left="1300" w:hanging="732"/>
        <w:spacing w:after="0"/>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conduct the proceedings in English.</w:t>
      </w:r>
    </w:p>
    <w:p>
      <w:pPr>
        <w:spacing w:after="0" w:line="252" w:lineRule="exact"/>
        <w:rPr>
          <w:rFonts w:ascii="Arial" w:cs="Arial" w:eastAsia="Arial" w:hAnsi="Arial"/>
          <w:sz w:val="18"/>
          <w:szCs w:val="18"/>
          <w:color w:val="auto"/>
        </w:rPr>
      </w:pPr>
    </w:p>
    <w:p>
      <w:pPr>
        <w:ind w:left="660" w:right="180" w:hanging="652"/>
        <w:spacing w:after="0" w:line="254" w:lineRule="auto"/>
        <w:tabs>
          <w:tab w:leader="none" w:pos="6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Party and the Appraiser shall, and shall procure that its accountants, assistants and other advisors shall, keep all information and documents provided to them pursuant to this Section 2.3 confidential and shall not use the same for any other purpose, except for disclosure or use in connection with the preparation of the Final Closing Accounts or the Closing Employee Payroll Taxes Amount, the proceedings before the Appraiser or otherwise in connection with the determination of the Final Adjustment.</w:t>
      </w:r>
    </w:p>
    <w:p>
      <w:pPr>
        <w:spacing w:after="0" w:line="230" w:lineRule="exact"/>
        <w:rPr>
          <w:rFonts w:ascii="Arial" w:cs="Arial" w:eastAsia="Arial" w:hAnsi="Arial"/>
          <w:sz w:val="18"/>
          <w:szCs w:val="18"/>
          <w:color w:val="auto"/>
        </w:rPr>
      </w:pPr>
    </w:p>
    <w:p>
      <w:pPr>
        <w:ind w:left="660" w:right="60" w:hanging="652"/>
        <w:spacing w:after="0" w:line="256" w:lineRule="auto"/>
        <w:tabs>
          <w:tab w:leader="none" w:pos="6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and expenses (including VAT) of the Appraiser shall be equitably apportioned by the Appraiser based on the extent to which the Sellers, on the one hand, and the Buyer, on the other hand, is determined by the Appraiser to be the prevailing party in the resolution of such disputed matter. All other costs and expenses shall be borne by the Party incurring them.</w:t>
      </w:r>
    </w:p>
    <w:p>
      <w:pPr>
        <w:spacing w:after="0" w:line="228" w:lineRule="exact"/>
        <w:rPr>
          <w:rFonts w:ascii="Arial" w:cs="Arial" w:eastAsia="Arial" w:hAnsi="Arial"/>
          <w:sz w:val="18"/>
          <w:szCs w:val="18"/>
          <w:color w:val="auto"/>
        </w:rPr>
      </w:pPr>
    </w:p>
    <w:p>
      <w:pPr>
        <w:ind w:left="660" w:hanging="652"/>
        <w:spacing w:after="0" w:line="291" w:lineRule="auto"/>
        <w:tabs>
          <w:tab w:leader="none" w:pos="658"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2.3, either Party may refer the matter to dispute resolution pursuant to Section 12.2 at any time before the Parties and the Appraiser have reached agreement on the terms of engagement of the Appraiser.</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General Principles Applicable to the Closing Accounts</w:t>
      </w:r>
    </w:p>
    <w:p>
      <w:pPr>
        <w:spacing w:after="0" w:line="274"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Proposed Closing Accounts and the Final Closing Accounts shall be drawn up:</w:t>
      </w:r>
    </w:p>
    <w:p>
      <w:pPr>
        <w:spacing w:after="0" w:line="252" w:lineRule="exact"/>
        <w:rPr>
          <w:rFonts w:ascii="Arial" w:cs="Arial" w:eastAsia="Arial" w:hAnsi="Arial"/>
          <w:sz w:val="18"/>
          <w:szCs w:val="18"/>
          <w:color w:val="auto"/>
        </w:rPr>
      </w:pPr>
    </w:p>
    <w:p>
      <w:pPr>
        <w:ind w:left="1300" w:hanging="642"/>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accordance with the policies and practices set forth in this Agreement;</w:t>
      </w:r>
    </w:p>
    <w:p>
      <w:pPr>
        <w:spacing w:after="0" w:line="252" w:lineRule="exact"/>
        <w:rPr>
          <w:rFonts w:ascii="Arial" w:cs="Arial" w:eastAsia="Arial" w:hAnsi="Arial"/>
          <w:sz w:val="18"/>
          <w:szCs w:val="18"/>
          <w:color w:val="auto"/>
        </w:rPr>
      </w:pPr>
    </w:p>
    <w:p>
      <w:pPr>
        <w:ind w:left="1300" w:right="20" w:hanging="682"/>
        <w:spacing w:after="0" w:line="256"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so far as not inconsistent with the above, in accordance with Swiss Code of Obligations as such standards are applied pursuant to the accounting principles, procedures and practices adopted in the Financial Statements, applied on a consistent basis (but with correctness prevailing over consistency);</w:t>
      </w:r>
    </w:p>
    <w:p>
      <w:pPr>
        <w:spacing w:after="0" w:line="228" w:lineRule="exact"/>
        <w:rPr>
          <w:rFonts w:ascii="Arial" w:cs="Arial" w:eastAsia="Arial" w:hAnsi="Arial"/>
          <w:sz w:val="18"/>
          <w:szCs w:val="18"/>
          <w:color w:val="auto"/>
        </w:rPr>
      </w:pPr>
    </w:p>
    <w:p>
      <w:pPr>
        <w:ind w:left="1300" w:hanging="722"/>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so as to avoid double counting (whether positive or negative) of any item to be included therein.</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Closing Accounts shall be drawn up as at the Cut-off Date.</w:t>
      </w:r>
    </w:p>
    <w:p>
      <w:pPr>
        <w:spacing w:after="0" w:line="252" w:lineRule="exact"/>
        <w:rPr>
          <w:rFonts w:ascii="Arial" w:cs="Arial" w:eastAsia="Arial" w:hAnsi="Arial"/>
          <w:sz w:val="18"/>
          <w:szCs w:val="18"/>
          <w:color w:val="auto"/>
        </w:rPr>
      </w:pPr>
    </w:p>
    <w:p>
      <w:pPr>
        <w:ind w:left="660" w:right="180" w:hanging="652"/>
        <w:spacing w:after="0" w:line="261" w:lineRule="auto"/>
        <w:tabs>
          <w:tab w:leader="none" w:pos="6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Closing Accounts shall be expressed in CHF and amounts in other currencies shall be translated into CHF pursuant to Section 6.4.</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Computation of Net Debt</w:t>
      </w:r>
    </w:p>
    <w:p>
      <w:pPr>
        <w:spacing w:after="0" w:line="274" w:lineRule="exact"/>
        <w:rPr>
          <w:sz w:val="20"/>
          <w:szCs w:val="20"/>
          <w:color w:val="auto"/>
        </w:rPr>
      </w:pPr>
    </w:p>
    <w:p>
      <w:pPr>
        <w:ind w:left="660" w:right="120" w:hanging="652"/>
        <w:spacing w:after="0" w:line="261" w:lineRule="auto"/>
        <w:tabs>
          <w:tab w:leader="none" w:pos="6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So far as not inconsistent with Section 2.3.4(b) and Section 2.3.4(c) below, Net Debt shall mean the difference of the following Cash and Debt items, each as shown in the Final Closing Accounts as established in accordance with this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160655</wp:posOffset>
            </wp:positionV>
            <wp:extent cx="6300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3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Line Item or Reference in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37465</wp:posOffset>
            </wp:positionV>
            <wp:extent cx="6300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6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Other Loans (interest bearing) (if any), but excluding the Grenke leasing debt for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23495</wp:posOffset>
            </wp:positionV>
            <wp:extent cx="6300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24" w:name="page125"/>
    <w:bookmarkEnd w:id="124"/>
    <w:p>
      <w:pPr>
        <w:spacing w:after="0" w:line="3" w:lineRule="exact"/>
        <w:rPr>
          <w:sz w:val="20"/>
          <w:szCs w:val="20"/>
          <w:color w:val="auto"/>
        </w:rPr>
      </w:pPr>
    </w:p>
    <w:tbl>
      <w:tblPr>
        <w:tblLayout w:type="fixed"/>
        <w:tblInd w:w="500" w:type="dxa"/>
        <w:tblCellMar>
          <w:top w:w="0" w:type="dxa"/>
          <w:left w:w="0" w:type="dxa"/>
          <w:bottom w:w="0" w:type="dxa"/>
          <w:right w:w="0" w:type="dxa"/>
        </w:tblCellMar>
      </w:tblPr>
      <w:tr>
        <w:trPr>
          <w:trHeight w:val="248"/>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Cash and cash equivalent</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Pr>
          <w:p>
            <w:pPr>
              <w:ind w:left="540"/>
              <w:spacing w:after="0"/>
              <w:rPr>
                <w:sz w:val="20"/>
                <w:szCs w:val="20"/>
                <w:color w:val="auto"/>
              </w:rPr>
            </w:pPr>
            <w:r>
              <w:rPr>
                <w:rFonts w:ascii="Arial" w:cs="Arial" w:eastAsia="Arial" w:hAnsi="Arial"/>
                <w:sz w:val="18"/>
                <w:szCs w:val="18"/>
                <w:color w:val="auto"/>
              </w:rPr>
              <w:t>Deposits / BCV Rent Guarantee</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Pr>
          <w:p>
            <w:pPr>
              <w:ind w:left="540"/>
              <w:spacing w:after="0"/>
              <w:rPr>
                <w:sz w:val="20"/>
                <w:szCs w:val="20"/>
                <w:color w:val="auto"/>
              </w:rPr>
            </w:pPr>
            <w:r>
              <w:rPr>
                <w:rFonts w:ascii="Arial" w:cs="Arial" w:eastAsia="Arial" w:hAnsi="Arial"/>
                <w:sz w:val="18"/>
                <w:szCs w:val="18"/>
                <w:color w:val="auto"/>
              </w:rPr>
              <w:t>VAT current account - other receivables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400" w:hanging="652"/>
        <w:spacing w:after="0" w:line="256" w:lineRule="auto"/>
        <w:tabs>
          <w:tab w:leader="none" w:pos="65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to be included within Cash and Debt by reference to line items referred to above shall be included consistently with the accounting principles and practices adopted in the Financial Statements, applied on a consistent basis (but with correctness prevailing over consistency).</w:t>
      </w:r>
    </w:p>
    <w:p>
      <w:pPr>
        <w:spacing w:after="0" w:line="228" w:lineRule="exact"/>
        <w:rPr>
          <w:rFonts w:ascii="Arial" w:cs="Arial" w:eastAsia="Arial" w:hAnsi="Arial"/>
          <w:sz w:val="18"/>
          <w:szCs w:val="18"/>
          <w:color w:val="auto"/>
        </w:rPr>
      </w:pPr>
    </w:p>
    <w:p>
      <w:pPr>
        <w:ind w:left="640" w:hanging="632"/>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purposes of calculating the Net Debt:</w:t>
      </w:r>
    </w:p>
    <w:p>
      <w:pPr>
        <w:spacing w:after="0" w:line="252" w:lineRule="exact"/>
        <w:rPr>
          <w:rFonts w:ascii="Arial" w:cs="Arial" w:eastAsia="Arial" w:hAnsi="Arial"/>
          <w:sz w:val="18"/>
          <w:szCs w:val="18"/>
          <w:color w:val="auto"/>
        </w:rPr>
      </w:pPr>
    </w:p>
    <w:p>
      <w:pPr>
        <w:ind w:left="1300" w:hanging="642"/>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Cash shall include the aggregate exercise price payable by the Sellers holding Options upon exercise prior to Closing.</w:t>
      </w:r>
    </w:p>
    <w:p>
      <w:pPr>
        <w:spacing w:after="0" w:line="252" w:lineRule="exact"/>
        <w:rPr>
          <w:rFonts w:ascii="Arial" w:cs="Arial" w:eastAsia="Arial" w:hAnsi="Arial"/>
          <w:sz w:val="18"/>
          <w:szCs w:val="18"/>
          <w:color w:val="auto"/>
        </w:rPr>
      </w:pPr>
    </w:p>
    <w:p>
      <w:pPr>
        <w:ind w:left="1300" w:right="80" w:hanging="682"/>
        <w:spacing w:after="0" w:line="261"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Cash shall, however, not include the amount equal to dividends from the Company to the Sellers distributed after the Cut-off Date but prior or on the Closing and that thus are not reflected in the Final Closing Accounts as having been distributed.</w:t>
      </w:r>
    </w:p>
    <w:p>
      <w:pPr>
        <w:spacing w:after="0" w:line="224" w:lineRule="exact"/>
        <w:rPr>
          <w:rFonts w:ascii="Arial" w:cs="Arial" w:eastAsia="Arial" w:hAnsi="Arial"/>
          <w:sz w:val="18"/>
          <w:szCs w:val="18"/>
          <w:color w:val="auto"/>
        </w:rPr>
      </w:pPr>
    </w:p>
    <w:p>
      <w:pPr>
        <w:ind w:left="1300" w:hanging="722"/>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Debt shall not include any amounts under the Convertible Loan Agreement.</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b w:val="1"/>
          <w:bCs w:val="1"/>
          <w:color w:val="auto"/>
        </w:rPr>
        <w:t>Computation of Net Working Capital</w:t>
      </w:r>
    </w:p>
    <w:p>
      <w:pPr>
        <w:spacing w:after="0" w:line="274" w:lineRule="exact"/>
        <w:rPr>
          <w:sz w:val="20"/>
          <w:szCs w:val="20"/>
          <w:color w:val="auto"/>
        </w:rPr>
      </w:pPr>
    </w:p>
    <w:p>
      <w:pPr>
        <w:ind w:left="660" w:right="20" w:hanging="652"/>
        <w:spacing w:after="0" w:line="261" w:lineRule="auto"/>
        <w:tabs>
          <w:tab w:leader="none" w:pos="6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 far as not inconsistent with Section 2.3.5(b) and Section 2.3.5(c) below, Net Working Capital shall mean the aggregate sum of the following items, as shown in the Final Closing Accounts as established in accordance with this Section 2.3:</w:t>
      </w:r>
    </w:p>
    <w:tbl>
      <w:tblPr>
        <w:tblLayout w:type="fixed"/>
        <w:tblInd w:w="340" w:type="dxa"/>
        <w:tblCellMar>
          <w:top w:w="0" w:type="dxa"/>
          <w:left w:w="0" w:type="dxa"/>
          <w:bottom w:w="0" w:type="dxa"/>
          <w:right w:w="0" w:type="dxa"/>
        </w:tblCellMar>
      </w:tblPr>
      <w:tr>
        <w:trPr>
          <w:trHeight w:val="253"/>
        </w:trPr>
        <w:tc>
          <w:tcPr>
            <w:tcW w:w="1040" w:type="dxa"/>
            <w:vAlign w:val="bottom"/>
            <w:tcBorders>
              <w:top w:val="single" w:sz="8" w:color="auto"/>
              <w:bottom w:val="single" w:sz="8" w:color="auto"/>
            </w:tcBorders>
          </w:tcPr>
          <w:p>
            <w:pPr>
              <w:spacing w:after="0"/>
              <w:rPr>
                <w:sz w:val="22"/>
                <w:szCs w:val="22"/>
                <w:color w:val="auto"/>
              </w:rPr>
            </w:pPr>
          </w:p>
        </w:tc>
        <w:tc>
          <w:tcPr>
            <w:tcW w:w="88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Line Item or Reference in Financial Statements</w:t>
            </w:r>
          </w:p>
        </w:tc>
      </w:tr>
      <w:tr>
        <w:trPr>
          <w:trHeight w:val="230"/>
        </w:trPr>
        <w:tc>
          <w:tcPr>
            <w:tcW w:w="1040" w:type="dxa"/>
            <w:vAlign w:val="bottom"/>
          </w:tcPr>
          <w:p>
            <w:pPr>
              <w:spacing w:after="0"/>
              <w:rPr>
                <w:sz w:val="19"/>
                <w:szCs w:val="19"/>
                <w:color w:val="auto"/>
              </w:rPr>
            </w:pPr>
          </w:p>
        </w:tc>
        <w:tc>
          <w:tcPr>
            <w:tcW w:w="8880" w:type="dxa"/>
            <w:vAlign w:val="bottom"/>
          </w:tcPr>
          <w:p>
            <w:pPr>
              <w:ind w:left="540"/>
              <w:spacing w:after="0"/>
              <w:rPr>
                <w:sz w:val="20"/>
                <w:szCs w:val="20"/>
                <w:color w:val="auto"/>
              </w:rPr>
            </w:pPr>
            <w:r>
              <w:rPr>
                <w:rFonts w:ascii="Arial" w:cs="Arial" w:eastAsia="Arial" w:hAnsi="Arial"/>
                <w:sz w:val="18"/>
                <w:szCs w:val="18"/>
                <w:color w:val="auto"/>
              </w:rPr>
              <w:t>Debtors – trade accounts receivable</w:t>
            </w:r>
          </w:p>
        </w:tc>
      </w:tr>
      <w:tr>
        <w:trPr>
          <w:trHeight w:val="27"/>
        </w:trPr>
        <w:tc>
          <w:tcPr>
            <w:tcW w:w="104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8880" w:type="dxa"/>
            <w:vAlign w:val="bottom"/>
          </w:tcPr>
          <w:p>
            <w:pPr>
              <w:ind w:left="540"/>
              <w:spacing w:after="0"/>
              <w:rPr>
                <w:sz w:val="20"/>
                <w:szCs w:val="20"/>
                <w:color w:val="auto"/>
              </w:rPr>
            </w:pPr>
            <w:r>
              <w:rPr>
                <w:rFonts w:ascii="Arial" w:cs="Arial" w:eastAsia="Arial" w:hAnsi="Arial"/>
                <w:sz w:val="18"/>
                <w:szCs w:val="18"/>
                <w:color w:val="auto"/>
              </w:rPr>
              <w:t>Inventories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8880" w:type="dxa"/>
            <w:vAlign w:val="bottom"/>
          </w:tcPr>
          <w:p>
            <w:pPr>
              <w:ind w:left="540"/>
              <w:spacing w:after="0"/>
              <w:rPr>
                <w:sz w:val="20"/>
                <w:szCs w:val="20"/>
                <w:color w:val="auto"/>
              </w:rPr>
            </w:pPr>
            <w:r>
              <w:rPr>
                <w:rFonts w:ascii="Arial" w:cs="Arial" w:eastAsia="Arial" w:hAnsi="Arial"/>
                <w:sz w:val="18"/>
                <w:szCs w:val="18"/>
                <w:color w:val="auto"/>
              </w:rPr>
              <w:t>Prepaid expenses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Pr>
          <w:p>
            <w:pPr>
              <w:ind w:left="540"/>
              <w:spacing w:after="0"/>
              <w:rPr>
                <w:sz w:val="20"/>
                <w:szCs w:val="20"/>
                <w:color w:val="auto"/>
              </w:rPr>
            </w:pPr>
            <w:r>
              <w:rPr>
                <w:rFonts w:ascii="Arial" w:cs="Arial" w:eastAsia="Arial" w:hAnsi="Arial"/>
                <w:sz w:val="18"/>
                <w:szCs w:val="18"/>
                <w:color w:val="auto"/>
              </w:rPr>
              <w:t>Creditors – trade accounts payable</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Pr>
          <w:p>
            <w:pPr>
              <w:ind w:left="540"/>
              <w:spacing w:after="0"/>
              <w:rPr>
                <w:sz w:val="20"/>
                <w:szCs w:val="20"/>
                <w:color w:val="auto"/>
              </w:rPr>
            </w:pPr>
            <w:r>
              <w:rPr>
                <w:rFonts w:ascii="Arial" w:cs="Arial" w:eastAsia="Arial" w:hAnsi="Arial"/>
                <w:sz w:val="18"/>
                <w:szCs w:val="18"/>
                <w:color w:val="auto"/>
              </w:rPr>
              <w:t>Accrued expenses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rPr>
              <w:t>Minus</w:t>
            </w:r>
          </w:p>
        </w:tc>
        <w:tc>
          <w:tcPr>
            <w:tcW w:w="8880" w:type="dxa"/>
            <w:vAlign w:val="bottom"/>
          </w:tcPr>
          <w:p>
            <w:pPr>
              <w:ind w:left="540"/>
              <w:spacing w:after="0"/>
              <w:rPr>
                <w:sz w:val="20"/>
                <w:szCs w:val="20"/>
                <w:color w:val="auto"/>
              </w:rPr>
            </w:pPr>
            <w:r>
              <w:rPr>
                <w:rFonts w:ascii="Arial" w:cs="Arial" w:eastAsia="Arial" w:hAnsi="Arial"/>
                <w:sz w:val="18"/>
                <w:szCs w:val="18"/>
                <w:color w:val="auto"/>
              </w:rPr>
              <w:t>Other payables</w:t>
            </w: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8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652"/>
        <w:spacing w:after="0" w:line="254" w:lineRule="auto"/>
        <w:tabs>
          <w:tab w:leader="none" w:pos="6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computation of the Net Working Capital shall exclude items which are a direct consequence of the transactions contemplated by this Agreement, including, without limitation, provisions or Liabilities for Taxes arising as a result of the Closing to the extent such items have been deducted separately from the Preliminary Closing Consideration or are to be deducted separately for the calculation of the Closing Purchase Price.</w:t>
      </w:r>
    </w:p>
    <w:p>
      <w:pPr>
        <w:spacing w:after="0" w:line="230" w:lineRule="exact"/>
        <w:rPr>
          <w:rFonts w:ascii="Arial" w:cs="Arial" w:eastAsia="Arial" w:hAnsi="Arial"/>
          <w:sz w:val="18"/>
          <w:szCs w:val="18"/>
          <w:color w:val="auto"/>
        </w:rPr>
      </w:pPr>
    </w:p>
    <w:p>
      <w:pPr>
        <w:ind w:left="640" w:hanging="6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Net Working Capital shall be calculated so as to avoid double counting with the Net Debt.</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7"/>
          <w:szCs w:val="17"/>
          <w:b w:val="1"/>
          <w:bCs w:val="1"/>
          <w:color w:val="auto"/>
        </w:rPr>
        <w:t>Computation of Pre-Closing Taxes</w:t>
      </w:r>
    </w:p>
    <w:p>
      <w:pPr>
        <w:spacing w:after="0" w:line="274"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the sake of clarity, Pre-Closing Taxes shall comprise:</w:t>
      </w:r>
    </w:p>
    <w:p>
      <w:pPr>
        <w:spacing w:after="0" w:line="252" w:lineRule="exact"/>
        <w:rPr>
          <w:rFonts w:ascii="Arial" w:cs="Arial" w:eastAsia="Arial" w:hAnsi="Arial"/>
          <w:sz w:val="18"/>
          <w:szCs w:val="18"/>
          <w:color w:val="auto"/>
        </w:rPr>
      </w:pPr>
    </w:p>
    <w:p>
      <w:pPr>
        <w:ind w:left="1300" w:right="100" w:hanging="642"/>
        <w:spacing w:after="0" w:line="261"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federal, cantonal (Canton of Vaud) and communal corporate income taxes (if any) to be calculated based on profit/loss after taxes as shown in the Final Closing Accounts;</w:t>
      </w:r>
    </w:p>
    <w:p>
      <w:pPr>
        <w:spacing w:after="0" w:line="206" w:lineRule="exact"/>
        <w:rPr>
          <w:rFonts w:ascii="Arial" w:cs="Arial" w:eastAsia="Arial" w:hAnsi="Arial"/>
          <w:sz w:val="18"/>
          <w:szCs w:val="18"/>
          <w:color w:val="auto"/>
        </w:rPr>
      </w:pPr>
    </w:p>
    <w:p>
      <w:pPr>
        <w:ind w:left="1300" w:right="340" w:hanging="682"/>
        <w:spacing w:after="0" w:line="282"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cantonal (Canton of Vaud) and communal capital taxes to be calculated based on the Company's equity (</w:t>
      </w:r>
      <w:r>
        <w:rPr>
          <w:rFonts w:ascii="Arial" w:cs="Arial" w:eastAsia="Arial" w:hAnsi="Arial"/>
          <w:sz w:val="18"/>
          <w:szCs w:val="18"/>
          <w:i w:val="1"/>
          <w:iCs w:val="1"/>
          <w:color w:val="auto"/>
        </w:rPr>
        <w:t>i.e.</w:t>
      </w:r>
      <w:r>
        <w:rPr>
          <w:rFonts w:ascii="Arial" w:cs="Arial" w:eastAsia="Arial" w:hAnsi="Arial"/>
          <w:sz w:val="18"/>
          <w:szCs w:val="18"/>
          <w:color w:val="auto"/>
        </w:rPr>
        <w:t>, the taxable equity correspondence to share capital, legal reserve</w:t>
      </w:r>
    </w:p>
    <w:p>
      <w:pPr>
        <w:sectPr>
          <w:pgSz w:w="11900" w:h="16838" w:orient="portrait"/>
          <w:cols w:equalWidth="0" w:num="1">
            <w:col w:w="11220"/>
          </w:cols>
          <w:pgMar w:left="320" w:top="1440" w:right="359" w:bottom="1440" w:gutter="0" w:footer="0" w:header="0"/>
        </w:sectPr>
      </w:pPr>
    </w:p>
    <w:bookmarkStart w:id="125" w:name="page126"/>
    <w:bookmarkEnd w:id="125"/>
    <w:p>
      <w:pPr>
        <w:ind w:left="1300"/>
        <w:spacing w:after="0"/>
        <w:rPr>
          <w:sz w:val="20"/>
          <w:szCs w:val="20"/>
          <w:color w:val="auto"/>
        </w:rPr>
      </w:pPr>
      <w:r>
        <w:rPr>
          <w:rFonts w:ascii="Arial" w:cs="Arial" w:eastAsia="Arial" w:hAnsi="Arial"/>
          <w:sz w:val="18"/>
          <w:szCs w:val="18"/>
          <w:color w:val="auto"/>
        </w:rPr>
        <w:t>from capital contributions, other reserves (if any) and retained earnings) as per the Final Closing Accounts; and</w:t>
      </w:r>
    </w:p>
    <w:p>
      <w:pPr>
        <w:spacing w:after="0" w:line="252" w:lineRule="exact"/>
        <w:rPr>
          <w:sz w:val="20"/>
          <w:szCs w:val="20"/>
          <w:color w:val="auto"/>
        </w:rPr>
      </w:pPr>
    </w:p>
    <w:p>
      <w:pPr>
        <w:ind w:left="1300" w:right="260" w:hanging="722"/>
        <w:spacing w:after="0" w:line="256"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withholding taxes due in connection with the distribution of dividends from the Company to the Sellers that occur after the Cut-off Date but prior or on the Closing and thus are not reflected in the Closing Financial Accounts as having been distributed;</w:t>
      </w:r>
    </w:p>
    <w:p>
      <w:pPr>
        <w:spacing w:after="0" w:line="22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in each case in accordance with the applicable statutory tax rate under applicable Law.</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the avoidance of doubt, Pre-Closing Taxes shall not include any Closing Payroll Taxes.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7"/>
          <w:szCs w:val="17"/>
          <w:b w:val="1"/>
          <w:bCs w:val="1"/>
          <w:color w:val="auto"/>
        </w:rPr>
        <w:t>Computation of Closing Payroll Taxes</w:t>
      </w:r>
    </w:p>
    <w:p>
      <w:pPr>
        <w:spacing w:after="0" w:line="27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Closing Employee Payroll Taxes Amount and the Closing Employer Payroll Taxes Amount (the latter which forms part of the Company Transaction Expenses) shall be calculated in accordance with the applicable withholding or contribution rates under applicable Law on the basis of the Closing Purchase Price.</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Adjustment Payments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7"/>
          <w:szCs w:val="17"/>
          <w:b w:val="1"/>
          <w:bCs w:val="1"/>
          <w:color w:val="auto"/>
        </w:rPr>
        <w:t>Net Debt, Pre-Closing Taxes and Company Transaction Expenses Adjustment</w:t>
      </w:r>
    </w:p>
    <w:p>
      <w:pPr>
        <w:spacing w:after="0" w:line="274" w:lineRule="exact"/>
        <w:rPr>
          <w:sz w:val="20"/>
          <w:szCs w:val="20"/>
          <w:color w:val="auto"/>
        </w:rPr>
      </w:pPr>
    </w:p>
    <w:p>
      <w:pPr>
        <w:ind w:left="660" w:right="40" w:hanging="652"/>
        <w:spacing w:after="0" w:line="254"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sum of (i) the Final Net Debt, (ii) the Final Pre-Closing Taxes, and (iii) the Final Company Transaction Expenses is greater than the sum of (i) the Estimated Net Debt, (ii) the Estimated Pre-Closing Taxes, and (iii) the Estimated Company Transaction Expenses, the Preliminary Closing Consideration shall be decreased by the amount of such excess, and the Sellers shall, subject to and in accordance with Sections 2.4.3 and 2.4.4, pay that amount to the Buyer in accordance with their Ownership Percentage.</w:t>
      </w:r>
    </w:p>
    <w:p>
      <w:pPr>
        <w:spacing w:after="0" w:line="230" w:lineRule="exact"/>
        <w:rPr>
          <w:rFonts w:ascii="Arial" w:cs="Arial" w:eastAsia="Arial" w:hAnsi="Arial"/>
          <w:sz w:val="18"/>
          <w:szCs w:val="18"/>
          <w:color w:val="auto"/>
        </w:rPr>
      </w:pPr>
    </w:p>
    <w:p>
      <w:pPr>
        <w:ind w:left="660" w:hanging="652"/>
        <w:spacing w:after="0" w:line="254" w:lineRule="auto"/>
        <w:tabs>
          <w:tab w:leader="none" w:pos="65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sum of (i) the Final Net Debt, (ii) the Final Pre-Closing Taxes, and (iii) the Final Company Transaction Expenses is less than the sum of (i) the Estimated Net Debt, (ii) the Estimated Pre-Closing Taxes, and (iii) the Estimated Company Transaction Expenses, the Preliminary Closing Consideration shall be increased by the amount of such shortfall, and the Buyer shall, subject to and in accordance with Sections 2.4.3 and 2.4.4, pay that amount to the Sellers in accordance with their Ownership Percentage.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7"/>
          <w:szCs w:val="17"/>
          <w:b w:val="1"/>
          <w:bCs w:val="1"/>
          <w:color w:val="auto"/>
        </w:rPr>
        <w:t>Net Working Capital Adjustment</w:t>
      </w:r>
    </w:p>
    <w:p>
      <w:pPr>
        <w:spacing w:after="0" w:line="274" w:lineRule="exact"/>
        <w:rPr>
          <w:sz w:val="20"/>
          <w:szCs w:val="20"/>
          <w:color w:val="auto"/>
        </w:rPr>
      </w:pPr>
    </w:p>
    <w:p>
      <w:pPr>
        <w:ind w:left="660" w:right="220" w:hanging="652"/>
        <w:spacing w:after="0" w:line="256"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Final Net Working Capital is greater than the Estimated Net Working Capital, the Preliminary Closing Consideration shall be increased by the amount of such excess, and the Buyer shall, subject to and in accordance with Sections 2.4.3 and 2.4.4, pay that amount to the Sellers in accordance with their Ownership Percentage.</w:t>
      </w:r>
    </w:p>
    <w:p>
      <w:pPr>
        <w:spacing w:after="0" w:line="228" w:lineRule="exact"/>
        <w:rPr>
          <w:rFonts w:ascii="Arial" w:cs="Arial" w:eastAsia="Arial" w:hAnsi="Arial"/>
          <w:sz w:val="18"/>
          <w:szCs w:val="18"/>
          <w:color w:val="auto"/>
        </w:rPr>
      </w:pPr>
    </w:p>
    <w:p>
      <w:pPr>
        <w:ind w:left="660" w:right="20" w:hanging="652"/>
        <w:spacing w:after="0" w:line="256"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Final Net Working Capital is less than the Estimated Net Working Capital, the Preliminary Closing Consideration shall be decreased by the amount of such shortfall, and the Sellers shall, subject to and in accordance with Sections 2.4.3 and 2.4.4, pay that amount to the Buyer in accordance with their Ownership Percentage.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7"/>
          <w:szCs w:val="17"/>
          <w:b w:val="1"/>
          <w:bCs w:val="1"/>
          <w:color w:val="auto"/>
        </w:rPr>
        <w:t>Closing Employee Payroll Taxes Amount Adjustment</w:t>
      </w:r>
    </w:p>
    <w:p>
      <w:pPr>
        <w:spacing w:after="0" w:line="274" w:lineRule="exact"/>
        <w:rPr>
          <w:sz w:val="20"/>
          <w:szCs w:val="20"/>
          <w:color w:val="auto"/>
        </w:rPr>
      </w:pPr>
    </w:p>
    <w:p>
      <w:pPr>
        <w:jc w:val="both"/>
        <w:ind w:left="660" w:right="300" w:hanging="652"/>
        <w:spacing w:after="0" w:line="278" w:lineRule="auto"/>
        <w:tabs>
          <w:tab w:leader="none" w:pos="65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the Closing Employee Payroll Taxes Amount is greater than the Estimated Closing Employee Payroll Taxes Amount, the Sellers who are subject to Closing Payroll Taxes shall, subject to and in accordance with Section 2.4.4, pay the respective amount to the Buyer or, upon direction of the Buyer, to the Company in accordance with their percentage as determined by the Company</w:t>
      </w:r>
    </w:p>
    <w:p>
      <w:pPr>
        <w:sectPr>
          <w:pgSz w:w="11900" w:h="16838" w:orient="portrait"/>
          <w:cols w:equalWidth="0" w:num="1">
            <w:col w:w="11220"/>
          </w:cols>
          <w:pgMar w:left="320" w:top="1435" w:right="359" w:bottom="1440" w:gutter="0" w:footer="0" w:header="0"/>
        </w:sectPr>
      </w:pPr>
    </w:p>
    <w:bookmarkStart w:id="126" w:name="page127"/>
    <w:bookmarkEnd w:id="126"/>
    <w:p>
      <w:pPr>
        <w:ind w:left="660" w:right="280"/>
        <w:spacing w:after="0" w:line="256" w:lineRule="auto"/>
        <w:rPr>
          <w:sz w:val="20"/>
          <w:szCs w:val="20"/>
          <w:color w:val="auto"/>
        </w:rPr>
      </w:pPr>
      <w:r>
        <w:rPr>
          <w:rFonts w:ascii="Arial" w:cs="Arial" w:eastAsia="Arial" w:hAnsi="Arial"/>
          <w:sz w:val="18"/>
          <w:szCs w:val="18"/>
          <w:color w:val="auto"/>
        </w:rPr>
        <w:t>pursuant to applicable Law. The Buyer shall procure that the Company uses such amounts only for payment of Closing Payroll Taxes, pays them promptly to the relevant Tax Authorities in full and final discharge of the relevant Tax liabilities, and prepares the necessary salary statements and other filings with Tax Authorities.</w:t>
      </w:r>
    </w:p>
    <w:p>
      <w:pPr>
        <w:spacing w:after="0" w:line="229" w:lineRule="exact"/>
        <w:rPr>
          <w:sz w:val="20"/>
          <w:szCs w:val="20"/>
          <w:color w:val="auto"/>
        </w:rPr>
      </w:pPr>
    </w:p>
    <w:p>
      <w:pPr>
        <w:ind w:left="660" w:right="40" w:hanging="652"/>
        <w:spacing w:after="0" w:line="252"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Closing Employee Payroll Taxes Amount is less than the Estimated Closing Employee Payroll Taxes Amount, the Buyer shall, subject to and in accordance with Section 2.4.4, pay the respective amount to the Sellers who are subject to Closing Payroll Taxes in accordance with their percentage as determined by the Company pursuant to applicable Law, provided that (i) the Closing Purchase Price is lower than the Preliminary Closing Consideration or (ii) the Company has obtained confirmation of either reimbursement or credit from the relevant Tax Authorities of the difference between the excessive Estimated Closing Employee Payroll Taxes Amount paid to the relevant Tax Authorities and the Closing Employee Payroll Taxes Amount.</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7"/>
          <w:szCs w:val="17"/>
          <w:b w:val="1"/>
          <w:bCs w:val="1"/>
          <w:color w:val="auto"/>
        </w:rPr>
        <w:t>Payment of the Adjustments</w:t>
      </w:r>
    </w:p>
    <w:p>
      <w:pPr>
        <w:spacing w:after="0" w:line="274" w:lineRule="exact"/>
        <w:rPr>
          <w:sz w:val="20"/>
          <w:szCs w:val="20"/>
          <w:color w:val="auto"/>
        </w:rPr>
      </w:pPr>
    </w:p>
    <w:p>
      <w:pPr>
        <w:ind w:left="660" w:right="460" w:hanging="652"/>
        <w:spacing w:after="0" w:line="261"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amounts required to be paid by the Parties pursuant to Section 2.4.1, Section 2.4.2 and Section 2.4.3 shall be aggregated or offset against each other, as applicable.</w:t>
      </w:r>
    </w:p>
    <w:p>
      <w:pPr>
        <w:spacing w:after="0" w:line="224" w:lineRule="exact"/>
        <w:rPr>
          <w:rFonts w:ascii="Arial" w:cs="Arial" w:eastAsia="Arial" w:hAnsi="Arial"/>
          <w:sz w:val="18"/>
          <w:szCs w:val="18"/>
          <w:color w:val="auto"/>
        </w:rPr>
      </w:pPr>
    </w:p>
    <w:p>
      <w:pPr>
        <w:ind w:left="660" w:right="20" w:hanging="652"/>
        <w:spacing w:after="0" w:line="252" w:lineRule="auto"/>
        <w:tabs>
          <w:tab w:leader="none" w:pos="6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Final Adjustment determined pursuant to Section 2.4.4(a), plus the interest accrued thereon from and including the Closing Date to and excluding the date on which such balance and interest is paid pursuant to this Section 2.4.4(b), calculated in accordance with Section 6.3(a), shall be paid by or on behalf of the relevant Party by wire transfer of immediately available funds in CHF to the bank account(s) designated in writing by the Party entitled to receive such payment within ten (10) Business Days after the earlier of (i) the Proposed Adjustment becoming final and binding on the Parties pursuant to Section 2.3.2(c) and (ii) the delivery by the Appraiser of his or her determination of the Final Adjustment to the Parties pursuant to Section 2.3.2(e).</w:t>
      </w:r>
    </w:p>
    <w:p>
      <w:pPr>
        <w:spacing w:after="0" w:line="21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Earnout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7"/>
          <w:szCs w:val="17"/>
          <w:b w:val="1"/>
          <w:bCs w:val="1"/>
          <w:color w:val="auto"/>
        </w:rPr>
        <w:t>Determination of Earnout Payments</w:t>
      </w:r>
    </w:p>
    <w:p>
      <w:pPr>
        <w:spacing w:after="0" w:line="274" w:lineRule="exact"/>
        <w:rPr>
          <w:sz w:val="20"/>
          <w:szCs w:val="20"/>
          <w:color w:val="auto"/>
        </w:rPr>
      </w:pPr>
    </w:p>
    <w:p>
      <w:pPr>
        <w:ind w:left="660" w:right="560" w:hanging="652"/>
        <w:spacing w:after="0" w:line="254" w:lineRule="auto"/>
        <w:tabs>
          <w:tab w:leader="none" w:pos="65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In addition to the Closing Purchase Price, the Sellers shall, subject to the terms and conditions set forth in this Section 2.5, be entitled to additional consideration of up to CHF 129,600,000 (Swiss Francs one hundred and twenty nine million six hundred thousand) payable by the Buyer in two installments (the </w:t>
      </w:r>
      <w:r>
        <w:rPr>
          <w:rFonts w:ascii="Arial" w:cs="Arial" w:eastAsia="Arial" w:hAnsi="Arial"/>
          <w:sz w:val="18"/>
          <w:szCs w:val="18"/>
          <w:b w:val="1"/>
          <w:bCs w:val="1"/>
          <w:color w:val="auto"/>
        </w:rPr>
        <w:t>Earnout Payments</w:t>
      </w:r>
      <w:r>
        <w:rPr>
          <w:rFonts w:ascii="Arial" w:cs="Arial" w:eastAsia="Arial" w:hAnsi="Arial"/>
          <w:sz w:val="18"/>
          <w:szCs w:val="18"/>
          <w:color w:val="auto"/>
        </w:rPr>
        <w:t xml:space="preserve">), subject to the achievement or completion by the Company of the milestone events set out in </w:t>
      </w:r>
      <w:r>
        <w:rPr>
          <w:rFonts w:ascii="Arial" w:cs="Arial" w:eastAsia="Arial" w:hAnsi="Arial"/>
          <w:sz w:val="18"/>
          <w:szCs w:val="18"/>
          <w:u w:val="single" w:color="auto"/>
          <w:color w:val="auto"/>
        </w:rPr>
        <w:t>Annex 2.5.1(a)</w:t>
      </w:r>
      <w:r>
        <w:rPr>
          <w:rFonts w:ascii="Arial" w:cs="Arial" w:eastAsia="Arial" w:hAnsi="Arial"/>
          <w:sz w:val="18"/>
          <w:szCs w:val="18"/>
          <w:color w:val="auto"/>
        </w:rPr>
        <w:t xml:space="preserve"> (the </w:t>
      </w:r>
      <w:r>
        <w:rPr>
          <w:rFonts w:ascii="Arial" w:cs="Arial" w:eastAsia="Arial" w:hAnsi="Arial"/>
          <w:sz w:val="18"/>
          <w:szCs w:val="18"/>
          <w:b w:val="1"/>
          <w:bCs w:val="1"/>
          <w:color w:val="auto"/>
        </w:rPr>
        <w:t>Milestone Events</w:t>
      </w:r>
      <w:r>
        <w:rPr>
          <w:rFonts w:ascii="Arial" w:cs="Arial" w:eastAsia="Arial" w:hAnsi="Arial"/>
          <w:sz w:val="18"/>
          <w:szCs w:val="18"/>
          <w:color w:val="auto"/>
        </w:rPr>
        <w:t>).</w:t>
      </w:r>
    </w:p>
    <w:p>
      <w:pPr>
        <w:spacing w:after="0" w:line="230" w:lineRule="exact"/>
        <w:rPr>
          <w:rFonts w:ascii="Arial" w:cs="Arial" w:eastAsia="Arial" w:hAnsi="Arial"/>
          <w:sz w:val="18"/>
          <w:szCs w:val="18"/>
          <w:color w:val="auto"/>
        </w:rPr>
      </w:pPr>
    </w:p>
    <w:p>
      <w:pPr>
        <w:ind w:left="640" w:hanging="632"/>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Sellers' Information Rights</w:t>
      </w:r>
    </w:p>
    <w:p>
      <w:pPr>
        <w:spacing w:after="0" w:line="274" w:lineRule="exact"/>
        <w:rPr>
          <w:sz w:val="20"/>
          <w:szCs w:val="20"/>
          <w:color w:val="auto"/>
        </w:rPr>
      </w:pPr>
    </w:p>
    <w:p>
      <w:pPr>
        <w:ind w:left="660" w:hanging="652"/>
        <w:spacing w:after="0" w:line="251" w:lineRule="auto"/>
        <w:tabs>
          <w:tab w:leader="none" w:pos="6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No later than forty-five (45) Business Days following the end of each quarter, the first time on March 31, 2023, the Buyer shall, or shall cause the Company to, deliver to the Sellers' Representative, subject to reasonable confidentiality undertakings by the Sellers' Representative, quarterly status reports (the </w:t>
      </w:r>
      <w:r>
        <w:rPr>
          <w:rFonts w:ascii="Arial" w:cs="Arial" w:eastAsia="Arial" w:hAnsi="Arial"/>
          <w:sz w:val="18"/>
          <w:szCs w:val="18"/>
          <w:b w:val="1"/>
          <w:bCs w:val="1"/>
          <w:color w:val="auto"/>
        </w:rPr>
        <w:t>Quarterly Reports</w:t>
      </w:r>
      <w:r>
        <w:rPr>
          <w:rFonts w:ascii="Arial" w:cs="Arial" w:eastAsia="Arial" w:hAnsi="Arial"/>
          <w:sz w:val="18"/>
          <w:szCs w:val="18"/>
          <w:color w:val="auto"/>
        </w:rPr>
        <w:t xml:space="preserve">) describing in writing, in reasonable detail in the form as attached hereto as </w:t>
      </w:r>
      <w:r>
        <w:rPr>
          <w:rFonts w:ascii="Arial" w:cs="Arial" w:eastAsia="Arial" w:hAnsi="Arial"/>
          <w:sz w:val="18"/>
          <w:szCs w:val="18"/>
          <w:u w:val="single" w:color="auto"/>
          <w:color w:val="auto"/>
        </w:rPr>
        <w:t>Annex 2.5.2(a)</w:t>
      </w:r>
      <w:r>
        <w:rPr>
          <w:rFonts w:ascii="Arial" w:cs="Arial" w:eastAsia="Arial" w:hAnsi="Arial"/>
          <w:sz w:val="18"/>
          <w:szCs w:val="18"/>
          <w:color w:val="auto"/>
        </w:rPr>
        <w:t>: (i) the development status, the activities undertaken, in process, completed and planned, each with respect to achieving each of the two Milestone Events on a timely basis; and (ii) any problems or events that are likely to adversely impact the ability of the Company (or the relevant Affiliate of the Buyer) to achieve the Milestone Events or the timeline for such achievement. Following the Quarterly Report covering February 15, 2028, the Sellers shall not be entitled to any such reports anymore. The Sellers' Representative may disclose such information to the Sellers, subject to reasonable confidentiality undertakings. Notwithstanding the foregoing, the Sellers' Representative may at any time inform any Seller of</w:t>
      </w:r>
    </w:p>
    <w:p>
      <w:pPr>
        <w:sectPr>
          <w:pgSz w:w="11900" w:h="16838" w:orient="portrait"/>
          <w:cols w:equalWidth="0" w:num="1">
            <w:col w:w="11240"/>
          </w:cols>
          <w:pgMar w:left="320" w:top="1435" w:right="339" w:bottom="1440" w:gutter="0" w:footer="0" w:header="0"/>
        </w:sectPr>
      </w:pPr>
    </w:p>
    <w:bookmarkStart w:id="127" w:name="page128"/>
    <w:bookmarkEnd w:id="127"/>
    <w:p>
      <w:pPr>
        <w:ind w:left="660" w:right="240"/>
        <w:spacing w:after="0" w:line="261" w:lineRule="auto"/>
        <w:rPr>
          <w:sz w:val="20"/>
          <w:szCs w:val="20"/>
          <w:color w:val="auto"/>
        </w:rPr>
      </w:pPr>
      <w:r>
        <w:rPr>
          <w:rFonts w:ascii="Arial" w:cs="Arial" w:eastAsia="Arial" w:hAnsi="Arial"/>
          <w:sz w:val="18"/>
          <w:szCs w:val="18"/>
          <w:color w:val="auto"/>
        </w:rPr>
        <w:t>the general progress made by the Company (or the relevant Affiliate of the Buyer) in view of achieving the Milestone Events. The Sellers' Representative may request the Buyer to provide adequate supporting documentation in relation to the Quarterly Reports.</w:t>
      </w:r>
    </w:p>
    <w:p>
      <w:pPr>
        <w:spacing w:after="0" w:line="225"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Within twenty (20) calendar days after delivery of a Quarterly Report, if the Sellers' Representative requests a meeting (of up to five</w:t>
      </w:r>
    </w:p>
    <w:p>
      <w:pPr>
        <w:spacing w:after="0" w:line="9" w:lineRule="exact"/>
        <w:rPr>
          <w:rFonts w:ascii="Arial" w:cs="Arial" w:eastAsia="Arial" w:hAnsi="Arial"/>
          <w:sz w:val="18"/>
          <w:szCs w:val="18"/>
          <w:color w:val="auto"/>
        </w:rPr>
      </w:pPr>
    </w:p>
    <w:p>
      <w:pPr>
        <w:ind w:left="660" w:right="20"/>
        <w:spacing w:after="0" w:line="252" w:lineRule="auto"/>
        <w:rPr>
          <w:rFonts w:ascii="Arial" w:cs="Arial" w:eastAsia="Arial" w:hAnsi="Arial"/>
          <w:sz w:val="18"/>
          <w:szCs w:val="18"/>
          <w:color w:val="auto"/>
        </w:rPr>
      </w:pPr>
      <w:r>
        <w:rPr>
          <w:rFonts w:ascii="Arial" w:cs="Arial" w:eastAsia="Arial" w:hAnsi="Arial"/>
          <w:sz w:val="18"/>
          <w:szCs w:val="18"/>
          <w:color w:val="auto"/>
        </w:rPr>
        <w:t>(5) hours in duration) with representatives of the Buyer and/or the Company to discuss the Quarterly Report, the Buyer shall make available for such a meeting (in person or by videoconference) at least one officer with operating responsibility for the activities of the Buyer related to the achievement of the Milestone Events with appropriate expertise. During such meetings, the Buyer and/or the Company shall also provide a general review of the development programs, testing and/or otherwise demonstrate product performance, and the activities performed and required to obtain FDA Clearance of the Sigi Patch Pump, as associated with the Milestone Events. The Buyer shall provide or cause the Company to provide written summaries of all such meetings to the Sellers' Representative.</w:t>
      </w:r>
    </w:p>
    <w:p>
      <w:pPr>
        <w:spacing w:after="0" w:line="233" w:lineRule="exact"/>
        <w:rPr>
          <w:rFonts w:ascii="Arial" w:cs="Arial" w:eastAsia="Arial" w:hAnsi="Arial"/>
          <w:sz w:val="18"/>
          <w:szCs w:val="18"/>
          <w:color w:val="auto"/>
        </w:rPr>
      </w:pPr>
    </w:p>
    <w:p>
      <w:pPr>
        <w:ind w:left="660" w:right="80" w:hanging="652"/>
        <w:spacing w:after="0" w:line="252"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 addition to the Quarterly Reports, the Buyer shall inform the Sellers' Representative within thirty (30) calendar days upon becoming aware of: (i) any actions and decisions by any regulatory authority that will adversely impact the timing of achievement of the Milestone Events and/or the ability of the Company (or the relevant Affiliate of the Buyer) to achieve a Milestone Event; and (ii) any other material events associated with the Milestone Events that will adversely impact the timing of achievement of the Milestone Events and/or the ability of the Company (or the relevant Affiliate of the Buyer) to achieve a Milestone Event, and provide, or cause the Company to provide, the Sellers' Representative with summaries of any newly proposed development plans and study and testing designs, as well as summaries of the final version of such proposed development plans and study and testing designs. Section 2.5.2(b)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ind w:left="660" w:right="580" w:hanging="652"/>
        <w:spacing w:after="0" w:line="261"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the Buyer shall, or cause the Company to, keep reasonable documentation substantiating all efforts to achieve the Milestone Events until the tenth (10th) anniversary of the Closing Date.</w:t>
      </w:r>
    </w:p>
    <w:p>
      <w:pPr>
        <w:spacing w:after="0" w:line="224" w:lineRule="exact"/>
        <w:rPr>
          <w:rFonts w:ascii="Arial" w:cs="Arial" w:eastAsia="Arial" w:hAnsi="Arial"/>
          <w:sz w:val="18"/>
          <w:szCs w:val="18"/>
          <w:color w:val="auto"/>
        </w:rPr>
      </w:pPr>
    </w:p>
    <w:p>
      <w:pPr>
        <w:ind w:left="660" w:hanging="652"/>
        <w:spacing w:after="0" w:line="251" w:lineRule="auto"/>
        <w:tabs>
          <w:tab w:leader="none" w:pos="65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Upon reasonable notice following receipt of the Quarterly Reports or other information provided to the Sellers' Representative pursuant to Section 2.5.2(c) and upon signing a confidentiality agreement with terms reasonably satisfactory to the Buyer, the Sellers shall have the right, at their own cost, to appoint one (1) expert (the </w:t>
      </w:r>
      <w:r>
        <w:rPr>
          <w:rFonts w:ascii="Arial" w:cs="Arial" w:eastAsia="Arial" w:hAnsi="Arial"/>
          <w:sz w:val="18"/>
          <w:szCs w:val="18"/>
          <w:b w:val="1"/>
          <w:bCs w:val="1"/>
          <w:color w:val="auto"/>
        </w:rPr>
        <w:t>Sellers' Expert</w:t>
      </w:r>
      <w:r>
        <w:rPr>
          <w:rFonts w:ascii="Arial" w:cs="Arial" w:eastAsia="Arial" w:hAnsi="Arial"/>
          <w:sz w:val="18"/>
          <w:szCs w:val="18"/>
          <w:color w:val="auto"/>
        </w:rPr>
        <w:t>) to: (i) review all such information provided to the Sellers' Representative; (ii) examine the current development status, the activities undertaken, in process, completed and planned with a view to achieving the Milestone Events, and any problems or events that have occurred or may occur which are likely to adversely impact the ability of the Company (or the relevant Affiliate of the Buyer) to achieve the Milestone Events; (iii) request and review all such other information reasonably required in order to perform the aforementioned examination; and (iv) perform such other activities as the Sellers' Expert deems reasonably necessary or desirable to assess the progress made toward achievement of the Milestone Events; provided that: (A) the selection of Sellers' Expert shall be subject to the prior approval of the Buyer and the Company (which shall not be unreasonably withheld); and (B) the Sellers' Expert shall report its findings to the Sellers' Representative.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7"/>
          <w:szCs w:val="17"/>
          <w:b w:val="1"/>
          <w:bCs w:val="1"/>
          <w:color w:val="auto"/>
        </w:rPr>
        <w:t>Payment of Earnout Payments</w:t>
      </w:r>
    </w:p>
    <w:p>
      <w:pPr>
        <w:spacing w:after="0" w:line="274" w:lineRule="exact"/>
        <w:rPr>
          <w:sz w:val="20"/>
          <w:szCs w:val="20"/>
          <w:color w:val="auto"/>
        </w:rPr>
      </w:pPr>
    </w:p>
    <w:p>
      <w:pPr>
        <w:ind w:left="660" w:right="420" w:hanging="652"/>
        <w:spacing w:after="0" w:line="261" w:lineRule="auto"/>
        <w:tabs>
          <w:tab w:leader="none" w:pos="6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Buyer shall notify the Sellers within fifteen (15) Business Days after achievement of each of the two Milestone Events (each such notice, a </w:t>
      </w:r>
      <w:r>
        <w:rPr>
          <w:rFonts w:ascii="Arial" w:cs="Arial" w:eastAsia="Arial" w:hAnsi="Arial"/>
          <w:sz w:val="18"/>
          <w:szCs w:val="18"/>
          <w:b w:val="1"/>
          <w:bCs w:val="1"/>
          <w:color w:val="auto"/>
        </w:rPr>
        <w:t>Milestone Notice</w:t>
      </w:r>
      <w:r>
        <w:rPr>
          <w:rFonts w:ascii="Arial" w:cs="Arial" w:eastAsia="Arial" w:hAnsi="Arial"/>
          <w:sz w:val="18"/>
          <w:szCs w:val="18"/>
          <w:color w:val="auto"/>
        </w:rPr>
        <w:t>). Within forty-five (45) calendar days following a Milestone Notice, the Buyer shall pay</w:t>
      </w:r>
    </w:p>
    <w:p>
      <w:pPr>
        <w:spacing w:after="0" w:line="206" w:lineRule="exact"/>
        <w:rPr>
          <w:rFonts w:ascii="Arial" w:cs="Arial" w:eastAsia="Arial" w:hAnsi="Arial"/>
          <w:sz w:val="18"/>
          <w:szCs w:val="18"/>
          <w:color w:val="auto"/>
        </w:rPr>
      </w:pPr>
    </w:p>
    <w:p>
      <w:pPr>
        <w:ind w:left="1300" w:right="120" w:hanging="642"/>
        <w:spacing w:after="0" w:line="282"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relevant Earnout Payment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Earnout Employer Payroll Taxes Amount and the Earnout Employee Payroll Taxes Amount in accordance with Section 2.5.3(b) and </w:t>
      </w:r>
      <w:r>
        <w:rPr>
          <w:rFonts w:ascii="Arial" w:cs="Arial" w:eastAsia="Arial" w:hAnsi="Arial"/>
          <w:sz w:val="18"/>
          <w:szCs w:val="18"/>
          <w:i w:val="1"/>
          <w:iCs w:val="1"/>
          <w:color w:val="auto"/>
        </w:rPr>
        <w:t>minus</w:t>
      </w:r>
    </w:p>
    <w:p>
      <w:pPr>
        <w:sectPr>
          <w:pgSz w:w="11900" w:h="16838" w:orient="portrait"/>
          <w:cols w:equalWidth="0" w:num="1">
            <w:col w:w="11220"/>
          </w:cols>
          <w:pgMar w:left="320" w:top="1435" w:right="359" w:bottom="1440" w:gutter="0" w:footer="0" w:header="0"/>
        </w:sectPr>
      </w:pPr>
    </w:p>
    <w:bookmarkStart w:id="128" w:name="page129"/>
    <w:bookmarkEnd w:id="128"/>
    <w:p>
      <w:pPr>
        <w:ind w:left="1300"/>
        <w:spacing w:after="0" w:line="261" w:lineRule="auto"/>
        <w:rPr>
          <w:sz w:val="20"/>
          <w:szCs w:val="20"/>
          <w:color w:val="auto"/>
        </w:rPr>
      </w:pPr>
      <w:r>
        <w:rPr>
          <w:rFonts w:ascii="Arial" w:cs="Arial" w:eastAsia="Arial" w:hAnsi="Arial"/>
          <w:sz w:val="18"/>
          <w:szCs w:val="18"/>
          <w:color w:val="auto"/>
        </w:rPr>
        <w:t>the Sellers' Earnout Advisor Fees Amount by wire transfer of immediately available funds in CHF to the accounts designated by the Sellers' Representative;</w:t>
      </w:r>
    </w:p>
    <w:p>
      <w:pPr>
        <w:spacing w:after="0" w:line="225" w:lineRule="exact"/>
        <w:rPr>
          <w:sz w:val="20"/>
          <w:szCs w:val="20"/>
          <w:color w:val="auto"/>
        </w:rPr>
      </w:pPr>
    </w:p>
    <w:p>
      <w:pPr>
        <w:ind w:left="1300" w:right="180" w:hanging="682"/>
        <w:spacing w:after="0" w:line="26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Earnout Employer Payroll Taxes Amount and the Earnout Employee Payroll Taxes Amount in accordance with Section 2.5.3(b); and</w:t>
      </w:r>
    </w:p>
    <w:p>
      <w:pPr>
        <w:spacing w:after="0" w:line="224" w:lineRule="exact"/>
        <w:rPr>
          <w:rFonts w:ascii="Arial" w:cs="Arial" w:eastAsia="Arial" w:hAnsi="Arial"/>
          <w:sz w:val="18"/>
          <w:szCs w:val="18"/>
          <w:color w:val="auto"/>
        </w:rPr>
      </w:pPr>
    </w:p>
    <w:p>
      <w:pPr>
        <w:ind w:left="1300" w:right="40" w:hanging="722"/>
        <w:spacing w:after="0" w:line="261"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Sellers' Earnout Advisor Fees Amount by wire transfer of immediately available funds to the account designated by SVB Securities LLC.</w:t>
      </w:r>
    </w:p>
    <w:p>
      <w:pPr>
        <w:spacing w:after="0" w:line="224" w:lineRule="exact"/>
        <w:rPr>
          <w:rFonts w:ascii="Arial" w:cs="Arial" w:eastAsia="Arial" w:hAnsi="Arial"/>
          <w:sz w:val="18"/>
          <w:szCs w:val="18"/>
          <w:color w:val="auto"/>
        </w:rPr>
      </w:pPr>
    </w:p>
    <w:p>
      <w:pPr>
        <w:ind w:left="660" w:hanging="652"/>
        <w:spacing w:after="0" w:line="271" w:lineRule="auto"/>
        <w:tabs>
          <w:tab w:leader="none" w:pos="65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Buyer shall deduct (i) from each Earnout Payment an amount equal to the Earnout Employer Payroll Taxes Amount and (ii) from the respective portion of the relevant Earnout Payment that is payable to a Seller who is subject to Earnout Payroll Taxes the relevant Earnout Employee Payroll Taxes Amount, and pay these amounts to the Company. The Buyer shall procure that the Company uses such amounts only for payment of Earnout Payroll Taxes, pays them promptly to the relevant Tax Authorities in full and final discharge of the relevant Tax liabilities, and prepares the necessary salary statements and other filings with Tax Authorities.</w:t>
      </w:r>
    </w:p>
    <w:p>
      <w:pPr>
        <w:spacing w:after="0" w:line="219" w:lineRule="exact"/>
        <w:rPr>
          <w:rFonts w:ascii="Arial" w:cs="Arial" w:eastAsia="Arial" w:hAnsi="Arial"/>
          <w:sz w:val="17"/>
          <w:szCs w:val="17"/>
          <w:color w:val="auto"/>
        </w:rPr>
      </w:pPr>
    </w:p>
    <w:p>
      <w:pPr>
        <w:ind w:left="660" w:right="60" w:hanging="652"/>
        <w:spacing w:after="0" w:line="256" w:lineRule="auto"/>
        <w:tabs>
          <w:tab w:leader="none" w:pos="6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Once a Milestone Event has been achieved, an Earnout Payment may not be withheld or reclaimed based on subsequent events or concerns arising after the relevant Milestone Event has first been achieved, except for any claim of the Buyer against the relevant Seller pursuant to this Agreement.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7"/>
          <w:szCs w:val="17"/>
          <w:b w:val="1"/>
          <w:bCs w:val="1"/>
          <w:color w:val="auto"/>
        </w:rPr>
        <w:t>Procedural Matters</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If the Parties do not agree as to whether a Milestone Event has been achieved or the Buyer used Commercially Reasonable Efforts in accordance with Section 2.5.1(b), each Party may initiate the following dispute resolution procedure:</w:t>
      </w:r>
    </w:p>
    <w:p>
      <w:pPr>
        <w:spacing w:after="0" w:line="225" w:lineRule="exact"/>
        <w:rPr>
          <w:sz w:val="20"/>
          <w:szCs w:val="20"/>
          <w:color w:val="auto"/>
        </w:rPr>
      </w:pPr>
    </w:p>
    <w:p>
      <w:pPr>
        <w:jc w:val="both"/>
        <w:ind w:left="660" w:right="100" w:hanging="652"/>
        <w:spacing w:after="0" w:line="256" w:lineRule="auto"/>
        <w:tabs>
          <w:tab w:leader="none" w:pos="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written notice of a dispute regarding the achievement of a Milestone Event by either the Sellers' Representative or the Buyer, the Buyer's Chief Strategy Officer and the Sellers' Representative shall each use good faith and reasonable best efforts to reach an agreement on the matter within fifteen (15) Business Days of notice of dispute having been given.</w:t>
      </w:r>
    </w:p>
    <w:p>
      <w:pPr>
        <w:spacing w:after="0" w:line="228" w:lineRule="exact"/>
        <w:rPr>
          <w:rFonts w:ascii="Arial" w:cs="Arial" w:eastAsia="Arial" w:hAnsi="Arial"/>
          <w:sz w:val="18"/>
          <w:szCs w:val="18"/>
          <w:color w:val="auto"/>
        </w:rPr>
      </w:pPr>
    </w:p>
    <w:p>
      <w:pPr>
        <w:ind w:left="660" w:right="100" w:hanging="652"/>
        <w:spacing w:after="0" w:line="253" w:lineRule="auto"/>
        <w:tabs>
          <w:tab w:leader="none" w:pos="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Buyer's Chief Strategy Officer and the Sellers' Representative cannot reach an agreement that is acceptable to the Sellers' Representative and the Buyer during the period set forth in Section 2.5.4(a) above, each Party may request by written notice to the other Party the escalation to the Buyer's CEO and the Sellers' Representative and to any Sellers specified in such notice, who shall each use good faith and reasonable best efforts to reach an agreement on the matter that is acceptable to all Parties within fifteen (15) Business Days following such written notice.</w:t>
      </w:r>
    </w:p>
    <w:p>
      <w:pPr>
        <w:spacing w:after="0" w:line="232" w:lineRule="exact"/>
        <w:rPr>
          <w:rFonts w:ascii="Arial" w:cs="Arial" w:eastAsia="Arial" w:hAnsi="Arial"/>
          <w:sz w:val="18"/>
          <w:szCs w:val="18"/>
          <w:color w:val="auto"/>
        </w:rPr>
      </w:pPr>
    </w:p>
    <w:p>
      <w:pPr>
        <w:ind w:left="660" w:hanging="652"/>
        <w:spacing w:after="0" w:line="252" w:lineRule="auto"/>
        <w:tabs>
          <w:tab w:leader="none" w:pos="65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the Parties cannot reach an agreement that is acceptable to the Parties during the period set forth in Section 2.5.4(b) above, either Party may request by written notice to the other Party or Parties, respectively, that the matter be referred to an expert (the </w:t>
      </w:r>
      <w:r>
        <w:rPr>
          <w:rFonts w:ascii="Arial" w:cs="Arial" w:eastAsia="Arial" w:hAnsi="Arial"/>
          <w:sz w:val="18"/>
          <w:szCs w:val="18"/>
          <w:b w:val="1"/>
          <w:bCs w:val="1"/>
          <w:color w:val="auto"/>
        </w:rPr>
        <w:t>Expert</w:t>
      </w:r>
      <w:r>
        <w:rPr>
          <w:rFonts w:ascii="Arial" w:cs="Arial" w:eastAsia="Arial" w:hAnsi="Arial"/>
          <w:sz w:val="18"/>
          <w:szCs w:val="18"/>
          <w:color w:val="auto"/>
        </w:rPr>
        <w:t>) who shall be a person (employed or self-employed) who is independent from all Parties, has no conflict of interests with any of the Parties, has not acted as their or their Affiliates' advisor, board member or employee in the past, and who has at least ten (10) years' leadership experience in product development of, clinical use or assessment of and/or regulatory affairs responsibility for insulin delivery devices, and is generally well respected in the field.</w:t>
      </w:r>
    </w:p>
    <w:p>
      <w:pPr>
        <w:spacing w:after="0" w:line="234" w:lineRule="exact"/>
        <w:rPr>
          <w:rFonts w:ascii="Arial" w:cs="Arial" w:eastAsia="Arial" w:hAnsi="Arial"/>
          <w:sz w:val="18"/>
          <w:szCs w:val="18"/>
          <w:color w:val="auto"/>
        </w:rPr>
      </w:pPr>
    </w:p>
    <w:p>
      <w:pPr>
        <w:ind w:left="660" w:right="340" w:hanging="652"/>
        <w:spacing w:after="0" w:line="254" w:lineRule="auto"/>
        <w:tabs>
          <w:tab w:leader="none" w:pos="65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Within five (5) Business Days from the notice by the Party requesting the Expert procedure, the Sellers' Representative and the Buyer shall each submit a proposal for such Expert to the other (without, however, first contacting such proposed persons in this matter) who to the best knowledge of the proposing Party meet the requirements set out in Section 2.5.4(c) above. If the Sellers' Representative and the Buyer cannot agree on an Expert within ten (10) Business Days</w:t>
      </w:r>
    </w:p>
    <w:p>
      <w:pPr>
        <w:sectPr>
          <w:pgSz w:w="11900" w:h="16838" w:orient="portrait"/>
          <w:cols w:equalWidth="0" w:num="1">
            <w:col w:w="11180"/>
          </w:cols>
          <w:pgMar w:left="320" w:top="1435" w:right="399" w:bottom="1440" w:gutter="0" w:footer="0" w:header="0"/>
        </w:sectPr>
      </w:pPr>
    </w:p>
    <w:bookmarkStart w:id="129" w:name="page130"/>
    <w:bookmarkEnd w:id="129"/>
    <w:p>
      <w:pPr>
        <w:ind w:left="652" w:right="120"/>
        <w:spacing w:after="0" w:line="254" w:lineRule="auto"/>
        <w:rPr>
          <w:sz w:val="20"/>
          <w:szCs w:val="20"/>
          <w:color w:val="auto"/>
        </w:rPr>
      </w:pPr>
      <w:r>
        <w:rPr>
          <w:rFonts w:ascii="Arial" w:cs="Arial" w:eastAsia="Arial" w:hAnsi="Arial"/>
          <w:sz w:val="18"/>
          <w:szCs w:val="18"/>
          <w:color w:val="auto"/>
        </w:rPr>
        <w:t>from the notice by the Party requesting the Expert procedure, each Party may request the ICC International Centre for ADR of the International Chamber of Commerce (ICC) to appoint an Expert who meets the criteria in Section 2.5.4(c) above (such appointment being made in accordance with the Rules for the Appointment of Experts and Neutrals of the International Chamber of Commerce set forth in the ICC Expert Rules in force as from February 1, 2015, as amended).</w:t>
      </w:r>
    </w:p>
    <w:p>
      <w:pPr>
        <w:spacing w:after="0" w:line="231" w:lineRule="exact"/>
        <w:rPr>
          <w:sz w:val="20"/>
          <w:szCs w:val="20"/>
          <w:color w:val="auto"/>
        </w:rPr>
      </w:pPr>
    </w:p>
    <w:p>
      <w:pPr>
        <w:ind w:left="652" w:right="40" w:hanging="652"/>
        <w:spacing w:after="0" w:line="252" w:lineRule="auto"/>
        <w:tabs>
          <w:tab w:leader="none" w:pos="6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Expert shall promptly review this Agreement and all relevant facts delivered by the Parties. The Expert shall make an independent evaluation of whether or not the Milestone Event has been achieved. Following its review, the Expert shall deliver a statement in English setting forth its determination of whether or not the Milestone Event has been achieved. The Expert shall act as an expert (</w:t>
      </w:r>
      <w:r>
        <w:rPr>
          <w:rFonts w:ascii="Arial" w:cs="Arial" w:eastAsia="Arial" w:hAnsi="Arial"/>
          <w:sz w:val="18"/>
          <w:szCs w:val="18"/>
          <w:i w:val="1"/>
          <w:iCs w:val="1"/>
          <w:color w:val="auto"/>
        </w:rPr>
        <w:t>Schiedsgutachter</w:t>
      </w:r>
      <w:r>
        <w:rPr>
          <w:rFonts w:ascii="Arial" w:cs="Arial" w:eastAsia="Arial" w:hAnsi="Arial"/>
          <w:sz w:val="18"/>
          <w:szCs w:val="18"/>
          <w:color w:val="auto"/>
        </w:rPr>
        <w:t>) as that term is defined in article 189 of the Swiss Code of Civil Procedure (</w:t>
      </w:r>
      <w:r>
        <w:rPr>
          <w:rFonts w:ascii="Arial" w:cs="Arial" w:eastAsia="Arial" w:hAnsi="Arial"/>
          <w:sz w:val="18"/>
          <w:szCs w:val="18"/>
          <w:i w:val="1"/>
          <w:iCs w:val="1"/>
          <w:color w:val="auto"/>
        </w:rPr>
        <w:t>Schweizerische</w:t>
      </w:r>
      <w:r>
        <w:rPr>
          <w:rFonts w:ascii="Arial" w:cs="Arial" w:eastAsia="Arial" w:hAnsi="Arial"/>
          <w:sz w:val="18"/>
          <w:szCs w:val="18"/>
          <w:color w:val="auto"/>
        </w:rPr>
        <w:t xml:space="preserve"> </w:t>
      </w:r>
      <w:r>
        <w:rPr>
          <w:rFonts w:ascii="Arial" w:cs="Arial" w:eastAsia="Arial" w:hAnsi="Arial"/>
          <w:sz w:val="18"/>
          <w:szCs w:val="18"/>
          <w:i w:val="1"/>
          <w:iCs w:val="1"/>
          <w:color w:val="auto"/>
        </w:rPr>
        <w:t>Zivilprozessordnung</w:t>
      </w:r>
      <w:r>
        <w:rPr>
          <w:rFonts w:ascii="Arial" w:cs="Arial" w:eastAsia="Arial" w:hAnsi="Arial"/>
          <w:sz w:val="18"/>
          <w:szCs w:val="18"/>
          <w:color w:val="auto"/>
        </w:rPr>
        <w:t>), and not as arbitrator, and its determination of any matter falling within its jurisdiction shall, save for manifest</w:t>
      </w:r>
      <w:r>
        <w:rPr>
          <w:rFonts w:ascii="Arial" w:cs="Arial" w:eastAsia="Arial" w:hAnsi="Arial"/>
          <w:sz w:val="18"/>
          <w:szCs w:val="18"/>
          <w:i w:val="1"/>
          <w:iCs w:val="1"/>
          <w:color w:val="auto"/>
        </w:rPr>
        <w:t xml:space="preserve"> </w:t>
      </w:r>
      <w:r>
        <w:rPr>
          <w:rFonts w:ascii="Arial" w:cs="Arial" w:eastAsia="Arial" w:hAnsi="Arial"/>
          <w:sz w:val="18"/>
          <w:szCs w:val="18"/>
          <w:color w:val="auto"/>
        </w:rPr>
        <w:t>error, be final and binding on the Sellers and the Buyer. In the event of a manifest error in the Expert's determination, the determination shall be returned to the Expert for correction, and any corrected determination shall be final and binding on the Sellers and the Buyer.</w:t>
      </w:r>
    </w:p>
    <w:p>
      <w:pPr>
        <w:spacing w:after="0" w:line="232" w:lineRule="exact"/>
        <w:rPr>
          <w:rFonts w:ascii="Arial" w:cs="Arial" w:eastAsia="Arial" w:hAnsi="Arial"/>
          <w:sz w:val="18"/>
          <w:szCs w:val="18"/>
          <w:color w:val="auto"/>
        </w:rPr>
      </w:pPr>
    </w:p>
    <w:p>
      <w:pPr>
        <w:ind w:left="652" w:hanging="652"/>
        <w:spacing w:after="0" w:line="254" w:lineRule="auto"/>
        <w:tabs>
          <w:tab w:leader="none" w:pos="6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task of the Expert is limited to the factual determination as to whether the relevant Milestone Event has been achieved within the applicable timeframe or the Buyer used Commercially Reasonable Efforts in accordance with Section 2.5.1(b), as applicable, taking into account all facts and circumstances relating thereto. Any other question that may be in dispute in connection with the Milestone Event or otherwise shall be submitted to the dispute resolution procedure set out in Section 12.2.</w:t>
      </w:r>
    </w:p>
    <w:p>
      <w:pPr>
        <w:spacing w:after="0" w:line="230" w:lineRule="exact"/>
        <w:rPr>
          <w:rFonts w:ascii="Arial" w:cs="Arial" w:eastAsia="Arial" w:hAnsi="Arial"/>
          <w:sz w:val="18"/>
          <w:szCs w:val="18"/>
          <w:color w:val="auto"/>
        </w:rPr>
      </w:pPr>
    </w:p>
    <w:p>
      <w:pPr>
        <w:ind w:left="652" w:right="20" w:hanging="652"/>
        <w:spacing w:after="0" w:line="252" w:lineRule="auto"/>
        <w:tabs>
          <w:tab w:leader="none" w:pos="6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Parties shall procure that the Expert will be furnished with all documents and information relating to the establishment of the achievement of the Milestone Event and with any information that the Expert may reasonably request, and the Parties agree to co-operate and assist the Expert as reasonably requested by the Expert. Such co-operation and assistance shall include (i) making available and permit copies to be taken of such books, records and work papers as may be relevant in connection with the Milestone Event and (ii) making available during office hours such personnel of the Parties and the Company, in each case, as may be reasonably required to conduct the determination by the Expert.</w:t>
      </w:r>
    </w:p>
    <w:p>
      <w:pPr>
        <w:spacing w:after="0" w:line="234" w:lineRule="exact"/>
        <w:rPr>
          <w:rFonts w:ascii="Arial" w:cs="Arial" w:eastAsia="Arial" w:hAnsi="Arial"/>
          <w:sz w:val="18"/>
          <w:szCs w:val="18"/>
          <w:color w:val="auto"/>
        </w:rPr>
      </w:pPr>
    </w:p>
    <w:p>
      <w:pPr>
        <w:ind w:left="652" w:right="300" w:hanging="652"/>
        <w:spacing w:after="0" w:line="261" w:lineRule="auto"/>
        <w:tabs>
          <w:tab w:leader="none" w:pos="6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Expert shall make his or her determination as soon as reasonably practicable, but no later than forty-five (45) Business Days from the date of his or her appointment.</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procedure as determined by the Expert shall comply with the requirements of due process; in particular, the Expert shall:</w:t>
      </w:r>
    </w:p>
    <w:p>
      <w:pPr>
        <w:spacing w:after="0" w:line="252" w:lineRule="exact"/>
        <w:rPr>
          <w:rFonts w:ascii="Arial" w:cs="Arial" w:eastAsia="Arial" w:hAnsi="Arial"/>
          <w:sz w:val="18"/>
          <w:szCs w:val="18"/>
          <w:color w:val="auto"/>
        </w:rPr>
      </w:pPr>
    </w:p>
    <w:p>
      <w:pPr>
        <w:ind w:left="1292" w:hanging="642"/>
        <w:spacing w:after="0"/>
        <w:tabs>
          <w:tab w:leader="none" w:pos="12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give the Parties a reasonable opportunity to make written and oral presentations to him or her;</w:t>
      </w:r>
    </w:p>
    <w:p>
      <w:pPr>
        <w:spacing w:after="0" w:line="252" w:lineRule="exact"/>
        <w:rPr>
          <w:rFonts w:ascii="Arial" w:cs="Arial" w:eastAsia="Arial" w:hAnsi="Arial"/>
          <w:sz w:val="18"/>
          <w:szCs w:val="18"/>
          <w:color w:val="auto"/>
        </w:rPr>
      </w:pPr>
    </w:p>
    <w:p>
      <w:pPr>
        <w:ind w:left="1292" w:right="660" w:hanging="682"/>
        <w:spacing w:after="0" w:line="261" w:lineRule="auto"/>
        <w:tabs>
          <w:tab w:leader="none" w:pos="12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require that each Party provide the other with a copy of any written presentations at the same time as they are made available to the Expert;</w:t>
      </w:r>
    </w:p>
    <w:p>
      <w:pPr>
        <w:spacing w:after="0" w:line="224" w:lineRule="exact"/>
        <w:rPr>
          <w:rFonts w:ascii="Arial" w:cs="Arial" w:eastAsia="Arial" w:hAnsi="Arial"/>
          <w:sz w:val="18"/>
          <w:szCs w:val="18"/>
          <w:color w:val="auto"/>
        </w:rPr>
      </w:pPr>
    </w:p>
    <w:p>
      <w:pPr>
        <w:ind w:left="1292" w:right="140" w:hanging="722"/>
        <w:spacing w:after="0" w:line="261" w:lineRule="auto"/>
        <w:tabs>
          <w:tab w:leader="none" w:pos="12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permit each Party to be present while oral submissions are being made by the other Party or while evidence is gathered by the Expert, including meetings and discussions with the employees of the Company; and</w:t>
      </w:r>
    </w:p>
    <w:p>
      <w:pPr>
        <w:spacing w:after="0" w:line="224" w:lineRule="exact"/>
        <w:rPr>
          <w:rFonts w:ascii="Arial" w:cs="Arial" w:eastAsia="Arial" w:hAnsi="Arial"/>
          <w:sz w:val="18"/>
          <w:szCs w:val="18"/>
          <w:color w:val="auto"/>
        </w:rPr>
      </w:pPr>
    </w:p>
    <w:p>
      <w:pPr>
        <w:ind w:left="1292" w:hanging="732"/>
        <w:spacing w:after="0"/>
        <w:tabs>
          <w:tab w:leader="none" w:pos="12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conduct the proceedings in English.</w:t>
      </w:r>
    </w:p>
    <w:p>
      <w:pPr>
        <w:spacing w:after="0" w:line="252" w:lineRule="exact"/>
        <w:rPr>
          <w:rFonts w:ascii="Arial" w:cs="Arial" w:eastAsia="Arial" w:hAnsi="Arial"/>
          <w:sz w:val="18"/>
          <w:szCs w:val="18"/>
          <w:color w:val="auto"/>
        </w:rPr>
      </w:pPr>
    </w:p>
    <w:p>
      <w:pPr>
        <w:ind w:left="652" w:right="220" w:hanging="652"/>
        <w:spacing w:after="0" w:line="261" w:lineRule="auto"/>
        <w:tabs>
          <w:tab w:leader="none" w:pos="65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Party and the Expert shall, and shall procure that its assistants and other advisors shall, keep all information and documents provided to them pursuant to this Section 2.5 confidential and</w:t>
      </w:r>
    </w:p>
    <w:p>
      <w:pPr>
        <w:sectPr>
          <w:pgSz w:w="11900" w:h="16838" w:orient="portrait"/>
          <w:cols w:equalWidth="0" w:num="1">
            <w:col w:w="11192"/>
          </w:cols>
          <w:pgMar w:left="328" w:top="1435" w:right="379" w:bottom="1440" w:gutter="0" w:footer="0" w:header="0"/>
        </w:sectPr>
      </w:pPr>
    </w:p>
    <w:bookmarkStart w:id="130" w:name="page131"/>
    <w:bookmarkEnd w:id="130"/>
    <w:p>
      <w:pPr>
        <w:ind w:left="660" w:right="420"/>
        <w:spacing w:after="0" w:line="261" w:lineRule="auto"/>
        <w:rPr>
          <w:sz w:val="20"/>
          <w:szCs w:val="20"/>
          <w:color w:val="auto"/>
        </w:rPr>
      </w:pPr>
      <w:r>
        <w:rPr>
          <w:rFonts w:ascii="Arial" w:cs="Arial" w:eastAsia="Arial" w:hAnsi="Arial"/>
          <w:sz w:val="18"/>
          <w:szCs w:val="18"/>
          <w:color w:val="auto"/>
        </w:rPr>
        <w:t>shall not use the same for any purpose other than claiming and proving any rights or obligations under or in connection with this Agreement.</w:t>
      </w:r>
    </w:p>
    <w:p>
      <w:pPr>
        <w:spacing w:after="0" w:line="225" w:lineRule="exact"/>
        <w:rPr>
          <w:sz w:val="20"/>
          <w:szCs w:val="20"/>
          <w:color w:val="auto"/>
        </w:rPr>
      </w:pPr>
    </w:p>
    <w:p>
      <w:pPr>
        <w:ind w:left="660" w:right="40" w:hanging="652"/>
        <w:spacing w:after="0" w:line="253" w:lineRule="auto"/>
        <w:tabs>
          <w:tab w:leader="none" w:pos="6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Party shall be responsible for its own costs in this process. The costs and expenses (including VAT) of the Expert and any third party which the Expert consults pursuant to this Section 2.5 shall be borne by (i) the Buyer, if the Expert determines that the Milestone Event has been achieved or the Buyer did not use Commercially Reasonable Efforts in accordance with Section 2.5.1(b), as applicable, and (ii) the Sellers, if the Expert determines that the Milestone Event has not been achieved or the Buyer used Commercially Reasonable Efforts in accordance with Section 2.5.1(b), as applicable.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2.5.5</w:t>
      </w:r>
      <w:r>
        <w:rPr>
          <w:sz w:val="20"/>
          <w:szCs w:val="20"/>
          <w:color w:val="auto"/>
        </w:rPr>
        <w:tab/>
      </w:r>
      <w:r>
        <w:rPr>
          <w:rFonts w:ascii="Arial" w:cs="Arial" w:eastAsia="Arial" w:hAnsi="Arial"/>
          <w:sz w:val="17"/>
          <w:szCs w:val="17"/>
          <w:b w:val="1"/>
          <w:bCs w:val="1"/>
          <w:color w:val="auto"/>
        </w:rPr>
        <w:t>Acceleration of Earnout Payments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Actions Prior to Closing</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3.1General</w:t>
      </w:r>
    </w:p>
    <w:p>
      <w:pPr>
        <w:spacing w:after="0" w:line="274" w:lineRule="exact"/>
        <w:rPr>
          <w:sz w:val="20"/>
          <w:szCs w:val="20"/>
          <w:color w:val="auto"/>
        </w:rPr>
      </w:pPr>
    </w:p>
    <w:p>
      <w:pPr>
        <w:ind w:left="660" w:right="280" w:hanging="652"/>
        <w:spacing w:after="0" w:line="261" w:lineRule="auto"/>
        <w:tabs>
          <w:tab w:leader="none" w:pos="6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the terms and subject to the conditions of this Agreement and except as otherwise expressly provided herein, the Sellers shall use their Commercially Reasonable Efforts:</w:t>
      </w:r>
    </w:p>
    <w:p>
      <w:pPr>
        <w:spacing w:after="0" w:line="224" w:lineRule="exact"/>
        <w:rPr>
          <w:rFonts w:ascii="Arial" w:cs="Arial" w:eastAsia="Arial" w:hAnsi="Arial"/>
          <w:sz w:val="18"/>
          <w:szCs w:val="18"/>
          <w:color w:val="auto"/>
        </w:rPr>
      </w:pPr>
    </w:p>
    <w:p>
      <w:pPr>
        <w:ind w:left="1300" w:hanging="642"/>
        <w:spacing w:after="0"/>
        <w:tabs>
          <w:tab w:leader="none" w:pos="13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cause the conditions precedent set forth in Section 4.2.1 and Section 4.2.2 to be satisfied on or before the Closing; and</w:t>
      </w:r>
    </w:p>
    <w:p>
      <w:pPr>
        <w:spacing w:after="0" w:line="252" w:lineRule="exact"/>
        <w:rPr>
          <w:rFonts w:ascii="Arial" w:cs="Arial" w:eastAsia="Arial" w:hAnsi="Arial"/>
          <w:sz w:val="18"/>
          <w:szCs w:val="18"/>
          <w:color w:val="auto"/>
        </w:rPr>
      </w:pPr>
    </w:p>
    <w:p>
      <w:pPr>
        <w:ind w:left="1300" w:hanging="682"/>
        <w:spacing w:after="0"/>
        <w:tabs>
          <w:tab w:leader="none" w:pos="13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to do all reasonable acts and things necessary (and within their power) to cause the Closing to occur.</w:t>
      </w:r>
    </w:p>
    <w:p>
      <w:pPr>
        <w:spacing w:after="0" w:line="252" w:lineRule="exact"/>
        <w:rPr>
          <w:rFonts w:ascii="Arial" w:cs="Arial" w:eastAsia="Arial" w:hAnsi="Arial"/>
          <w:sz w:val="18"/>
          <w:szCs w:val="18"/>
          <w:color w:val="auto"/>
        </w:rPr>
      </w:pPr>
    </w:p>
    <w:p>
      <w:pPr>
        <w:ind w:left="660" w:right="20" w:hanging="652"/>
        <w:spacing w:after="0" w:line="261" w:lineRule="auto"/>
        <w:tabs>
          <w:tab w:leader="none" w:pos="6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the terms and subject to the conditions of this Agreement and except as otherwise expressly provided herein, the Buyer shall use its Commercially Reasonable Efforts to cause:</w:t>
      </w:r>
    </w:p>
    <w:p>
      <w:pPr>
        <w:spacing w:after="0" w:line="224" w:lineRule="exact"/>
        <w:rPr>
          <w:rFonts w:ascii="Arial" w:cs="Arial" w:eastAsia="Arial" w:hAnsi="Arial"/>
          <w:sz w:val="18"/>
          <w:szCs w:val="18"/>
          <w:color w:val="auto"/>
        </w:rPr>
      </w:pPr>
    </w:p>
    <w:p>
      <w:pPr>
        <w:ind w:left="1300" w:hanging="642"/>
        <w:spacing w:after="0"/>
        <w:tabs>
          <w:tab w:leader="none" w:pos="13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conditions precedent set forth in Section 4.2.1 and Section 4.2.3 to be satisfied on or before the Closing; and</w:t>
      </w:r>
    </w:p>
    <w:p>
      <w:pPr>
        <w:spacing w:after="0" w:line="252" w:lineRule="exact"/>
        <w:rPr>
          <w:rFonts w:ascii="Arial" w:cs="Arial" w:eastAsia="Arial" w:hAnsi="Arial"/>
          <w:sz w:val="18"/>
          <w:szCs w:val="18"/>
          <w:color w:val="auto"/>
        </w:rPr>
      </w:pPr>
    </w:p>
    <w:p>
      <w:pPr>
        <w:ind w:left="1300" w:hanging="682"/>
        <w:spacing w:after="0"/>
        <w:tabs>
          <w:tab w:leader="none" w:pos="1300" w:val="left"/>
        </w:tabs>
        <w:numPr>
          <w:ilvl w:val="2"/>
          <w:numId w:val="99"/>
        </w:numPr>
        <w:rPr>
          <w:rFonts w:ascii="Arial" w:cs="Arial" w:eastAsia="Arial" w:hAnsi="Arial"/>
          <w:sz w:val="18"/>
          <w:szCs w:val="18"/>
          <w:color w:val="auto"/>
        </w:rPr>
      </w:pPr>
      <w:r>
        <w:rPr>
          <w:rFonts w:ascii="Arial" w:cs="Arial" w:eastAsia="Arial" w:hAnsi="Arial"/>
          <w:sz w:val="18"/>
          <w:szCs w:val="18"/>
          <w:color w:val="auto"/>
        </w:rPr>
        <w:t>its Affiliates to do all reasonable acts and things necessary (and within their power) to cause the Closing to occur.</w:t>
      </w:r>
    </w:p>
    <w:p>
      <w:pPr>
        <w:spacing w:after="0" w:line="252" w:lineRule="exact"/>
        <w:rPr>
          <w:rFonts w:ascii="Arial" w:cs="Arial" w:eastAsia="Arial" w:hAnsi="Arial"/>
          <w:sz w:val="18"/>
          <w:szCs w:val="18"/>
          <w:color w:val="auto"/>
        </w:rPr>
      </w:pPr>
    </w:p>
    <w:p>
      <w:pPr>
        <w:ind w:left="660" w:right="340" w:hanging="490"/>
        <w:spacing w:after="0" w:line="261" w:lineRule="auto"/>
        <w:tabs>
          <w:tab w:leader="none" w:pos="654" w:val="left"/>
        </w:tabs>
        <w:numPr>
          <w:ilvl w:val="1"/>
          <w:numId w:val="99"/>
        </w:numPr>
        <w:rPr>
          <w:rFonts w:ascii="Arial" w:cs="Arial" w:eastAsia="Arial" w:hAnsi="Arial"/>
          <w:sz w:val="18"/>
          <w:szCs w:val="18"/>
          <w:color w:val="auto"/>
        </w:rPr>
      </w:pPr>
      <w:r>
        <w:rPr>
          <w:rFonts w:ascii="Arial" w:cs="Arial" w:eastAsia="Arial" w:hAnsi="Arial"/>
          <w:sz w:val="18"/>
          <w:szCs w:val="18"/>
          <w:color w:val="auto"/>
        </w:rPr>
        <w:t>Each Party shall, and shall cause its or his or her Affiliates, Representatives and auditors, as applicable, to, (i) cooperate with the other Party, and (ii) promptly inform the other Party of any actions taken in view of the Closing.</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Conduct Before Closing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Restricted Actions</w:t>
      </w:r>
    </w:p>
    <w:p>
      <w:pPr>
        <w:spacing w:after="0" w:line="274" w:lineRule="exact"/>
        <w:rPr>
          <w:sz w:val="20"/>
          <w:szCs w:val="20"/>
          <w:color w:val="auto"/>
        </w:rPr>
      </w:pPr>
    </w:p>
    <w:p>
      <w:pPr>
        <w:ind w:left="660" w:hanging="652"/>
        <w:spacing w:after="0" w:line="252" w:lineRule="auto"/>
        <w:tabs>
          <w:tab w:leader="none" w:pos="6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Unless either specifically provided for in this Agreement or contemplated in the Company's budget or business plan, as previously provided to Buyer, subject to changes necessary or advisable in connection with developments in the industry and/or material economic changes, each Seller shall (in each case to the extent possible through the exercise of his, her or its voting rights and subject to all applicable legal and regulatory requirements) ensure that the Company operates its business as a going concern, in the ordinary course of business and consistent with prior practice from the date of this Agreement through to and including the Closing Date.</w:t>
      </w:r>
    </w:p>
    <w:p>
      <w:pPr>
        <w:sectPr>
          <w:pgSz w:w="11900" w:h="16838" w:orient="portrait"/>
          <w:cols w:equalWidth="0" w:num="1">
            <w:col w:w="11220"/>
          </w:cols>
          <w:pgMar w:left="320" w:top="1435" w:right="359" w:bottom="1440" w:gutter="0" w:footer="0" w:header="0"/>
        </w:sectPr>
      </w:pPr>
    </w:p>
    <w:bookmarkStart w:id="131" w:name="page132"/>
    <w:bookmarkEnd w:id="131"/>
    <w:p>
      <w:pPr>
        <w:ind w:left="652" w:right="60" w:hanging="652"/>
        <w:spacing w:after="0" w:line="254" w:lineRule="auto"/>
        <w:tabs>
          <w:tab w:leader="none" w:pos="64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Seller shall not, and shall ensure (in each case to the extent possible through the exercise of his, her or its voting rights and subject to all applicable legal and regulatory requirements) that the Company does not take, or does not agree to take, any of the following actions (the </w:t>
      </w:r>
      <w:r>
        <w:rPr>
          <w:rFonts w:ascii="Arial" w:cs="Arial" w:eastAsia="Arial" w:hAnsi="Arial"/>
          <w:sz w:val="18"/>
          <w:szCs w:val="18"/>
          <w:b w:val="1"/>
          <w:bCs w:val="1"/>
          <w:color w:val="auto"/>
        </w:rPr>
        <w:t>Restricted Actions</w:t>
      </w:r>
      <w:r>
        <w:rPr>
          <w:rFonts w:ascii="Arial" w:cs="Arial" w:eastAsia="Arial" w:hAnsi="Arial"/>
          <w:sz w:val="18"/>
          <w:szCs w:val="18"/>
          <w:color w:val="auto"/>
        </w:rPr>
        <w:t>) from the date of this Agreement through to and including the Closing Date:</w:t>
      </w:r>
    </w:p>
    <w:p>
      <w:pPr>
        <w:spacing w:after="0" w:line="230" w:lineRule="exact"/>
        <w:rPr>
          <w:rFonts w:ascii="Arial" w:cs="Arial" w:eastAsia="Arial" w:hAnsi="Arial"/>
          <w:sz w:val="18"/>
          <w:szCs w:val="18"/>
          <w:color w:val="auto"/>
        </w:rPr>
      </w:pPr>
    </w:p>
    <w:p>
      <w:pPr>
        <w:ind w:left="1292" w:right="280" w:hanging="64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do anything or omit to do anything that could interfere with the consummation of the transactions contemplated under this Agreement;</w:t>
      </w:r>
    </w:p>
    <w:p>
      <w:pPr>
        <w:spacing w:after="0" w:line="224" w:lineRule="exact"/>
        <w:rPr>
          <w:rFonts w:ascii="Arial" w:cs="Arial" w:eastAsia="Arial" w:hAnsi="Arial"/>
          <w:sz w:val="18"/>
          <w:szCs w:val="18"/>
          <w:color w:val="auto"/>
        </w:rPr>
      </w:pPr>
    </w:p>
    <w:p>
      <w:pPr>
        <w:ind w:left="1292" w:right="40" w:hanging="68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alter, amend or change the Articles of Association, the Shareholders' Agreement or any other similar governance documents of the Company, except as contemplated under this Agreement in connection with the exercise of the Options;</w:t>
      </w:r>
    </w:p>
    <w:p>
      <w:pPr>
        <w:spacing w:after="0" w:line="224" w:lineRule="exact"/>
        <w:rPr>
          <w:rFonts w:ascii="Arial" w:cs="Arial" w:eastAsia="Arial" w:hAnsi="Arial"/>
          <w:sz w:val="18"/>
          <w:szCs w:val="18"/>
          <w:color w:val="auto"/>
        </w:rPr>
      </w:pPr>
    </w:p>
    <w:p>
      <w:pPr>
        <w:ind w:left="1292" w:hanging="72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increase or decrease the share capital of the Company, except as contemplated under this Agreement in connection with the exercise of the Options;</w:t>
      </w:r>
    </w:p>
    <w:p>
      <w:pPr>
        <w:spacing w:after="0" w:line="224" w:lineRule="exact"/>
        <w:rPr>
          <w:rFonts w:ascii="Arial" w:cs="Arial" w:eastAsia="Arial" w:hAnsi="Arial"/>
          <w:sz w:val="18"/>
          <w:szCs w:val="18"/>
          <w:color w:val="auto"/>
        </w:rPr>
      </w:pPr>
    </w:p>
    <w:p>
      <w:pPr>
        <w:ind w:left="1292" w:hanging="732"/>
        <w:spacing w:after="0"/>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authorize or create (by reclassification or otherwise) any new class or series of shares of the Company;</w:t>
      </w:r>
    </w:p>
    <w:p>
      <w:pPr>
        <w:spacing w:after="0" w:line="252" w:lineRule="exact"/>
        <w:rPr>
          <w:rFonts w:ascii="Arial" w:cs="Arial" w:eastAsia="Arial" w:hAnsi="Arial"/>
          <w:sz w:val="18"/>
          <w:szCs w:val="18"/>
          <w:color w:val="auto"/>
        </w:rPr>
      </w:pPr>
    </w:p>
    <w:p>
      <w:pPr>
        <w:ind w:left="1292" w:right="200" w:hanging="692"/>
        <w:spacing w:after="0" w:line="256"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issue, authorize or create any shares or related securities of the Company to any third party engaged in the development and commercialization of diabetes devices, including any manufacturer of continuous insulin infusion pumps or continuous glucose monitors;</w:t>
      </w:r>
    </w:p>
    <w:p>
      <w:pPr>
        <w:spacing w:after="0" w:line="228" w:lineRule="exact"/>
        <w:rPr>
          <w:rFonts w:ascii="Arial" w:cs="Arial" w:eastAsia="Arial" w:hAnsi="Arial"/>
          <w:sz w:val="18"/>
          <w:szCs w:val="18"/>
          <w:color w:val="auto"/>
        </w:rPr>
      </w:pPr>
    </w:p>
    <w:p>
      <w:pPr>
        <w:ind w:left="1292" w:hanging="732"/>
        <w:spacing w:after="0"/>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redeem or repurchase any shares of the Company;</w:t>
      </w:r>
    </w:p>
    <w:p>
      <w:pPr>
        <w:spacing w:after="0" w:line="252" w:lineRule="exact"/>
        <w:rPr>
          <w:rFonts w:ascii="Arial" w:cs="Arial" w:eastAsia="Arial" w:hAnsi="Arial"/>
          <w:sz w:val="18"/>
          <w:szCs w:val="18"/>
          <w:color w:val="auto"/>
        </w:rPr>
      </w:pPr>
    </w:p>
    <w:p>
      <w:pPr>
        <w:ind w:left="1292" w:right="260" w:hanging="77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declare or pay any dividend or otherwise make a distribution to holders of any shares of the Company, other than the pre-closing distribution pursuant to Section 3.2.3;</w:t>
      </w:r>
    </w:p>
    <w:p>
      <w:pPr>
        <w:spacing w:after="0" w:line="224" w:lineRule="exact"/>
        <w:rPr>
          <w:rFonts w:ascii="Arial" w:cs="Arial" w:eastAsia="Arial" w:hAnsi="Arial"/>
          <w:sz w:val="18"/>
          <w:szCs w:val="18"/>
          <w:color w:val="auto"/>
        </w:rPr>
      </w:pPr>
    </w:p>
    <w:p>
      <w:pPr>
        <w:ind w:left="1292" w:right="580" w:hanging="81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increase the number of shares subject to issuance under any share plan or arrangement for the benefit of any service providers to the Company;</w:t>
      </w:r>
    </w:p>
    <w:p>
      <w:pPr>
        <w:spacing w:after="0" w:line="224" w:lineRule="exact"/>
        <w:rPr>
          <w:rFonts w:ascii="Arial" w:cs="Arial" w:eastAsia="Arial" w:hAnsi="Arial"/>
          <w:sz w:val="18"/>
          <w:szCs w:val="18"/>
          <w:color w:val="auto"/>
        </w:rPr>
      </w:pPr>
    </w:p>
    <w:p>
      <w:pPr>
        <w:ind w:left="1292" w:right="60" w:hanging="732"/>
        <w:spacing w:after="0" w:line="254"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create, or hold capital stock in, any subsidiary that is not wholly owned (either directly or through one or more other subsidiaries) by the Company, or sell, transfer or otherwise dispose of any capital stock of any direct or indirect subsidiary of the Company, or permit any direct or indirect subsidiary to sell, lease, transfer, exclusively license or otherwise dispose (in a single transaction or series of related transactions) of all or substantially all of the assets of such subsidiary;</w:t>
      </w:r>
    </w:p>
    <w:p>
      <w:pPr>
        <w:spacing w:after="0" w:line="230" w:lineRule="exact"/>
        <w:rPr>
          <w:rFonts w:ascii="Arial" w:cs="Arial" w:eastAsia="Arial" w:hAnsi="Arial"/>
          <w:sz w:val="18"/>
          <w:szCs w:val="18"/>
          <w:color w:val="auto"/>
        </w:rPr>
      </w:pPr>
    </w:p>
    <w:p>
      <w:pPr>
        <w:ind w:left="1292" w:hanging="692"/>
        <w:spacing w:after="0" w:line="253"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Company, effect any deemed liquidation event (which shall include a merger or the sale, lease, transfer, exclusive license, or other disposition, in a single transaction or series of related transactions, by the Company or any subsidiary or subsidiaries of the Company, of all or substantially all the assets of the Company and its subsidiaries taken as a whole), or consent, agree or commit to any of the foregoing without conditioning such consent, agreement or commitment upon obtaining the approval required by this section;</w:t>
      </w:r>
    </w:p>
    <w:p>
      <w:pPr>
        <w:spacing w:after="0" w:line="232" w:lineRule="exact"/>
        <w:rPr>
          <w:rFonts w:ascii="Arial" w:cs="Arial" w:eastAsia="Arial" w:hAnsi="Arial"/>
          <w:sz w:val="18"/>
          <w:szCs w:val="18"/>
          <w:color w:val="auto"/>
        </w:rPr>
      </w:pPr>
    </w:p>
    <w:p>
      <w:pPr>
        <w:ind w:left="1292" w:right="320" w:hanging="732"/>
        <w:spacing w:after="0" w:line="291" w:lineRule="auto"/>
        <w:tabs>
          <w:tab w:leader="none" w:pos="129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grant, modify, dispose of or terminate any rights or enter into any agreement (including any license, assignment, Lien) relating to Intellectual Property Rights or otherwise permit any of its rights relating to Intellectual Property Rights to lapse;</w:t>
      </w:r>
    </w:p>
    <w:p>
      <w:pPr>
        <w:spacing w:after="0" w:line="200" w:lineRule="exact"/>
        <w:rPr>
          <w:rFonts w:ascii="Arial" w:cs="Arial" w:eastAsia="Arial" w:hAnsi="Arial"/>
          <w:sz w:val="17"/>
          <w:szCs w:val="17"/>
          <w:color w:val="auto"/>
        </w:rPr>
      </w:pPr>
    </w:p>
    <w:p>
      <w:pPr>
        <w:ind w:left="1292" w:right="580" w:hanging="772"/>
        <w:spacing w:after="0" w:line="261" w:lineRule="auto"/>
        <w:tabs>
          <w:tab w:leader="none" w:pos="1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grant, modify, dispose of or terminate any rights or enter into any agreement (including any license, assignment, Lien) relating to the Sigi Patch Pump or otherwise permit any of its rights relating to the Sigi Patch Pump to lapse;</w:t>
      </w:r>
    </w:p>
    <w:p>
      <w:pPr>
        <w:sectPr>
          <w:pgSz w:w="11900" w:h="16838" w:orient="portrait"/>
          <w:cols w:equalWidth="0" w:num="1">
            <w:col w:w="11212"/>
          </w:cols>
          <w:pgMar w:left="328" w:top="1435" w:right="359" w:bottom="1440" w:gutter="0" w:footer="0" w:header="0"/>
        </w:sectPr>
      </w:pPr>
    </w:p>
    <w:bookmarkStart w:id="132" w:name="page133"/>
    <w:bookmarkEnd w:id="132"/>
    <w:p>
      <w:pPr>
        <w:ind w:left="992" w:hanging="81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joint venture or partnership or profit-sharing arrangement;</w:t>
      </w:r>
    </w:p>
    <w:p>
      <w:pPr>
        <w:spacing w:after="0" w:line="252" w:lineRule="exact"/>
        <w:rPr>
          <w:rFonts w:ascii="Arial" w:cs="Arial" w:eastAsia="Arial" w:hAnsi="Arial"/>
          <w:sz w:val="18"/>
          <w:szCs w:val="18"/>
          <w:color w:val="auto"/>
        </w:rPr>
      </w:pPr>
    </w:p>
    <w:p>
      <w:pPr>
        <w:ind w:left="992" w:right="400" w:hanging="822"/>
        <w:spacing w:after="0" w:line="261" w:lineRule="auto"/>
        <w:tabs>
          <w:tab w:leader="none" w:pos="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or authorize the creation of, or issue, or authorize the issuance of any debt security or create any lien or security interest, other than capital equipment leases in the ordinary course of business;</w:t>
      </w:r>
    </w:p>
    <w:p>
      <w:pPr>
        <w:spacing w:after="0" w:line="224" w:lineRule="exact"/>
        <w:rPr>
          <w:rFonts w:ascii="Arial" w:cs="Arial" w:eastAsia="Arial" w:hAnsi="Arial"/>
          <w:sz w:val="18"/>
          <w:szCs w:val="18"/>
          <w:color w:val="auto"/>
        </w:rPr>
      </w:pPr>
    </w:p>
    <w:p>
      <w:pPr>
        <w:ind w:left="992" w:right="40" w:hanging="782"/>
        <w:spacing w:after="0" w:line="261"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assume or increase any Debt other than short term trading indebtedness incurred or arising in the ordinary course of business;</w:t>
      </w:r>
    </w:p>
    <w:p>
      <w:pPr>
        <w:spacing w:after="0" w:line="224" w:lineRule="exact"/>
        <w:rPr>
          <w:rFonts w:ascii="Arial" w:cs="Arial" w:eastAsia="Arial" w:hAnsi="Arial"/>
          <w:sz w:val="18"/>
          <w:szCs w:val="18"/>
          <w:color w:val="auto"/>
        </w:rPr>
      </w:pPr>
    </w:p>
    <w:p>
      <w:pPr>
        <w:ind w:left="992" w:hanging="82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authorize or effect the acquisition or purchase of another entity, business line or assets of another entity or business line;</w:t>
      </w:r>
    </w:p>
    <w:p>
      <w:pPr>
        <w:spacing w:after="0" w:line="252" w:lineRule="exact"/>
        <w:rPr>
          <w:rFonts w:ascii="Arial" w:cs="Arial" w:eastAsia="Arial" w:hAnsi="Arial"/>
          <w:sz w:val="18"/>
          <w:szCs w:val="18"/>
          <w:color w:val="auto"/>
        </w:rPr>
      </w:pPr>
    </w:p>
    <w:p>
      <w:pPr>
        <w:ind w:left="992" w:right="260" w:hanging="862"/>
        <w:spacing w:after="0" w:line="261"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transfer or create any Lien (other than charges arising by operation of Law) on any assets of the Company (including any Intellectual Property of the Company) to or to the benefit of a third party (including a Seller);</w:t>
      </w:r>
    </w:p>
    <w:p>
      <w:pPr>
        <w:spacing w:after="0" w:line="224" w:lineRule="exact"/>
        <w:rPr>
          <w:rFonts w:ascii="Arial" w:cs="Arial" w:eastAsia="Arial" w:hAnsi="Arial"/>
          <w:sz w:val="18"/>
          <w:szCs w:val="18"/>
          <w:color w:val="auto"/>
        </w:rPr>
      </w:pPr>
    </w:p>
    <w:p>
      <w:pPr>
        <w:ind w:left="992" w:hanging="90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grant, create or allow to be created any Lien over any of his, her or its Shares;</w:t>
      </w:r>
    </w:p>
    <w:p>
      <w:pPr>
        <w:spacing w:after="0" w:line="252" w:lineRule="exact"/>
        <w:rPr>
          <w:rFonts w:ascii="Arial" w:cs="Arial" w:eastAsia="Arial" w:hAnsi="Arial"/>
          <w:sz w:val="18"/>
          <w:szCs w:val="18"/>
          <w:color w:val="auto"/>
        </w:rPr>
      </w:pPr>
    </w:p>
    <w:p>
      <w:pPr>
        <w:ind w:left="992" w:hanging="82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increase or extend any financial loan or credit to any third party;</w:t>
      </w:r>
    </w:p>
    <w:p>
      <w:pPr>
        <w:spacing w:after="0" w:line="252" w:lineRule="exact"/>
        <w:rPr>
          <w:rFonts w:ascii="Arial" w:cs="Arial" w:eastAsia="Arial" w:hAnsi="Arial"/>
          <w:sz w:val="18"/>
          <w:szCs w:val="18"/>
          <w:color w:val="auto"/>
        </w:rPr>
      </w:pPr>
    </w:p>
    <w:p>
      <w:pPr>
        <w:ind w:left="992" w:right="760" w:hanging="782"/>
        <w:spacing w:after="0" w:line="261"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increase or extend any liability under any guarantee or indemnity in favor of any third party guaranteeing obligations of the Company in excess of CHF 25,000 per item;</w:t>
      </w:r>
    </w:p>
    <w:p>
      <w:pPr>
        <w:spacing w:after="0" w:line="224" w:lineRule="exact"/>
        <w:rPr>
          <w:rFonts w:ascii="Arial" w:cs="Arial" w:eastAsia="Arial" w:hAnsi="Arial"/>
          <w:sz w:val="18"/>
          <w:szCs w:val="18"/>
          <w:color w:val="auto"/>
        </w:rPr>
      </w:pPr>
    </w:p>
    <w:p>
      <w:pPr>
        <w:ind w:left="992" w:hanging="82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accounting policies or procedures (including for Tax purposes), except as required by applicable Law;</w:t>
      </w:r>
    </w:p>
    <w:p>
      <w:pPr>
        <w:spacing w:after="0" w:line="252" w:lineRule="exact"/>
        <w:rPr>
          <w:rFonts w:ascii="Arial" w:cs="Arial" w:eastAsia="Arial" w:hAnsi="Arial"/>
          <w:sz w:val="18"/>
          <w:szCs w:val="18"/>
          <w:color w:val="auto"/>
        </w:rPr>
      </w:pPr>
    </w:p>
    <w:p>
      <w:pPr>
        <w:ind w:left="992" w:right="140" w:hanging="862"/>
        <w:spacing w:after="0" w:line="256"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initiate, discontinue or settle any litigation or arbitration proceedings (i) where the amount claimed together with any costs incurred or likely to be incurred exceeds CHF 25,000 per item, or (ii) that would reasonably be expected to impose material nonmonetary obligations on the Company;</w:t>
      </w:r>
    </w:p>
    <w:p>
      <w:pPr>
        <w:spacing w:after="0" w:line="228" w:lineRule="exact"/>
        <w:rPr>
          <w:rFonts w:ascii="Arial" w:cs="Arial" w:eastAsia="Arial" w:hAnsi="Arial"/>
          <w:sz w:val="18"/>
          <w:szCs w:val="18"/>
          <w:color w:val="auto"/>
        </w:rPr>
      </w:pPr>
    </w:p>
    <w:p>
      <w:pPr>
        <w:ind w:left="992" w:right="200" w:hanging="902"/>
        <w:spacing w:after="0" w:line="291" w:lineRule="auto"/>
        <w:tabs>
          <w:tab w:leader="none" w:pos="99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enter into, amend or give notice of termination of any Material Contracts with a total annual income or expenditure of more than CHF 100,000, or amend, waive, terminate or consent to the termination of any of the Company's rights thereunder;</w:t>
      </w:r>
    </w:p>
    <w:p>
      <w:pPr>
        <w:spacing w:after="0" w:line="200" w:lineRule="exact"/>
        <w:rPr>
          <w:rFonts w:ascii="Arial" w:cs="Arial" w:eastAsia="Arial" w:hAnsi="Arial"/>
          <w:sz w:val="17"/>
          <w:szCs w:val="17"/>
          <w:color w:val="auto"/>
        </w:rPr>
      </w:pPr>
    </w:p>
    <w:p>
      <w:pPr>
        <w:ind w:left="992" w:right="100" w:hanging="912"/>
        <w:spacing w:after="0" w:line="256"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other Material Contract that cannot be terminated in accordance with its terms (without any compensation being payable) on less than three (3) months' notice or terminate or vary the terms of any such existing Material Contract or material commitment;</w:t>
      </w:r>
    </w:p>
    <w:p>
      <w:pPr>
        <w:spacing w:after="0" w:line="228" w:lineRule="exact"/>
        <w:rPr>
          <w:rFonts w:ascii="Arial" w:cs="Arial" w:eastAsia="Arial" w:hAnsi="Arial"/>
          <w:sz w:val="18"/>
          <w:szCs w:val="18"/>
          <w:color w:val="auto"/>
        </w:rPr>
      </w:pPr>
    </w:p>
    <w:p>
      <w:pPr>
        <w:ind w:left="992" w:right="280" w:hanging="872"/>
        <w:spacing w:after="0" w:line="261" w:lineRule="auto"/>
        <w:tabs>
          <w:tab w:leader="none" w:pos="99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or initiate any material changes to employee packages or compensation, other than the Transaction Bonus and the introduction of a supplemental executive pension plan;</w:t>
      </w:r>
    </w:p>
    <w:p>
      <w:pPr>
        <w:spacing w:after="0" w:line="224" w:lineRule="exact"/>
        <w:rPr>
          <w:rFonts w:ascii="Arial" w:cs="Arial" w:eastAsia="Arial" w:hAnsi="Arial"/>
          <w:sz w:val="18"/>
          <w:szCs w:val="18"/>
          <w:color w:val="auto"/>
        </w:rPr>
      </w:pPr>
    </w:p>
    <w:p>
      <w:pPr>
        <w:jc w:val="both"/>
        <w:ind w:left="992" w:hanging="912"/>
        <w:spacing w:after="0" w:line="256"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any capital expenditures or commitment thereof in excess of CHF 100,000 in the aggregate or fail to make any capital expenditures set forth in the Company's capital expenditure budget as in existence on the date hereof and made available to Buyer;</w:t>
      </w:r>
    </w:p>
    <w:p>
      <w:pPr>
        <w:spacing w:after="0" w:line="228" w:lineRule="exact"/>
        <w:rPr>
          <w:rFonts w:ascii="Arial" w:cs="Arial" w:eastAsia="Arial" w:hAnsi="Arial"/>
          <w:sz w:val="18"/>
          <w:szCs w:val="18"/>
          <w:color w:val="auto"/>
        </w:rPr>
      </w:pPr>
    </w:p>
    <w:p>
      <w:pPr>
        <w:ind w:left="992" w:hanging="952"/>
        <w:spacing w:after="0"/>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do anything that results in a Material Adverse Effect;</w:t>
      </w:r>
    </w:p>
    <w:p>
      <w:pPr>
        <w:spacing w:after="0" w:line="252" w:lineRule="exact"/>
        <w:rPr>
          <w:rFonts w:ascii="Arial" w:cs="Arial" w:eastAsia="Arial" w:hAnsi="Arial"/>
          <w:sz w:val="18"/>
          <w:szCs w:val="18"/>
          <w:color w:val="auto"/>
        </w:rPr>
      </w:pPr>
    </w:p>
    <w:p>
      <w:pPr>
        <w:ind w:left="992" w:right="360" w:hanging="992"/>
        <w:spacing w:after="0" w:line="256" w:lineRule="auto"/>
        <w:tabs>
          <w:tab w:leader="none" w:pos="9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in any transaction with any Sellers and any of their Related Persons (excluding reasonable employment compensation, equity incentives and benefits approved by the board of directors of the Company prior to the date of this Agreement in exchange for services); or</w:t>
      </w:r>
    </w:p>
    <w:p>
      <w:pPr>
        <w:sectPr>
          <w:pgSz w:w="11900" w:h="16838" w:orient="portrait"/>
          <w:cols w:equalWidth="0" w:num="1">
            <w:col w:w="10892"/>
          </w:cols>
          <w:pgMar w:left="628" w:top="1435" w:right="379" w:bottom="1440" w:gutter="0" w:footer="0" w:header="0"/>
        </w:sectPr>
      </w:pPr>
    </w:p>
    <w:bookmarkStart w:id="133" w:name="page134"/>
    <w:bookmarkEnd w:id="133"/>
    <w:p>
      <w:pPr>
        <w:spacing w:after="0" w:line="238" w:lineRule="exact"/>
        <w:rPr>
          <w:sz w:val="20"/>
          <w:szCs w:val="20"/>
          <w:color w:val="auto"/>
        </w:rPr>
      </w:pPr>
    </w:p>
    <w:p>
      <w:pPr>
        <w:ind w:left="1300" w:hanging="912"/>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Buyer Convertible Loan</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and the Buyer agree to defer the Maturity Date as defined in the Convertible Loan Agreement to a date to be mutually agreed upon by the Company and the Buyer but that will not fall earlier than one (1) Business Day after the Closing Date.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7"/>
          <w:szCs w:val="17"/>
          <w:b w:val="1"/>
          <w:bCs w:val="1"/>
          <w:color w:val="auto"/>
        </w:rPr>
        <w:t>Pre-Closing Distribution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The Sellers who are shareholders of the Company shall take all necessary steps to resolve a distribution to all shareholders of the Company immediately following the Exercise Date out of the Company's capital contribution reserves in an amount not to exceed the sum of (i) the Company's cash available as of the Cut-off Date (ii) </w:t>
      </w:r>
      <w:r>
        <w:rPr>
          <w:rFonts w:ascii="Arial" w:cs="Arial" w:eastAsia="Arial" w:hAnsi="Arial"/>
          <w:sz w:val="18"/>
          <w:szCs w:val="18"/>
          <w:i w:val="1"/>
          <w:iCs w:val="1"/>
          <w:color w:val="auto"/>
        </w:rPr>
        <w:t>minus</w:t>
      </w:r>
      <w:r>
        <w:rPr>
          <w:rFonts w:ascii="Arial" w:cs="Arial" w:eastAsia="Arial" w:hAnsi="Arial"/>
          <w:sz w:val="18"/>
          <w:szCs w:val="18"/>
          <w:color w:val="auto"/>
        </w:rPr>
        <w:t xml:space="preserve"> CHF 50,000. The distribution shall be resolved based on the Company's audited year-end financial statements as of December 31, 2022 including the Company's auditor's confirmation explicitly confirming that the proposed distribution complies with the law and the Company’s articles of association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The Company shall provide the Buyer with the drafts of the corporate documents including the Company's draft financial statements as of December 31, 2022 required in order to effect such distribution for prior review no later than three (3) Business Days, followed by the final drafts of these documents including the Company's audited financial statements as of December 31, 2022 (including the final auditors' confirmation about the dividend distribution) no later than one (1) Business Day, prior to the resolution of the distribution by the shareholders of the Company. Without limitation of the foregoing, each Seller agrees to grant, and hereby grants, to [***], each individually, with the right of substitution, all powers to represent such Seller at the ordinary general meeting of shareholders of the Company, even if a plenary meeting in the sense of article 701 CO be held, and to validly exercise such Seller's voting rights in favor of the proposals of the Company's board of directors regarding the following agenda items: (i) approval of Company's audited year-end financial statements as of December 31, 2022; (ii) appropriation of financial results for the year ended December 31, 2022; (iii) approval of the above distribution; (iv) granting discharge from liability to the members of the Company's board of directors and executive management in relation to financial year 2022; (v) re-election of all members of the Company's board of directors; and (vi) re-election of the Company's statutory auditors.</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7"/>
          <w:szCs w:val="17"/>
          <w:b w:val="1"/>
          <w:bCs w:val="1"/>
          <w:color w:val="auto"/>
        </w:rPr>
        <w:t>Access to the Company</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Subject to any constraints under applicable Law, each Party shall use Commercially Reasonable Efforts to ensure that the Buyer is given reasonable access during ordinary business hours to the management, legal and financial advisors and auditors and records of the Company, at the Buyer's cost, to the extent this is necessary for the Buyer or its advisors to perform the obligations under this Agreement,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such access shall not unreasonably interfere with the business and operations of the Company.</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Exercise of Options</w:t>
      </w:r>
    </w:p>
    <w:p>
      <w:pPr>
        <w:spacing w:after="0" w:line="274" w:lineRule="exact"/>
        <w:rPr>
          <w:sz w:val="20"/>
          <w:szCs w:val="20"/>
          <w:color w:val="auto"/>
        </w:rPr>
      </w:pPr>
    </w:p>
    <w:p>
      <w:pPr>
        <w:ind w:left="660" w:right="80" w:hanging="652"/>
        <w:spacing w:after="0" w:line="252" w:lineRule="auto"/>
        <w:tabs>
          <w:tab w:leader="none" w:pos="65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Each Option Holder hereby (i) agrees to exercise his or her Options with effect as of such date that is after January 1, 2023 but prior to the Closing Date as determined by the Company (the </w:t>
      </w:r>
      <w:r>
        <w:rPr>
          <w:rFonts w:ascii="Arial" w:cs="Arial" w:eastAsia="Arial" w:hAnsi="Arial"/>
          <w:sz w:val="18"/>
          <w:szCs w:val="18"/>
          <w:b w:val="1"/>
          <w:bCs w:val="1"/>
          <w:color w:val="auto"/>
        </w:rPr>
        <w:t>Exercise Date</w:t>
      </w:r>
      <w:r>
        <w:rPr>
          <w:rFonts w:ascii="Arial" w:cs="Arial" w:eastAsia="Arial" w:hAnsi="Arial"/>
          <w:sz w:val="18"/>
          <w:szCs w:val="18"/>
          <w:color w:val="auto"/>
        </w:rPr>
        <w:t>), and (ii) undertakes to execute any documents, take all actions and make all payments required under the respective terms of the Options, and in connection with their exercise and settlement. Any Option Holder not having complied with his or her obligation under this Section 3.3 hereby agrees that such Options shall automatically be cancelled, terminated and forfeited without the payment of any consideration therefor with effect as of the Closing.</w:t>
      </w:r>
    </w:p>
    <w:p>
      <w:pPr>
        <w:sectPr>
          <w:pgSz w:w="11900" w:h="16838" w:orient="portrait"/>
          <w:cols w:equalWidth="0" w:num="1">
            <w:col w:w="11220"/>
          </w:cols>
          <w:pgMar w:left="320" w:top="1440" w:right="359" w:bottom="1440" w:gutter="0" w:footer="0" w:header="0"/>
        </w:sectPr>
      </w:pPr>
    </w:p>
    <w:bookmarkStart w:id="134" w:name="page135"/>
    <w:bookmarkEnd w:id="134"/>
    <w:p>
      <w:pPr>
        <w:ind w:left="660" w:right="500" w:hanging="652"/>
        <w:spacing w:after="0" w:line="261" w:lineRule="auto"/>
        <w:tabs>
          <w:tab w:leader="none" w:pos="65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and each Option Holder agree that should Closing not occur, the exercise of the Options and the issuance of the Shares shall be reverted in a manner to be agreed between the Company and each Option Holder in good faith.</w:t>
      </w:r>
    </w:p>
    <w:p>
      <w:pPr>
        <w:spacing w:after="0" w:line="224" w:lineRule="exact"/>
        <w:rPr>
          <w:rFonts w:ascii="Arial" w:cs="Arial" w:eastAsia="Arial" w:hAnsi="Arial"/>
          <w:sz w:val="18"/>
          <w:szCs w:val="18"/>
          <w:color w:val="auto"/>
        </w:rPr>
      </w:pPr>
    </w:p>
    <w:p>
      <w:pPr>
        <w:ind w:left="660" w:hanging="652"/>
        <w:spacing w:after="0" w:line="252" w:lineRule="auto"/>
        <w:tabs>
          <w:tab w:leader="none" w:pos="6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the Closing, the Company shall update its Articles of Association in order to reflect the share capital of the Company and the new Shares issued out of the conditional capital (</w:t>
      </w:r>
      <w:r>
        <w:rPr>
          <w:rFonts w:ascii="Arial" w:cs="Arial" w:eastAsia="Arial" w:hAnsi="Arial"/>
          <w:sz w:val="18"/>
          <w:szCs w:val="18"/>
          <w:i w:val="1"/>
          <w:iCs w:val="1"/>
          <w:color w:val="auto"/>
        </w:rPr>
        <w:t>bedingtes Kapital</w:t>
      </w:r>
      <w:r>
        <w:rPr>
          <w:rFonts w:ascii="Arial" w:cs="Arial" w:eastAsia="Arial" w:hAnsi="Arial"/>
          <w:sz w:val="18"/>
          <w:szCs w:val="18"/>
          <w:color w:val="auto"/>
        </w:rPr>
        <w:t>) of the Company upon exercise of the Options and file for application with the commercial register to enter the amended Articles of Association in the commercial register. The Company shall provide the Buyer with the drafts of the corporate documents including the revised Articles of Association required for this purpose for prior review no later than five (5) Business Days prior to the meeting of the board of directors of the Company to be held in a session with a notary public in Switzerland ascertaining the issuance of Shares out of the conditional capital (</w:t>
      </w:r>
      <w:r>
        <w:rPr>
          <w:rFonts w:ascii="Arial" w:cs="Arial" w:eastAsia="Arial" w:hAnsi="Arial"/>
          <w:sz w:val="18"/>
          <w:szCs w:val="18"/>
          <w:i w:val="1"/>
          <w:iCs w:val="1"/>
          <w:color w:val="auto"/>
        </w:rPr>
        <w:t>bedingtes Kapital</w:t>
      </w:r>
      <w:r>
        <w:rPr>
          <w:rFonts w:ascii="Arial" w:cs="Arial" w:eastAsia="Arial" w:hAnsi="Arial"/>
          <w:sz w:val="18"/>
          <w:szCs w:val="18"/>
          <w:color w:val="auto"/>
        </w:rPr>
        <w:t>) and the amendment of the Articles of Association.</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Closing Memorandum</w:t>
      </w:r>
    </w:p>
    <w:p>
      <w:pPr>
        <w:spacing w:after="0" w:line="27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No later than ten (10) Business Days prior to the anticipated Closing Date, the Sellers' legal counsel, in cooperation with the Buyer's legal counsel, shall prepare a closing memorandum describing the actions required to be taken at the Closing pursuant to Section 4.3 (the </w:t>
      </w:r>
      <w:r>
        <w:rPr>
          <w:rFonts w:ascii="Arial" w:cs="Arial" w:eastAsia="Arial" w:hAnsi="Arial"/>
          <w:sz w:val="18"/>
          <w:szCs w:val="18"/>
          <w:b w:val="1"/>
          <w:bCs w:val="1"/>
          <w:color w:val="auto"/>
        </w:rPr>
        <w:t>Closing Memorandum</w:t>
      </w:r>
      <w:r>
        <w:rPr>
          <w:rFonts w:ascii="Arial" w:cs="Arial" w:eastAsia="Arial" w:hAnsi="Arial"/>
          <w:sz w:val="18"/>
          <w:szCs w:val="18"/>
          <w:color w:val="auto"/>
        </w:rPr>
        <w:t>), substantially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Annex 3.4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204"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2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Date and Place</w:t>
      </w:r>
    </w:p>
    <w:p>
      <w:pPr>
        <w:spacing w:after="0" w:line="274"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Closing shall take place on January 19, 2023 or such other date as the Sellers' Representative and the Buyer may agree.</w:t>
      </w:r>
    </w:p>
    <w:p>
      <w:pPr>
        <w:spacing w:after="0" w:line="252" w:lineRule="exact"/>
        <w:rPr>
          <w:rFonts w:ascii="Arial" w:cs="Arial" w:eastAsia="Arial" w:hAnsi="Arial"/>
          <w:sz w:val="18"/>
          <w:szCs w:val="18"/>
          <w:color w:val="auto"/>
        </w:rPr>
      </w:pPr>
    </w:p>
    <w:p>
      <w:pPr>
        <w:ind w:left="660" w:right="20" w:hanging="652"/>
        <w:spacing w:after="0" w:line="261" w:lineRule="auto"/>
        <w:tabs>
          <w:tab w:leader="none" w:pos="6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Closing shall take place at the offices of Homburger AG, Prime Tower, Hardstrasse 201, CH-8005 Zurich, Switzerland, or at such other location as the Sellers' Representative and the Buyer may agree.</w:t>
      </w:r>
    </w:p>
    <w:p>
      <w:pPr>
        <w:spacing w:after="0" w:line="224" w:lineRule="exact"/>
        <w:rPr>
          <w:rFonts w:ascii="Arial" w:cs="Arial" w:eastAsia="Arial" w:hAnsi="Arial"/>
          <w:sz w:val="18"/>
          <w:szCs w:val="18"/>
          <w:color w:val="auto"/>
        </w:rPr>
      </w:pPr>
    </w:p>
    <w:p>
      <w:pPr>
        <w:ind w:left="660" w:right="120" w:hanging="652"/>
        <w:spacing w:after="0" w:line="261" w:lineRule="auto"/>
        <w:tabs>
          <w:tab w:leader="none" w:pos="6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Neither the Sellers nor the Buyer shall be obliged to complete the sale or purchase of any of the Shares unless all of the Shares are sold and purchased simultaneously.</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Conditions Precedent to the Closing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7"/>
          <w:szCs w:val="17"/>
          <w:b w:val="1"/>
          <w:bCs w:val="1"/>
          <w:color w:val="auto"/>
        </w:rPr>
        <w:t>Conditions to the Obligations of Each Party</w:t>
      </w:r>
    </w:p>
    <w:p>
      <w:pPr>
        <w:spacing w:after="0" w:line="27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obligations of the Buyer and each Seller to consummate the transactions contemplated under this Agreement shall be subject to the satisfaction or (where permitted) waiver by the Buyer and each Seller on or prior to the Closing Date of the following condition:</w:t>
      </w:r>
    </w:p>
    <w:p>
      <w:pPr>
        <w:spacing w:after="0" w:line="225" w:lineRule="exact"/>
        <w:rPr>
          <w:sz w:val="20"/>
          <w:szCs w:val="20"/>
          <w:color w:val="auto"/>
        </w:rPr>
      </w:pPr>
    </w:p>
    <w:p>
      <w:pPr>
        <w:jc w:val="both"/>
        <w:ind w:left="660" w:right="500" w:hanging="652"/>
        <w:spacing w:after="0" w:line="256"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action shall be pending or threatened and no order, Law, injunction or decree of any court, administrative body or arbitration tribunal shall exist that has the effect of making illegal or otherwise preventing or prohibiting, or that seeks to enjoin, restrain, or impede the consummation of the Transaction.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7"/>
          <w:szCs w:val="17"/>
          <w:b w:val="1"/>
          <w:bCs w:val="1"/>
          <w:color w:val="auto"/>
        </w:rPr>
        <w:t>Conditions to the Obligations of the Buyer</w:t>
      </w:r>
    </w:p>
    <w:p>
      <w:pPr>
        <w:spacing w:after="0" w:line="27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obligation of the Buyer to consummate the transactions contemplated under this Agreement shall be subject to the satisfaction or waiver by the Buyer on or prior to the Closing Date of the following conditions:</w:t>
      </w:r>
    </w:p>
    <w:p>
      <w:pPr>
        <w:sectPr>
          <w:pgSz w:w="11900" w:h="16838" w:orient="portrait"/>
          <w:cols w:equalWidth="0" w:num="1">
            <w:col w:w="11240"/>
          </w:cols>
          <w:pgMar w:left="320" w:top="1435" w:right="339" w:bottom="1440" w:gutter="0" w:footer="0" w:header="0"/>
        </w:sectPr>
      </w:pPr>
    </w:p>
    <w:bookmarkStart w:id="135" w:name="page136"/>
    <w:bookmarkEnd w:id="135"/>
    <w:p>
      <w:pPr>
        <w:ind w:left="640" w:hanging="632"/>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Material Adverse Effect shall have occurred.</w:t>
      </w:r>
    </w:p>
    <w:p>
      <w:pPr>
        <w:spacing w:after="0" w:line="252" w:lineRule="exact"/>
        <w:rPr>
          <w:rFonts w:ascii="Arial" w:cs="Arial" w:eastAsia="Arial" w:hAnsi="Arial"/>
          <w:sz w:val="18"/>
          <w:szCs w:val="18"/>
          <w:color w:val="auto"/>
        </w:rPr>
      </w:pPr>
    </w:p>
    <w:p>
      <w:pPr>
        <w:ind w:left="660" w:right="180" w:hanging="652"/>
        <w:spacing w:after="0" w:line="256"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Fundamental Representations (as defined below) shall be true and correct in all respects as of the date of this Agreement and as of the Closing Date (except, in each case, to the extent such Fundamental Representations are made on and as of a specified date and shall continue on the Closing Date to be so true and correct as of the specified date).</w:t>
      </w:r>
    </w:p>
    <w:p>
      <w:pPr>
        <w:spacing w:after="0" w:line="228" w:lineRule="exact"/>
        <w:rPr>
          <w:rFonts w:ascii="Arial" w:cs="Arial" w:eastAsia="Arial" w:hAnsi="Arial"/>
          <w:sz w:val="18"/>
          <w:szCs w:val="18"/>
          <w:color w:val="auto"/>
        </w:rPr>
      </w:pPr>
    </w:p>
    <w:p>
      <w:pPr>
        <w:jc w:val="both"/>
        <w:ind w:left="660" w:right="40" w:hanging="652"/>
        <w:spacing w:after="0" w:line="256" w:lineRule="auto"/>
        <w:tabs>
          <w:tab w:leader="none" w:pos="6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Business Representations shall be true and correct in all material respects as of the date of this Agreement and as of the Closing Date (except, in each case, to the extent such Business Representations are made on and as of a specified date and shall continue on the Closing Date to be so true and correct in all material respects as of the specified date).</w:t>
      </w:r>
    </w:p>
    <w:p>
      <w:pPr>
        <w:spacing w:after="0" w:line="228" w:lineRule="exact"/>
        <w:rPr>
          <w:rFonts w:ascii="Arial" w:cs="Arial" w:eastAsia="Arial" w:hAnsi="Arial"/>
          <w:sz w:val="18"/>
          <w:szCs w:val="18"/>
          <w:color w:val="auto"/>
        </w:rPr>
      </w:pPr>
    </w:p>
    <w:p>
      <w:pPr>
        <w:ind w:left="660" w:right="440" w:hanging="652"/>
        <w:spacing w:after="0" w:line="261"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Each Key Person shall have executed a revised employment agreement with the Company substantially in accordance with the terms set forth in </w:t>
      </w:r>
      <w:r>
        <w:rPr>
          <w:rFonts w:ascii="Arial" w:cs="Arial" w:eastAsia="Arial" w:hAnsi="Arial"/>
          <w:sz w:val="18"/>
          <w:szCs w:val="18"/>
          <w:u w:val="single" w:color="auto"/>
          <w:color w:val="auto"/>
        </w:rPr>
        <w:t>Annex 4.2.2(d)</w:t>
      </w:r>
      <w:r>
        <w:rPr>
          <w:rFonts w:ascii="Arial" w:cs="Arial" w:eastAsia="Arial" w:hAnsi="Arial"/>
          <w:sz w:val="18"/>
          <w:szCs w:val="18"/>
          <w:color w:val="auto"/>
        </w:rPr>
        <w:t xml:space="preserve"> (the </w:t>
      </w:r>
      <w:r>
        <w:rPr>
          <w:rFonts w:ascii="Arial" w:cs="Arial" w:eastAsia="Arial" w:hAnsi="Arial"/>
          <w:sz w:val="18"/>
          <w:szCs w:val="18"/>
          <w:b w:val="1"/>
          <w:bCs w:val="1"/>
          <w:color w:val="auto"/>
        </w:rPr>
        <w:t>Employment Agreements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hanging="652"/>
        <w:spacing w:after="0" w:line="256"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more than 20% of all employees of the Company (excluding the Key Persons) shall have given notice of resignation between the date of this Agreement and the Closing Date, unless such employees have been replaced with or substituted by employees with comparable qualifications at comparable terms.</w:t>
      </w:r>
    </w:p>
    <w:p>
      <w:pPr>
        <w:spacing w:after="0" w:line="228" w:lineRule="exact"/>
        <w:rPr>
          <w:rFonts w:ascii="Arial" w:cs="Arial" w:eastAsia="Arial" w:hAnsi="Arial"/>
          <w:sz w:val="18"/>
          <w:szCs w:val="18"/>
          <w:color w:val="auto"/>
        </w:rPr>
      </w:pPr>
    </w:p>
    <w:p>
      <w:pPr>
        <w:ind w:left="660" w:right="140" w:hanging="652"/>
        <w:spacing w:after="0" w:line="261" w:lineRule="auto"/>
        <w:tabs>
          <w:tab w:leader="none" w:pos="65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Sellers shall in all material respects have performed or complied with all obligations and covenants required by this Agreement to be performed or complied with by the Sellers by the Closing.</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7"/>
          <w:szCs w:val="17"/>
          <w:b w:val="1"/>
          <w:bCs w:val="1"/>
          <w:color w:val="auto"/>
        </w:rPr>
        <w:t>Conditions to the Obligations of the Sellers</w:t>
      </w:r>
    </w:p>
    <w:p>
      <w:pPr>
        <w:spacing w:after="0" w:line="27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obligation of the Sellers to consummate the transactions contemplated under this Agreement shall be subject to the satisfaction or waiver by the Sellers of the following conditions:</w:t>
      </w:r>
    </w:p>
    <w:p>
      <w:pPr>
        <w:spacing w:after="0" w:line="225" w:lineRule="exact"/>
        <w:rPr>
          <w:sz w:val="20"/>
          <w:szCs w:val="20"/>
          <w:color w:val="auto"/>
        </w:rPr>
      </w:pPr>
    </w:p>
    <w:p>
      <w:pPr>
        <w:ind w:left="660" w:hanging="652"/>
        <w:spacing w:after="0" w:line="261"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Buyer Representations set forth in Section 7.3 shall be true and correct in all respects as of the date of this Agreement and as of the Closing Date.</w:t>
      </w:r>
    </w:p>
    <w:p>
      <w:pPr>
        <w:spacing w:after="0" w:line="224" w:lineRule="exact"/>
        <w:rPr>
          <w:rFonts w:ascii="Arial" w:cs="Arial" w:eastAsia="Arial" w:hAnsi="Arial"/>
          <w:sz w:val="18"/>
          <w:szCs w:val="18"/>
          <w:color w:val="auto"/>
        </w:rPr>
      </w:pPr>
    </w:p>
    <w:p>
      <w:pPr>
        <w:ind w:left="660" w:right="40" w:hanging="652"/>
        <w:spacing w:after="0" w:line="261"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Buyer shall in all material respects have performed or complied with all obligations and covenants required by this Agreement to be performed or complied with by the Closing.</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7"/>
          <w:szCs w:val="17"/>
          <w:b w:val="1"/>
          <w:bCs w:val="1"/>
          <w:color w:val="auto"/>
        </w:rPr>
        <w:t>Waiver of Conditions Not Satisfied</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Prior to the Closing, each Party shall inform the other Party(ies) immediately upon becoming aware of any fact or matter that constitutes or could reasonably be expected to constitute a breach or non-satisfaction of the conditions set forth in Section 4.2.1, Section 4.2.2 or Section 4.2.3. At any time prior to the Closing, (a) the Sellers' Representative and the Buyer may jointly waive in writing in whole or in part the conditions set forth in Section 4.2.1, (b) the Buyer may waive in writing in whole or in part the conditions set forth in Section 4.2.2, and (c) the Sellers' Representative may waive in writing in whole or in part the conditions set forth in Section 4.2.3.</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7"/>
          <w:szCs w:val="17"/>
          <w:b w:val="1"/>
          <w:bCs w:val="1"/>
          <w:color w:val="auto"/>
        </w:rPr>
        <w:t>Right of Termination</w:t>
      </w:r>
    </w:p>
    <w:p>
      <w:pPr>
        <w:spacing w:after="0" w:line="274"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Agreement may be terminated as follows:</w:t>
      </w:r>
    </w:p>
    <w:p>
      <w:pPr>
        <w:spacing w:after="0" w:line="252" w:lineRule="exact"/>
        <w:rPr>
          <w:rFonts w:ascii="Arial" w:cs="Arial" w:eastAsia="Arial" w:hAnsi="Arial"/>
          <w:sz w:val="18"/>
          <w:szCs w:val="18"/>
          <w:color w:val="auto"/>
        </w:rPr>
      </w:pPr>
    </w:p>
    <w:p>
      <w:pPr>
        <w:ind w:left="1300" w:hanging="642"/>
        <w:spacing w:after="0"/>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By the mutual written agreement of the Sellers and the Buyer.</w:t>
      </w:r>
    </w:p>
    <w:p>
      <w:pPr>
        <w:spacing w:after="0" w:line="252" w:lineRule="exact"/>
        <w:rPr>
          <w:rFonts w:ascii="Arial" w:cs="Arial" w:eastAsia="Arial" w:hAnsi="Arial"/>
          <w:sz w:val="18"/>
          <w:szCs w:val="18"/>
          <w:color w:val="auto"/>
        </w:rPr>
      </w:pPr>
    </w:p>
    <w:p>
      <w:pPr>
        <w:ind w:left="1300" w:right="300" w:hanging="682"/>
        <w:spacing w:after="0" w:line="261" w:lineRule="auto"/>
        <w:tabs>
          <w:tab w:leader="none" w:pos="13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By each Party by giving written notice to the other Party, if any of the conditions set forth in Section 4.2 is not satisfied (or waived) on or before February 28, 2023 (the </w:t>
      </w:r>
      <w:r>
        <w:rPr>
          <w:rFonts w:ascii="Arial" w:cs="Arial" w:eastAsia="Arial" w:hAnsi="Arial"/>
          <w:sz w:val="18"/>
          <w:szCs w:val="18"/>
          <w:b w:val="1"/>
          <w:bCs w:val="1"/>
          <w:color w:val="auto"/>
        </w:rPr>
        <w:t>Long Stop</w:t>
      </w:r>
    </w:p>
    <w:p>
      <w:pPr>
        <w:sectPr>
          <w:pgSz w:w="11900" w:h="16838" w:orient="portrait"/>
          <w:cols w:equalWidth="0" w:num="1">
            <w:col w:w="11200"/>
          </w:cols>
          <w:pgMar w:left="320" w:top="1435" w:right="379" w:bottom="1440" w:gutter="0" w:footer="0" w:header="0"/>
        </w:sectPr>
      </w:pPr>
    </w:p>
    <w:bookmarkStart w:id="136" w:name="page137"/>
    <w:bookmarkEnd w:id="136"/>
    <w:p>
      <w:pPr>
        <w:ind w:left="1300"/>
        <w:spacing w:after="0" w:line="254" w:lineRule="auto"/>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such non-satisfaction was not caused, or principally caused, by a material breach by the terminating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of any of its or his or her obligations under the Agreement, and further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Long Stop Date shall be extended (1) until March 31, 2023 if the European Commission informs the Buyer and/or any of the Sellers in the course of February 2023 that it invited the member states of the European Union (each a </w:t>
      </w:r>
      <w:r>
        <w:rPr>
          <w:rFonts w:ascii="Arial" w:cs="Arial" w:eastAsia="Arial" w:hAnsi="Arial"/>
          <w:sz w:val="18"/>
          <w:szCs w:val="18"/>
          <w:b w:val="1"/>
          <w:bCs w:val="1"/>
          <w:color w:val="auto"/>
        </w:rPr>
        <w:t>Member State</w:t>
      </w:r>
      <w:r>
        <w:rPr>
          <w:rFonts w:ascii="Arial" w:cs="Arial" w:eastAsia="Arial" w:hAnsi="Arial"/>
          <w:sz w:val="18"/>
          <w:szCs w:val="18"/>
          <w:color w:val="auto"/>
        </w:rPr>
        <w:t>) to make a referral request according to article 22 of the EU Merger Regulation or (2) until May 15, 2023 if the European Commission informs the Buyer and/or any of the Sellers in the course of February 2023, or, in case of an invitation to make a referral request referred to in paragraph (1) above, in the course of March 2023 about Member State(s) having made such referral request. Should the European Commission adopt a decision to examine the concentration or be deemed to have adopted a decision to examine the concentration (by expiry of the applicable statutory time limit to adopt such decision) until May 15, 2023, the Buyer and the Sellers may mutually agree on a further extension of the Long Stop Date.</w:t>
      </w:r>
    </w:p>
    <w:p>
      <w:pPr>
        <w:spacing w:after="0" w:line="234" w:lineRule="exact"/>
        <w:rPr>
          <w:sz w:val="20"/>
          <w:szCs w:val="20"/>
          <w:color w:val="auto"/>
        </w:rPr>
      </w:pPr>
    </w:p>
    <w:p>
      <w:pPr>
        <w:ind w:left="660" w:right="80" w:hanging="652"/>
        <w:spacing w:after="0" w:line="252"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Section 4.2.5(a)(ii), such termination shall be without Liability of any Party to the other Party(ies);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termination is the result of a failure of a Party to fulfill any other obligation under this Agreement, such Party shall, notwithstanding any other provision of this Agreement, be liable for all losses incurred or sustained by the other Party as a result of such misconduct or failure; it being agreed and understood that, in addition to such Liability, (i) either Party shall be entitled to seek relief in the form of specific performance, injunctions or other interim measures and (ii) the other Party shall not oppose the granting of such relief on the basis that the Party seeking such relief may be made whole by the payment of a monetary amount. Nothing in this Section 4.2.5(b) shall be deemed to release any Party from any Liability for any breach by such Party of the terms and provisions of this Agreement.</w:t>
      </w:r>
    </w:p>
    <w:p>
      <w:pPr>
        <w:spacing w:after="0" w:line="232" w:lineRule="exact"/>
        <w:rPr>
          <w:rFonts w:ascii="Arial" w:cs="Arial" w:eastAsia="Arial" w:hAnsi="Arial"/>
          <w:sz w:val="18"/>
          <w:szCs w:val="18"/>
          <w:color w:val="auto"/>
        </w:rPr>
      </w:pPr>
    </w:p>
    <w:p>
      <w:pPr>
        <w:ind w:left="660" w:right="80" w:hanging="652"/>
        <w:spacing w:after="0" w:line="265" w:lineRule="auto"/>
        <w:tabs>
          <w:tab w:leader="none" w:pos="65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If this Agreement is terminated pursuant to this Section 4.2.5, upon the request of a Party, the other Party(ies) shall, and shall cause its Affiliates and its and their respective directors, officers, employees and advisors to, return or cause to be returned or destroyed (with certification thereof, if so requested by a Party) reasonably promptly all documents and information received from the requesting Party relating to the transactions contemplated hereby, whether so obtained before or after the date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ind w:left="660" w:right="32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 each advisor to such other Party may retain one copy for its files of each such document and information that it is required to retain in its capacity as professional advisor and (ii) each Party may keep copies of any computer records or files containing such information which have been created as a result of archiving or back-up procedures for legal, regulatory or internal compliance or governance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advisor agrees to keep such document or information confidential.</w:t>
      </w:r>
    </w:p>
    <w:p>
      <w:pPr>
        <w:spacing w:after="0" w:line="217" w:lineRule="exact"/>
        <w:rPr>
          <w:rFonts w:ascii="Arial" w:cs="Arial" w:eastAsia="Arial" w:hAnsi="Arial"/>
          <w:sz w:val="17"/>
          <w:szCs w:val="17"/>
          <w:color w:val="auto"/>
        </w:rPr>
      </w:pPr>
    </w:p>
    <w:p>
      <w:pPr>
        <w:ind w:left="660" w:right="340" w:hanging="652"/>
        <w:spacing w:after="0" w:line="261"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this Agreement is terminated pursuant to this Section 4.2.5, this Agreement shall cease to be effective, except for the Surviving Provisions.</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Closing Actions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Actions by the Sellers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the Sellers shall deliver to the Buyer the following documents:</w:t>
      </w:r>
    </w:p>
    <w:p>
      <w:pPr>
        <w:spacing w:after="0" w:line="252" w:lineRule="exact"/>
        <w:rPr>
          <w:sz w:val="20"/>
          <w:szCs w:val="20"/>
          <w:color w:val="auto"/>
        </w:rPr>
      </w:pPr>
    </w:p>
    <w:p>
      <w:pPr>
        <w:ind w:left="660" w:right="180" w:hanging="652"/>
        <w:spacing w:after="0" w:line="256"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original or a certified copy of any power of attorney under which any of the actions referred to in this Section 4.3.1 are executed, including (if applicable) evidence reasonably satisfactory to the Buyer of the authority of any Person signing on behalf of the respective Seller;</w:t>
      </w:r>
    </w:p>
    <w:p>
      <w:pPr>
        <w:spacing w:after="0" w:line="228" w:lineRule="exact"/>
        <w:rPr>
          <w:rFonts w:ascii="Arial" w:cs="Arial" w:eastAsia="Arial" w:hAnsi="Arial"/>
          <w:sz w:val="18"/>
          <w:szCs w:val="18"/>
          <w:color w:val="auto"/>
        </w:rPr>
      </w:pPr>
    </w:p>
    <w:p>
      <w:pPr>
        <w:ind w:left="660" w:right="40" w:hanging="652"/>
        <w:spacing w:after="0" w:line="261"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assignment declarations as may be required under applicable Law to transfer the Shares and all rights associated therewith from the Sellers to the Buyer;</w:t>
      </w:r>
    </w:p>
    <w:p>
      <w:pPr>
        <w:sectPr>
          <w:pgSz w:w="11900" w:h="16838" w:orient="portrait"/>
          <w:cols w:equalWidth="0" w:num="1">
            <w:col w:w="11220"/>
          </w:cols>
          <w:pgMar w:left="320" w:top="1413" w:right="359" w:bottom="1440" w:gutter="0" w:footer="0" w:header="0"/>
        </w:sectPr>
      </w:pPr>
    </w:p>
    <w:bookmarkStart w:id="137" w:name="page138"/>
    <w:bookmarkEnd w:id="137"/>
    <w:p>
      <w:pPr>
        <w:spacing w:after="0" w:line="238" w:lineRule="exact"/>
        <w:rPr>
          <w:sz w:val="20"/>
          <w:szCs w:val="20"/>
          <w:color w:val="auto"/>
        </w:rPr>
      </w:pPr>
    </w:p>
    <w:p>
      <w:pPr>
        <w:ind w:left="660" w:right="540" w:hanging="652"/>
        <w:spacing w:after="0" w:line="256" w:lineRule="auto"/>
        <w:tabs>
          <w:tab w:leader="none" w:pos="6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originals of all corporate actions required under applicable Law and the Articles of Association to approve (i) the transfer of the Shares from the Sellers to the Buyer and (ii) the entry of the Buyer in the share register of the Company as owner of, and a shareholder with voting rights with respect to, the Shares;</w:t>
      </w:r>
    </w:p>
    <w:p>
      <w:pPr>
        <w:spacing w:after="0" w:line="228" w:lineRule="exact"/>
        <w:rPr>
          <w:rFonts w:ascii="Arial" w:cs="Arial" w:eastAsia="Arial" w:hAnsi="Arial"/>
          <w:sz w:val="18"/>
          <w:szCs w:val="18"/>
          <w:color w:val="auto"/>
        </w:rPr>
      </w:pPr>
    </w:p>
    <w:p>
      <w:pPr>
        <w:ind w:left="660" w:right="260" w:hanging="652"/>
        <w:spacing w:after="0" w:line="261" w:lineRule="auto"/>
        <w:tabs>
          <w:tab w:leader="none" w:pos="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Company's share register evidencing the Buyer as owner of, and a shareholder with voting rights with respect to, all (100%) of the Shares;</w:t>
      </w:r>
    </w:p>
    <w:p>
      <w:pPr>
        <w:spacing w:after="0" w:line="224" w:lineRule="exact"/>
        <w:rPr>
          <w:rFonts w:ascii="Arial" w:cs="Arial" w:eastAsia="Arial" w:hAnsi="Arial"/>
          <w:sz w:val="18"/>
          <w:szCs w:val="18"/>
          <w:color w:val="auto"/>
        </w:rPr>
      </w:pPr>
    </w:p>
    <w:p>
      <w:pPr>
        <w:ind w:left="660" w:right="580" w:hanging="652"/>
        <w:spacing w:after="0" w:line="261" w:lineRule="auto"/>
        <w:tabs>
          <w:tab w:leader="none" w:pos="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confirmation (as part of the Closing Memorandum) that the conditions set forth in Section 4.2.1 and Section 4.2.2 have been satisfied; and</w:t>
      </w:r>
    </w:p>
    <w:p>
      <w:pPr>
        <w:spacing w:after="0" w:line="224" w:lineRule="exact"/>
        <w:rPr>
          <w:rFonts w:ascii="Arial" w:cs="Arial" w:eastAsia="Arial" w:hAnsi="Arial"/>
          <w:sz w:val="18"/>
          <w:szCs w:val="18"/>
          <w:color w:val="auto"/>
        </w:rPr>
      </w:pPr>
    </w:p>
    <w:p>
      <w:pPr>
        <w:ind w:left="660" w:right="360" w:hanging="652"/>
        <w:spacing w:after="0" w:line="254" w:lineRule="auto"/>
        <w:tabs>
          <w:tab w:leader="none" w:pos="6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resignation letters in form and substance reasonably acceptable to the Buyer from each member of the board of directors of the Company, pursuant to which such member (i) declares his or her resignation as of the Closing Date as a member of the board of directors of the Company and (ii) waives any rights of any kind whatsoever he or she has against the Company arising out of, in connection with, or relating to his or her board membership.</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Actions by the Buyer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the Buyer shall, or shall cause its Affiliates to, perform the following actions:</w:t>
      </w:r>
    </w:p>
    <w:p>
      <w:pPr>
        <w:spacing w:after="0" w:line="252" w:lineRule="exact"/>
        <w:rPr>
          <w:sz w:val="20"/>
          <w:szCs w:val="20"/>
          <w:color w:val="auto"/>
        </w:rPr>
      </w:pPr>
    </w:p>
    <w:p>
      <w:pPr>
        <w:ind w:left="660" w:right="80" w:hanging="652"/>
        <w:spacing w:after="0" w:line="256"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to the Sellers an original or a certified copy of any power of attorney under which any of the actions referred to in this Section 4.3.2 are executed, including evidence reasonably satisfactory to the Sellers of the authority of any Person signing on behalf of the Buyer;</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the Preliminary Closing Consideration minus the Estimated Closing Employee Payroll Taxes Amount to the Sellers by wire transfer of immediately available funds to be credited on the same day, free and clear of any costs and charges, in accordance with the wire instructions set forth in the Closing Payment Statement;</w:t>
      </w:r>
    </w:p>
    <w:p>
      <w:pPr>
        <w:spacing w:after="0" w:line="228" w:lineRule="exact"/>
        <w:rPr>
          <w:rFonts w:ascii="Arial" w:cs="Arial" w:eastAsia="Arial" w:hAnsi="Arial"/>
          <w:sz w:val="18"/>
          <w:szCs w:val="18"/>
          <w:color w:val="auto"/>
        </w:rPr>
      </w:pPr>
    </w:p>
    <w:p>
      <w:pPr>
        <w:ind w:left="660" w:hanging="652"/>
        <w:spacing w:after="0" w:line="252" w:lineRule="auto"/>
        <w:tabs>
          <w:tab w:leader="none" w:pos="6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the Estimated Closing Employee Payroll Taxes Amount to the Company by wire transfer of immediately available funds to be credited on the same day to the account of the Company designated by the Sellers, free and clear of any costs and charges, in accordance with the wire instructions set forth in the Closing Payment Statement, provided that the Buyer shall procure that the Company uses the Estimated Closing Employee Payroll Taxes Amount only for payment of Closing Payroll Taxes, and that the Buyer shall procure that the Company pays them promptly to the relevant Tax Authorities in full and final discharge of the relevant Tax liabilities;</w:t>
      </w:r>
    </w:p>
    <w:p>
      <w:pPr>
        <w:spacing w:after="0" w:line="235" w:lineRule="exact"/>
        <w:rPr>
          <w:rFonts w:ascii="Arial" w:cs="Arial" w:eastAsia="Arial" w:hAnsi="Arial"/>
          <w:sz w:val="18"/>
          <w:szCs w:val="18"/>
          <w:color w:val="auto"/>
        </w:rPr>
      </w:pPr>
    </w:p>
    <w:p>
      <w:pPr>
        <w:ind w:left="660" w:right="60" w:hanging="652"/>
        <w:spacing w:after="0" w:line="256"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the Sellers' Advisor Closing Fees Amount to SVB Securities LLC and the Sellers' Legal Fees Amount to Homburger AG by wire transfer of immediately available funds to be credited on the same day to the accounts designated by the Sellers, free and clear of any costs and charges, in accordance with the wire instructions set forth in the Closing Payment Statement;</w:t>
      </w:r>
    </w:p>
    <w:p>
      <w:pPr>
        <w:spacing w:after="0" w:line="228" w:lineRule="exact"/>
        <w:rPr>
          <w:rFonts w:ascii="Arial" w:cs="Arial" w:eastAsia="Arial" w:hAnsi="Arial"/>
          <w:sz w:val="18"/>
          <w:szCs w:val="18"/>
          <w:color w:val="auto"/>
        </w:rPr>
      </w:pPr>
    </w:p>
    <w:p>
      <w:pPr>
        <w:ind w:left="660" w:right="240" w:hanging="652"/>
        <w:spacing w:after="0" w:line="261"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to the Sellers a confirmation (as part of the Closing Memorandum) that the conditions set forth in Section 4.2.1 and Section 4.2.3 have been satisfied;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 to the Company a notification regarding beneficial ownership to the Shares as required by article 697j CO.</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Concurrent Closing Actions</w:t>
      </w:r>
    </w:p>
    <w:p>
      <w:pPr>
        <w:spacing w:after="0" w:line="25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The closing actions of the Parties shall be effected concurrently with, and in exchange for (</w:t>
      </w:r>
      <w:r>
        <w:rPr>
          <w:rFonts w:ascii="Arial" w:cs="Arial" w:eastAsia="Arial" w:hAnsi="Arial"/>
          <w:sz w:val="18"/>
          <w:szCs w:val="18"/>
          <w:i w:val="1"/>
          <w:iCs w:val="1"/>
          <w:color w:val="auto"/>
        </w:rPr>
        <w:t>Zug um Zug</w:t>
      </w:r>
      <w:r>
        <w:rPr>
          <w:rFonts w:ascii="Arial" w:cs="Arial" w:eastAsia="Arial" w:hAnsi="Arial"/>
          <w:sz w:val="18"/>
          <w:szCs w:val="18"/>
          <w:color w:val="auto"/>
        </w:rPr>
        <w:t>), each other pursuant to article 82 CO. All documents and items delivered at the Closing pursuant to this</w:t>
      </w:r>
    </w:p>
    <w:p>
      <w:pPr>
        <w:sectPr>
          <w:pgSz w:w="11900" w:h="16838" w:orient="portrait"/>
          <w:cols w:equalWidth="0" w:num="1">
            <w:col w:w="11220"/>
          </w:cols>
          <w:pgMar w:left="320" w:top="1440" w:right="359" w:bottom="1440" w:gutter="0" w:footer="0" w:header="0"/>
        </w:sectPr>
      </w:pPr>
    </w:p>
    <w:bookmarkStart w:id="138" w:name="page139"/>
    <w:bookmarkEnd w:id="138"/>
    <w:p>
      <w:pPr>
        <w:ind w:right="80"/>
        <w:spacing w:after="0" w:line="252" w:lineRule="auto"/>
        <w:rPr>
          <w:sz w:val="20"/>
          <w:szCs w:val="20"/>
          <w:color w:val="auto"/>
        </w:rPr>
      </w:pPr>
      <w:r>
        <w:rPr>
          <w:rFonts w:ascii="Arial" w:cs="Arial" w:eastAsia="Arial" w:hAnsi="Arial"/>
          <w:sz w:val="18"/>
          <w:szCs w:val="18"/>
          <w:color w:val="auto"/>
        </w:rPr>
        <w:t>Section 4.3 shall be held by the recipient to the order of the person delivering the same until such time as Closing shall be deemed to have taken place. All documents to be delivered by the Parties at the Closing in accordance with this Section 4.3 shall be deemed to have been executed and delivered and shall cease to be held to the order of the Person delivering them and Closing shall be deemed to have occurred only if and when all such documents have been delivered in accordance with this Agreement (or their delivery waived by the Person entitled to receive the relevant document or item) and the electronic funds transfers in accordance with Sections 4.3.2(b), 4.3.2(c) and 4.3.2(d) have been received.</w:t>
      </w:r>
    </w:p>
    <w:p>
      <w:pPr>
        <w:spacing w:after="0" w:line="213"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Covenants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Financing Undertakings</w:t>
      </w:r>
    </w:p>
    <w:p>
      <w:pPr>
        <w:spacing w:after="0" w:line="274" w:lineRule="exact"/>
        <w:rPr>
          <w:sz w:val="20"/>
          <w:szCs w:val="20"/>
          <w:color w:val="auto"/>
        </w:rPr>
      </w:pPr>
    </w:p>
    <w:p>
      <w:pPr>
        <w:ind w:left="660" w:right="280" w:hanging="652"/>
        <w:spacing w:after="0" w:line="261" w:lineRule="auto"/>
        <w:tabs>
          <w:tab w:leader="none" w:pos="6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Buyer's obligations under this Agreement are not subject to any conditions regarding its or any other person's ability to obtain financing for the consummation of the Transaction.</w:t>
      </w:r>
    </w:p>
    <w:p>
      <w:pPr>
        <w:spacing w:after="0" w:line="224" w:lineRule="exact"/>
        <w:rPr>
          <w:rFonts w:ascii="Arial" w:cs="Arial" w:eastAsia="Arial" w:hAnsi="Arial"/>
          <w:sz w:val="18"/>
          <w:szCs w:val="18"/>
          <w:color w:val="auto"/>
        </w:rPr>
      </w:pPr>
    </w:p>
    <w:p>
      <w:pPr>
        <w:ind w:left="660" w:right="740" w:hanging="652"/>
        <w:spacing w:after="0" w:line="261" w:lineRule="auto"/>
        <w:tabs>
          <w:tab w:leader="none" w:pos="6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Buyer undertakes that it has, and at the Closing will have, the necessary cash resources and/or definitive fundable loan agreements from its financing sources which together are sufficient to meet its obligations under this Agreement.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Press Releases and Other Public Announcements</w:t>
      </w:r>
    </w:p>
    <w:p>
      <w:pPr>
        <w:spacing w:after="0" w:line="274"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From the date of this Agreement, all public announcements or press releases concerning any of the transactions contemplated by this Agreement shall only be issued after the Parties shall have consulted and agreed on the contents and timing of the relevant public announcement or press release. Notwithstanding the foregoing, nothing in this Agreement shall restrict or prohibit:</w:t>
      </w:r>
    </w:p>
    <w:p>
      <w:pPr>
        <w:spacing w:after="0" w:line="229" w:lineRule="exact"/>
        <w:rPr>
          <w:sz w:val="20"/>
          <w:szCs w:val="20"/>
          <w:color w:val="auto"/>
        </w:rPr>
      </w:pPr>
    </w:p>
    <w:p>
      <w:pPr>
        <w:ind w:left="660" w:right="440" w:hanging="652"/>
        <w:spacing w:after="0" w:line="256"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announcement or disclosure required by Law, any competent judicial or regulatory authority or any competent securities exchange or applicable securities Laws or stock exchange regulations (in which case the Parties shall endeavor in good faith to agree on the content of any such announcement or disclosure prior to its issuance); or</w:t>
      </w:r>
    </w:p>
    <w:p>
      <w:pPr>
        <w:spacing w:after="0" w:line="228" w:lineRule="exact"/>
        <w:rPr>
          <w:rFonts w:ascii="Arial" w:cs="Arial" w:eastAsia="Arial" w:hAnsi="Arial"/>
          <w:sz w:val="18"/>
          <w:szCs w:val="18"/>
          <w:color w:val="auto"/>
        </w:rPr>
      </w:pPr>
    </w:p>
    <w:p>
      <w:pPr>
        <w:ind w:left="660" w:hanging="652"/>
        <w:spacing w:after="0" w:line="254"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Buyer and the Sellers from making any disclosure to any of their respective Representatives, Affiliates or their Affiliates' Representatives who are required to receive such information to carry out their duties (conditional upon any such Person agreeing to keep such information confidential for so long as the Buyer and the Sellers are obligated to do so in accordance with this Section 5.2, any other provision of this Agreement or applicable Law).</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No Claims Against Directors, Officers and Shareholders</w:t>
      </w:r>
    </w:p>
    <w:p>
      <w:pPr>
        <w:spacing w:after="0" w:line="274" w:lineRule="exact"/>
        <w:rPr>
          <w:sz w:val="20"/>
          <w:szCs w:val="20"/>
          <w:color w:val="auto"/>
        </w:rPr>
      </w:pPr>
    </w:p>
    <w:p>
      <w:pPr>
        <w:ind w:left="660" w:right="160" w:hanging="652"/>
        <w:spacing w:after="0" w:line="252"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Neither the Buyer nor the Sellers shall make any claim against (i) any director, officer, consultant, employee or manager of the Company in connection with his or her acts or omissions as director, officer, consultant, employee or manager of the Company (the </w:t>
      </w:r>
      <w:r>
        <w:rPr>
          <w:rFonts w:ascii="Arial" w:cs="Arial" w:eastAsia="Arial" w:hAnsi="Arial"/>
          <w:sz w:val="18"/>
          <w:szCs w:val="18"/>
          <w:b w:val="1"/>
          <w:bCs w:val="1"/>
          <w:color w:val="auto"/>
        </w:rPr>
        <w:t>Released Persons</w:t>
      </w:r>
      <w:r>
        <w:rPr>
          <w:rFonts w:ascii="Arial" w:cs="Arial" w:eastAsia="Arial" w:hAnsi="Arial"/>
          <w:sz w:val="18"/>
          <w:szCs w:val="18"/>
          <w:color w:val="auto"/>
        </w:rPr>
        <w:t>) in the period prior to the Closing Date, and (ii) without prejudice to the Buyer's right to bring a claim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under and in accordance with the terms of this Agreement, the Sellers in connection with the Sellers' position as direct or indirect shareholders, directors, officers, consultants, employees or managers of the Company during the time until the Closing. Notwithstanding the foregoing, Sellers who are employed and entitled to a Transaction Bonus shall have the right to bring a claim against the Company in this regard.</w:t>
      </w:r>
    </w:p>
    <w:p>
      <w:pPr>
        <w:spacing w:after="0" w:line="233" w:lineRule="exact"/>
        <w:rPr>
          <w:rFonts w:ascii="Arial" w:cs="Arial" w:eastAsia="Arial" w:hAnsi="Arial"/>
          <w:sz w:val="18"/>
          <w:szCs w:val="18"/>
          <w:color w:val="auto"/>
        </w:rPr>
      </w:pPr>
    </w:p>
    <w:p>
      <w:pPr>
        <w:ind w:left="660" w:right="260" w:hanging="652"/>
        <w:spacing w:after="0" w:line="254"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Buyer shall (and shall procure that the Company shall), from and after the Closing Date and to the fullest extent permitted in accordance with applicable Laws, waive, release and discharge each Released Person and each Seller from any and all claims, demands, proceedings, causes of action, orders, obligations and liabilities arising out of any Pre-Closing Event (as defined below) which the Company has or may at any time have had against any Released Person or any Seller.</w:t>
      </w:r>
    </w:p>
    <w:p>
      <w:pPr>
        <w:sectPr>
          <w:pgSz w:w="11900" w:h="16838" w:orient="portrait"/>
          <w:cols w:equalWidth="0" w:num="1">
            <w:col w:w="11220"/>
          </w:cols>
          <w:pgMar w:left="320" w:top="1435" w:right="359" w:bottom="1440" w:gutter="0" w:footer="0" w:header="0"/>
        </w:sectPr>
      </w:pPr>
    </w:p>
    <w:bookmarkStart w:id="139" w:name="page140"/>
    <w:bookmarkEnd w:id="139"/>
    <w:p>
      <w:pPr>
        <w:spacing w:after="0" w:line="238" w:lineRule="exact"/>
        <w:rPr>
          <w:sz w:val="20"/>
          <w:szCs w:val="20"/>
          <w:color w:val="auto"/>
        </w:rPr>
      </w:pPr>
    </w:p>
    <w:p>
      <w:pPr>
        <w:ind w:left="660" w:right="20" w:hanging="652"/>
        <w:spacing w:after="0" w:line="252" w:lineRule="auto"/>
        <w:tabs>
          <w:tab w:leader="none" w:pos="65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For six (6) years from the Closing Date, the Buyer shall ensure that the Company (for so long as it remains part of the Buyer’s group) maintains in force such "run-off" directors' and officers' liability insurance policies as will enable each Released Person who benefited from director's and officers' liability insurance policies as at the date of this Agreement to make claims arising out of any matter, cause or event occurring on or before the Closing Date (a </w:t>
      </w:r>
      <w:r>
        <w:rPr>
          <w:rFonts w:ascii="Arial" w:cs="Arial" w:eastAsia="Arial" w:hAnsi="Arial"/>
          <w:sz w:val="18"/>
          <w:szCs w:val="18"/>
          <w:b w:val="1"/>
          <w:bCs w:val="1"/>
          <w:color w:val="auto"/>
        </w:rPr>
        <w:t>Pre-Closing Event</w:t>
      </w:r>
      <w:r>
        <w:rPr>
          <w:rFonts w:ascii="Arial" w:cs="Arial" w:eastAsia="Arial" w:hAnsi="Arial"/>
          <w:sz w:val="18"/>
          <w:szCs w:val="18"/>
          <w:color w:val="auto"/>
        </w:rPr>
        <w:t>) under those policies on terms and conditions that are, on the whole, no less advantageous to the Released Person than the directors' and officers' liability insurance policies maintained by the Company on the date of this Agreement.</w:t>
      </w:r>
    </w:p>
    <w:p>
      <w:pPr>
        <w:spacing w:after="0" w:line="235" w:lineRule="exact"/>
        <w:rPr>
          <w:rFonts w:ascii="Arial" w:cs="Arial" w:eastAsia="Arial" w:hAnsi="Arial"/>
          <w:sz w:val="18"/>
          <w:szCs w:val="18"/>
          <w:color w:val="auto"/>
        </w:rPr>
      </w:pPr>
    </w:p>
    <w:p>
      <w:pPr>
        <w:ind w:left="660" w:hanging="652"/>
        <w:spacing w:after="0" w:line="254" w:lineRule="auto"/>
        <w:tabs>
          <w:tab w:leader="none" w:pos="6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Buyer will procure that discharge is granted to each member of the board of directors and the executive management of the Company in office immediately prior to the Closing for any such matter, cause or event (i) promptly after Closing, but no later than ten (10) Business Days after the Closing Date, and (ii) again at the first ordinary shareholders' meeting of the Company following the Closing.</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Covenant Not to Compete and Not to Solicit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b w:val="1"/>
          <w:bCs w:val="1"/>
          <w:color w:val="auto"/>
        </w:rPr>
        <w:t>Document Retention and Access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Buyer agrees to keep and cause the Company to keep all books and records of the Company that exist as of the Closing Date for the longer of (i) ten (10) years and (ii) the period required by applicable Law. During such period and without limitation to the generality of the foregoing, the Buyer shall procure during ten (10) years following the Closing that the Company grants the Sellers and their advisors access, during normal business hours, to such books and records as is necessary or appropriate in connection with any proceedings, Tax matter, preparation of financial statements, audit thereof, inquiry or dispute arising out of or in connection with this Agreement, any other matter requiring such access to safeguard the rights of any Seller and to perform the obligations under this Agreement or as otherwise reasonably requested by any Seller. The Buyer shall procure that any acquirer of the Company or of a material part of the Company's assets assumes the obligations set forth in this Section 5.5 such that the Sellers have a direct claim (</w:t>
      </w:r>
      <w:r>
        <w:rPr>
          <w:rFonts w:ascii="Arial" w:cs="Arial" w:eastAsia="Arial" w:hAnsi="Arial"/>
          <w:sz w:val="18"/>
          <w:szCs w:val="18"/>
          <w:i w:val="1"/>
          <w:iCs w:val="1"/>
          <w:color w:val="auto"/>
        </w:rPr>
        <w:t>echter Vertrag zugunsten Dritter</w:t>
      </w:r>
      <w:r>
        <w:rPr>
          <w:rFonts w:ascii="Arial" w:cs="Arial" w:eastAsia="Arial" w:hAnsi="Arial"/>
          <w:sz w:val="18"/>
          <w:szCs w:val="18"/>
          <w:color w:val="auto"/>
        </w:rPr>
        <w:t>) against any such acquirer.</w:t>
      </w:r>
    </w:p>
    <w:p>
      <w:pPr>
        <w:spacing w:after="0" w:line="2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color w:val="auto"/>
        </w:rPr>
        <w:t>Confidentiality</w:t>
      </w:r>
    </w:p>
    <w:p>
      <w:pPr>
        <w:spacing w:after="0" w:line="274" w:lineRule="exact"/>
        <w:rPr>
          <w:sz w:val="20"/>
          <w:szCs w:val="20"/>
          <w:color w:val="auto"/>
        </w:rPr>
      </w:pPr>
    </w:p>
    <w:p>
      <w:pPr>
        <w:ind w:left="660" w:right="300" w:hanging="652"/>
        <w:spacing w:after="0" w:line="256" w:lineRule="auto"/>
        <w:tabs>
          <w:tab w:leader="none" w:pos="6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Amended and Restated Non-Disclosure and Clean Team Agreement executed by the Buyer and the Company on August 23, 2022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remain in full force and effect until the Closing. Effective upon the Closing, the Confidentiality Agreement shall terminate.</w:t>
      </w:r>
    </w:p>
    <w:p>
      <w:pPr>
        <w:spacing w:after="0" w:line="228" w:lineRule="exact"/>
        <w:rPr>
          <w:rFonts w:ascii="Arial" w:cs="Arial" w:eastAsia="Arial" w:hAnsi="Arial"/>
          <w:sz w:val="18"/>
          <w:szCs w:val="18"/>
          <w:color w:val="auto"/>
        </w:rPr>
      </w:pPr>
    </w:p>
    <w:p>
      <w:pPr>
        <w:jc w:val="both"/>
        <w:ind w:left="660" w:right="440" w:hanging="652"/>
        <w:spacing w:after="0" w:line="256" w:lineRule="auto"/>
        <w:tabs>
          <w:tab w:leader="none" w:pos="65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the Sellers and the Buyer shall (and shall ensure that each of his, her or its Representatives shall) keep confidential the contents of this Agreement and other confidential information concerning the Company and shall not inform any third party of its content; it being understood and agreed that the foregoing confidentiality undertaking shall not restrict</w:t>
      </w:r>
    </w:p>
    <w:p>
      <w:pPr>
        <w:spacing w:after="0" w:line="228" w:lineRule="exact"/>
        <w:rPr>
          <w:rFonts w:ascii="Arial" w:cs="Arial" w:eastAsia="Arial" w:hAnsi="Arial"/>
          <w:sz w:val="18"/>
          <w:szCs w:val="18"/>
          <w:color w:val="auto"/>
        </w:rPr>
      </w:pPr>
    </w:p>
    <w:p>
      <w:pPr>
        <w:ind w:left="1300" w:right="260" w:hanging="642"/>
        <w:spacing w:after="0" w:line="261"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Sellers or the Buyer from disclosing this Agreement or details of the transactions contemplated hereby for purposes of satisfying any of the conditions set forth in Section 4.2;</w:t>
      </w:r>
    </w:p>
    <w:p>
      <w:pPr>
        <w:spacing w:after="0" w:line="224" w:lineRule="exact"/>
        <w:rPr>
          <w:rFonts w:ascii="Arial" w:cs="Arial" w:eastAsia="Arial" w:hAnsi="Arial"/>
          <w:sz w:val="18"/>
          <w:szCs w:val="18"/>
          <w:color w:val="auto"/>
        </w:rPr>
      </w:pPr>
    </w:p>
    <w:p>
      <w:pPr>
        <w:ind w:left="1300" w:hanging="682"/>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Seller or the Buyer from pursuing his, her or its rights and exercising his, her or its remedies under this Agreement;</w:t>
      </w:r>
    </w:p>
    <w:p>
      <w:pPr>
        <w:sectPr>
          <w:pgSz w:w="11900" w:h="16838" w:orient="portrait"/>
          <w:cols w:equalWidth="0" w:num="1">
            <w:col w:w="11240"/>
          </w:cols>
          <w:pgMar w:left="320" w:top="1440" w:right="339" w:bottom="1440" w:gutter="0" w:footer="0" w:header="0"/>
        </w:sectPr>
      </w:pPr>
    </w:p>
    <w:bookmarkStart w:id="140" w:name="page141"/>
    <w:bookmarkEnd w:id="140"/>
    <w:p>
      <w:pPr>
        <w:ind w:left="1300" w:hanging="722"/>
        <w:spacing w:after="0" w:line="254"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Seller or the Buyer from a disclosure of information which is required by applicable Law (including applicable securities Laws or stock exchange regulations) or any competent judicial or regulatory authority (in which case the Parties shall endeavor in good faith to agree on the content of any such disclosure prior to it being made) or by any competent securities exchange;</w:t>
      </w:r>
    </w:p>
    <w:p>
      <w:pPr>
        <w:spacing w:after="0" w:line="230" w:lineRule="exact"/>
        <w:rPr>
          <w:rFonts w:ascii="Arial" w:cs="Arial" w:eastAsia="Arial" w:hAnsi="Arial"/>
          <w:sz w:val="18"/>
          <w:szCs w:val="18"/>
          <w:color w:val="auto"/>
        </w:rPr>
      </w:pPr>
    </w:p>
    <w:p>
      <w:pPr>
        <w:jc w:val="both"/>
        <w:ind w:left="1300" w:hanging="732"/>
        <w:spacing w:after="0" w:line="256"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Seller or the Buyer from disclosure to a Tax Authority or Tax or other professional advisor in circumstances where such disclosure is reasonably necessary for the management of the Tax affairs of any Seller, any Affiliate of a Seller, the Buyer or any Affiliate of the Buyer;</w:t>
      </w:r>
    </w:p>
    <w:p>
      <w:pPr>
        <w:spacing w:after="0" w:line="228" w:lineRule="exact"/>
        <w:rPr>
          <w:rFonts w:ascii="Arial" w:cs="Arial" w:eastAsia="Arial" w:hAnsi="Arial"/>
          <w:sz w:val="18"/>
          <w:szCs w:val="18"/>
          <w:color w:val="auto"/>
        </w:rPr>
      </w:pPr>
    </w:p>
    <w:p>
      <w:pPr>
        <w:ind w:left="1300" w:right="600" w:hanging="692"/>
        <w:spacing w:after="0" w:line="261"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Parties from disclosing information that is known to the public without any fault of, or breach of any confidentiality undertaking by, the disclosing Party or any of its Affiliates, or</w:t>
      </w:r>
    </w:p>
    <w:p>
      <w:pPr>
        <w:spacing w:after="0" w:line="224" w:lineRule="exact"/>
        <w:rPr>
          <w:rFonts w:ascii="Arial" w:cs="Arial" w:eastAsia="Arial" w:hAnsi="Arial"/>
          <w:sz w:val="18"/>
          <w:szCs w:val="18"/>
          <w:color w:val="auto"/>
        </w:rPr>
      </w:pPr>
    </w:p>
    <w:p>
      <w:pPr>
        <w:ind w:left="1300" w:hanging="732"/>
        <w:spacing w:after="0"/>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Sellers or the Buyer from a disclosure to their Representatives pursuant to Section 5.2(b).</w:t>
      </w:r>
    </w:p>
    <w:p>
      <w:pPr>
        <w:spacing w:after="0" w:line="230" w:lineRule="exact"/>
        <w:rPr>
          <w:rFonts w:ascii="Arial" w:cs="Arial" w:eastAsia="Arial" w:hAnsi="Arial"/>
          <w:sz w:val="18"/>
          <w:szCs w:val="18"/>
          <w:color w:val="auto"/>
        </w:rPr>
      </w:pPr>
    </w:p>
    <w:p>
      <w:pPr>
        <w:ind w:left="640" w:hanging="632"/>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Taxes, Costs, Expenses and Interest</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Taxes</w:t>
      </w:r>
    </w:p>
    <w:p>
      <w:pPr>
        <w:spacing w:after="0" w:line="27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Except as expressly provided otherwise in this Agreement, each Party shall bear all Taxes incurred by or levied on it in connection with the transactions contemplated under this Agreement. Any duties imposed by applicable Law on the transfer of the Shares (</w:t>
      </w:r>
      <w:r>
        <w:rPr>
          <w:rFonts w:ascii="Arial" w:cs="Arial" w:eastAsia="Arial" w:hAnsi="Arial"/>
          <w:sz w:val="18"/>
          <w:szCs w:val="18"/>
          <w:i w:val="1"/>
          <w:iCs w:val="1"/>
          <w:color w:val="auto"/>
        </w:rPr>
        <w:t>e.g.</w:t>
      </w:r>
      <w:r>
        <w:rPr>
          <w:rFonts w:ascii="Arial" w:cs="Arial" w:eastAsia="Arial" w:hAnsi="Arial"/>
          <w:sz w:val="18"/>
          <w:szCs w:val="18"/>
          <w:color w:val="auto"/>
        </w:rPr>
        <w:t xml:space="preserve"> transfer taxes (</w:t>
      </w:r>
      <w:r>
        <w:rPr>
          <w:rFonts w:ascii="Arial" w:cs="Arial" w:eastAsia="Arial" w:hAnsi="Arial"/>
          <w:sz w:val="18"/>
          <w:szCs w:val="18"/>
          <w:i w:val="1"/>
          <w:iCs w:val="1"/>
          <w:color w:val="auto"/>
        </w:rPr>
        <w:t>Umsatzabgabe</w:t>
      </w:r>
      <w:r>
        <w:rPr>
          <w:rFonts w:ascii="Arial" w:cs="Arial" w:eastAsia="Arial" w:hAnsi="Arial"/>
          <w:sz w:val="18"/>
          <w:szCs w:val="18"/>
          <w:color w:val="auto"/>
        </w:rPr>
        <w:t>)) shall be borne by the relevant Seller.</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Costs and Expenses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Except as expressly provided otherwise in this Agreement, each Party shall bear his, her or its own costs and expenses (including advisory fees) incurred in the negotiation, preparation and completion of this Agreement.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Interest</w:t>
      </w:r>
    </w:p>
    <w:p>
      <w:pPr>
        <w:spacing w:after="0" w:line="274" w:lineRule="exact"/>
        <w:rPr>
          <w:sz w:val="20"/>
          <w:szCs w:val="20"/>
          <w:color w:val="auto"/>
        </w:rPr>
      </w:pPr>
    </w:p>
    <w:p>
      <w:pPr>
        <w:ind w:left="660" w:right="300" w:hanging="652"/>
        <w:spacing w:after="0" w:line="254" w:lineRule="auto"/>
        <w:tabs>
          <w:tab w:leader="none" w:pos="6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interest rate to be applied to the interest calculation set forth in Section 2.4.4(b) shall be the three (3)-month Compounded SARON (as per the SIX Swiss Exchange Ltd page as at the date the relevant payment is due, at 6:00 p.m. Swiss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one hundred (100) basis points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the Day-Count Convention). If the applicable Compounded SARON is less than zero, the applicable Compounded SARON shall be deemed zero.</w:t>
      </w:r>
    </w:p>
    <w:p>
      <w:pPr>
        <w:spacing w:after="0" w:line="230" w:lineRule="exact"/>
        <w:rPr>
          <w:rFonts w:ascii="Arial" w:cs="Arial" w:eastAsia="Arial" w:hAnsi="Arial"/>
          <w:sz w:val="18"/>
          <w:szCs w:val="18"/>
          <w:color w:val="auto"/>
        </w:rPr>
      </w:pPr>
    </w:p>
    <w:p>
      <w:pPr>
        <w:ind w:left="660" w:hanging="652"/>
        <w:spacing w:after="0" w:line="252" w:lineRule="auto"/>
        <w:tabs>
          <w:tab w:leader="none" w:pos="65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If a Party defaults in the payment when due of any sum payable under this Agreement, such liability of such Party shall be increased to include interest on that sum from (and including) the date when the payment is due until (and excluding) the date of actual payment (whether before or after any judgment) at a rate of the three (3)-month Compounded SARON (as per SIX Swiss Exchange page as at the date the relevant payment is due, at 6:00 p.m. Swiss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two hundred (200) basis points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(calculated on the basis of the Day-Count Convention). If the applicable Compounded SARON is less than zero, the applicable Compounded SARON shall be deemed zero.</w:t>
      </w:r>
    </w:p>
    <w:p>
      <w:pPr>
        <w:sectPr>
          <w:pgSz w:w="11900" w:h="16838" w:orient="portrait"/>
          <w:cols w:equalWidth="0" w:num="1">
            <w:col w:w="11160"/>
          </w:cols>
          <w:pgMar w:left="320" w:top="1435" w:right="419" w:bottom="1440" w:gutter="0" w:footer="0" w:header="0"/>
        </w:sectPr>
      </w:pPr>
    </w:p>
    <w:bookmarkStart w:id="141" w:name="page142"/>
    <w:bookmarkEnd w:id="141"/>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Exchange Rate</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amounts to be paid hereunder in currencies other than CHF, such as the Sellers' Advisor Closing Fees Amount to SVB Securities LLC, shall be converted to CHF using the exchange rates as quoted on the website of the Swiss National Bank (www.snb.ch/en/iabout/stat/statpub/zidea/id/current_interest_exchange_rates/3) (bid rates Zurich 11:00 a.m. Swiss time) one (1) Business Day before such payment is effectuated in order to determine any remainder payment due hereunder (or, for purposes of any estimated amounts, one (1) Business Day before the relevant estimate needs to be delivered). For example, the Sellers' Advisor Closing Fee Amount due in USD shall be expressed in CHF based on the aforementioned exchange rate, such CHF amount to be considered for purposes of the determination of the Net Debt, the Net Working Capital, the Pre-Closing Taxes, and the Company Transaction Expenses.</w:t>
      </w:r>
    </w:p>
    <w:p>
      <w:pPr>
        <w:spacing w:after="0" w:line="212"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Fundamental Representations of the Sellers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limitations set forth in Section 8.2, Section 9 and Section 11.8, each Seller hereby severally (but not jointly or jointly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severally) represents to the Buyer within the meaning of article 197 CO, in respect of himself, herself or itself only, that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statements (such statements together, the </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are true and correct in all respects both as of the date of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as of the Closing Date, except that those representations and warranties which are explicitly made as of a specific date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true and correct only as of such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7"/>
          <w:szCs w:val="17"/>
          <w:b w:val="1"/>
          <w:bCs w:val="1"/>
          <w:color w:val="auto"/>
        </w:rPr>
        <w:t>Capacity and Authority / Validity of Agreement</w:t>
      </w:r>
    </w:p>
    <w:p>
      <w:pPr>
        <w:spacing w:after="0" w:line="252" w:lineRule="exact"/>
        <w:rPr>
          <w:sz w:val="20"/>
          <w:szCs w:val="20"/>
          <w:color w:val="auto"/>
        </w:rPr>
      </w:pPr>
    </w:p>
    <w:p>
      <w:pPr>
        <w:ind w:left="660" w:right="120" w:hanging="652"/>
        <w:spacing w:after="0" w:line="254" w:lineRule="auto"/>
        <w:tabs>
          <w:tab w:leader="none" w:pos="65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Seller has the full capacity and authority to enter into this Agreement and any transactions contemplated hereunder and to perform his, her or its respective obligations under this Agreement. The Sellers 1, 8, 9, 10, 11, 13 and 14 are duly organized and validly existing under the Laws of their respective place of incorporation. The execution and performance of this Agreement by such Sellers was duly authorized by all requisite corporate actions.</w:t>
      </w:r>
    </w:p>
    <w:p>
      <w:pPr>
        <w:spacing w:after="0" w:line="230" w:lineRule="exact"/>
        <w:rPr>
          <w:rFonts w:ascii="Arial" w:cs="Arial" w:eastAsia="Arial" w:hAnsi="Arial"/>
          <w:sz w:val="18"/>
          <w:szCs w:val="18"/>
          <w:color w:val="auto"/>
        </w:rPr>
      </w:pPr>
    </w:p>
    <w:p>
      <w:pPr>
        <w:ind w:left="660" w:hanging="652"/>
        <w:spacing w:after="0" w:line="253" w:lineRule="auto"/>
        <w:tabs>
          <w:tab w:leader="none" w:pos="65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This Agreement constitutes valid and binding obligations of each Seller, enforceable against each Seller in accordance with its terms, except to the extent that the enforceability may be limited by applicable bankruptcy, reorganization, insolvency, moratorium or other Laws affecting the enforcement of creditors’ rights generally. There exist no limitations under applicable Law, the constituting or governing documents of the Sellers 1, 8, 9, 10, 11, 13 and 14 or any contracts by which a Seller is bound that would prevent such Seller from entering into or performing its obligations under this Agreement.</w:t>
      </w:r>
    </w:p>
    <w:p>
      <w:pPr>
        <w:spacing w:after="0" w:line="232" w:lineRule="exact"/>
        <w:rPr>
          <w:rFonts w:ascii="Arial" w:cs="Arial" w:eastAsia="Arial" w:hAnsi="Arial"/>
          <w:sz w:val="18"/>
          <w:szCs w:val="18"/>
          <w:color w:val="auto"/>
        </w:rPr>
      </w:pPr>
    </w:p>
    <w:p>
      <w:pPr>
        <w:ind w:left="660" w:right="40" w:hanging="652"/>
        <w:spacing w:after="0" w:line="252" w:lineRule="auto"/>
        <w:tabs>
          <w:tab w:leader="none" w:pos="65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Sellers is insolvent or bankrupt under the Laws of his or her place of residence or, with respect to Sellers 1, 8, 9, 10, 11, 13 and 14, its jurisdiction of incorporation, is unable to pay its debts as they fall due or has not proposed and is liable to any arrangement (whether by court process or otherwise) under which his, her or its creditors (or any group of them) would receive less than the amounts due to them where any such insolvency, bankruptcy, inability to pay debts or arrangement would affect his, her, or its ability to enter into or perform its obligations under this Agreement and/or any documents which are to be entered into by him, her or it pursuant to or otherwise in connection with this Agreement.</w:t>
      </w:r>
    </w:p>
    <w:p>
      <w:pPr>
        <w:sectPr>
          <w:pgSz w:w="11900" w:h="16838" w:orient="portrait"/>
          <w:cols w:equalWidth="0" w:num="1">
            <w:col w:w="11220"/>
          </w:cols>
          <w:pgMar w:left="320" w:top="1413" w:right="359" w:bottom="1440" w:gutter="0" w:footer="0" w:header="0"/>
        </w:sectPr>
      </w:pPr>
    </w:p>
    <w:bookmarkStart w:id="142" w:name="page143"/>
    <w:bookmarkEnd w:id="142"/>
    <w:p>
      <w:pPr>
        <w:ind w:left="660" w:hanging="652"/>
        <w:spacing w:after="0" w:line="254" w:lineRule="auto"/>
        <w:tabs>
          <w:tab w:leader="none" w:pos="65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are no proceedings in relation to any compromise or arrangement with creditors or any winding up, bankruptcy or insolvency proceedings concerning a Seller and no events have occurred which would justify such proceedings where any such proceedings or events would affect his, her or its ability to enter into or perform its obligations under this Agreement and/or any documents which are to be entered into by him, her or it pursuant to or otherwise in connection with this Agreement.</w:t>
      </w:r>
    </w:p>
    <w:p>
      <w:pPr>
        <w:spacing w:after="0" w:line="230" w:lineRule="exact"/>
        <w:rPr>
          <w:rFonts w:ascii="Arial" w:cs="Arial" w:eastAsia="Arial" w:hAnsi="Arial"/>
          <w:sz w:val="18"/>
          <w:szCs w:val="18"/>
          <w:color w:val="auto"/>
        </w:rPr>
      </w:pPr>
    </w:p>
    <w:p>
      <w:pPr>
        <w:ind w:left="660" w:hanging="652"/>
        <w:spacing w:after="0" w:line="271" w:lineRule="auto"/>
        <w:tabs>
          <w:tab w:leader="none" w:pos="65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execution and performance by each Seller of this Agreement and the consummation of the transactions contemplated hereunder does and will not breach, violate or conflict with any agreement or any applicable Law to which such Seller is a party or subject, or constitute a default or an event under any such agreement which would give rise to any right of any Person or to any obligation of such Seller which would be materially inconsistent with such Seller's obligations under this Agreement or the transactions contemplated hereunder and materially negatively prejudice this Agreement and the transactions contemplated hereunder.</w:t>
      </w:r>
    </w:p>
    <w:p>
      <w:pPr>
        <w:spacing w:after="0" w:line="219" w:lineRule="exact"/>
        <w:rPr>
          <w:rFonts w:ascii="Arial" w:cs="Arial" w:eastAsia="Arial" w:hAnsi="Arial"/>
          <w:sz w:val="17"/>
          <w:szCs w:val="17"/>
          <w:color w:val="auto"/>
        </w:rPr>
      </w:pPr>
    </w:p>
    <w:p>
      <w:pPr>
        <w:ind w:left="660" w:right="220" w:hanging="652"/>
        <w:spacing w:after="0" w:line="256" w:lineRule="auto"/>
        <w:tabs>
          <w:tab w:leader="none" w:pos="65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are no Actions pending or threatened against any of the Sellers challenging the validity of this Agreement or any transaction contemplated in this Agreement, or which would operate to hinder or substantially impair the consummation of the transactions contemplated by this Agreement.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7.1.2</w:t>
      </w:r>
      <w:r>
        <w:rPr>
          <w:sz w:val="20"/>
          <w:szCs w:val="20"/>
          <w:color w:val="auto"/>
        </w:rPr>
        <w:tab/>
      </w:r>
      <w:r>
        <w:rPr>
          <w:rFonts w:ascii="Arial" w:cs="Arial" w:eastAsia="Arial" w:hAnsi="Arial"/>
          <w:sz w:val="17"/>
          <w:szCs w:val="17"/>
          <w:b w:val="1"/>
          <w:bCs w:val="1"/>
          <w:color w:val="auto"/>
        </w:rPr>
        <w:t>Organization of the Company; No Conflicts</w:t>
      </w:r>
    </w:p>
    <w:p>
      <w:pPr>
        <w:spacing w:after="0" w:line="274" w:lineRule="exact"/>
        <w:rPr>
          <w:sz w:val="20"/>
          <w:szCs w:val="20"/>
          <w:color w:val="auto"/>
        </w:rPr>
      </w:pPr>
    </w:p>
    <w:p>
      <w:pPr>
        <w:ind w:left="660" w:right="540" w:hanging="652"/>
        <w:spacing w:after="0" w:line="291" w:lineRule="auto"/>
        <w:tabs>
          <w:tab w:leader="none" w:pos="65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is duly incorporated and organized and validly existing under the Laws of Switzerland and has the full corporate capacity, power and authority to own or use its assets and properties and to carry on its business as currently conducted.</w:t>
      </w:r>
    </w:p>
    <w:p>
      <w:pPr>
        <w:spacing w:after="0" w:line="200" w:lineRule="exact"/>
        <w:rPr>
          <w:rFonts w:ascii="Arial" w:cs="Arial" w:eastAsia="Arial" w:hAnsi="Arial"/>
          <w:sz w:val="17"/>
          <w:szCs w:val="17"/>
          <w:color w:val="auto"/>
        </w:rPr>
      </w:pPr>
    </w:p>
    <w:p>
      <w:pPr>
        <w:ind w:left="660" w:right="80" w:hanging="652"/>
        <w:spacing w:after="0" w:line="254" w:lineRule="auto"/>
        <w:tabs>
          <w:tab w:leader="none" w:pos="6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execution and performance by the Sellers of this Agreement and the consummation of the transactions contemplated under this Agreement does and will not (i) violate or conflict in any respect with any provision of the Articles of Association or organizational regulations or (ii) materially breach or violate any agreement to which the Company is a party or constitute a default or an event under any Material Contract that would give rise to any right of the counterparty to terminate such Material Contract.</w:t>
      </w:r>
    </w:p>
    <w:p>
      <w:pPr>
        <w:spacing w:after="0" w:line="230" w:lineRule="exact"/>
        <w:rPr>
          <w:rFonts w:ascii="Arial" w:cs="Arial" w:eastAsia="Arial" w:hAnsi="Arial"/>
          <w:sz w:val="18"/>
          <w:szCs w:val="18"/>
          <w:color w:val="auto"/>
        </w:rPr>
      </w:pPr>
    </w:p>
    <w:p>
      <w:pPr>
        <w:ind w:left="660" w:right="160" w:hanging="652"/>
        <w:spacing w:after="0" w:line="254" w:lineRule="auto"/>
        <w:tabs>
          <w:tab w:leader="none" w:pos="6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specifically set forth in this Agreement, no notification, registration or filing is required to be made by the Company with, and no permit, license, certification, consent, authorization, approval or exemption is required to be obtained by the Company from, any Governmental Authority in connection with the execution of this Agreement or the consummation of the transactions contemplated hereunder, which if not obtained is likely to materially adversely affect the Company.</w:t>
      </w:r>
    </w:p>
    <w:p>
      <w:pPr>
        <w:spacing w:after="0" w:line="230" w:lineRule="exact"/>
        <w:rPr>
          <w:rFonts w:ascii="Arial" w:cs="Arial" w:eastAsia="Arial" w:hAnsi="Arial"/>
          <w:sz w:val="18"/>
          <w:szCs w:val="18"/>
          <w:color w:val="auto"/>
        </w:rPr>
      </w:pPr>
    </w:p>
    <w:p>
      <w:pPr>
        <w:ind w:left="660" w:right="20" w:hanging="652"/>
        <w:spacing w:after="0" w:line="223" w:lineRule="exact"/>
        <w:tabs>
          <w:tab w:leader="none" w:pos="6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insolvency, bankruptcy, moratorium or similar proceedings have been opened or applied for by the Company and the Company is not required to file for any such proceedings under the Laws applicable to it. The Company is not illiquid (</w:t>
      </w:r>
      <w:r>
        <w:rPr>
          <w:rFonts w:ascii="Arial" w:cs="Arial" w:eastAsia="Arial" w:hAnsi="Arial"/>
          <w:sz w:val="18"/>
          <w:szCs w:val="18"/>
          <w:i w:val="1"/>
          <w:iCs w:val="1"/>
          <w:color w:val="auto"/>
        </w:rPr>
        <w:t>zahlungsunfähig</w:t>
      </w:r>
      <w:r>
        <w:rPr>
          <w:rFonts w:ascii="Arial" w:cs="Arial" w:eastAsia="Arial" w:hAnsi="Arial"/>
          <w:sz w:val="18"/>
          <w:szCs w:val="18"/>
          <w:color w:val="auto"/>
        </w:rPr>
        <w:t>), over-indebted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berschuldet</w:t>
      </w:r>
      <w:r>
        <w:rPr>
          <w:rFonts w:ascii="Arial" w:cs="Arial" w:eastAsia="Arial" w:hAnsi="Arial"/>
          <w:sz w:val="18"/>
          <w:szCs w:val="18"/>
          <w:color w:val="auto"/>
        </w:rPr>
        <w:t>) or subject to a loss of capital (</w:t>
      </w:r>
      <w:r>
        <w:rPr>
          <w:rFonts w:ascii="Arial" w:cs="Arial" w:eastAsia="Arial" w:hAnsi="Arial"/>
          <w:sz w:val="18"/>
          <w:szCs w:val="18"/>
          <w:i w:val="1"/>
          <w:iCs w:val="1"/>
          <w:color w:val="auto"/>
        </w:rPr>
        <w:t>Kapitalverlust</w:t>
      </w:r>
      <w:r>
        <w:rPr>
          <w:rFonts w:ascii="Arial" w:cs="Arial" w:eastAsia="Arial" w:hAnsi="Arial"/>
          <w:sz w:val="18"/>
          <w:szCs w:val="18"/>
          <w:color w:val="auto"/>
        </w:rPr>
        <w:t>).</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7.1.3</w:t>
      </w:r>
      <w:r>
        <w:rPr>
          <w:sz w:val="20"/>
          <w:szCs w:val="20"/>
          <w:color w:val="auto"/>
        </w:rPr>
        <w:tab/>
      </w:r>
      <w:r>
        <w:rPr>
          <w:rFonts w:ascii="Arial" w:cs="Arial" w:eastAsia="Arial" w:hAnsi="Arial"/>
          <w:sz w:val="17"/>
          <w:szCs w:val="17"/>
          <w:b w:val="1"/>
          <w:bCs w:val="1"/>
          <w:color w:val="auto"/>
        </w:rPr>
        <w:t>Shares</w:t>
      </w:r>
    </w:p>
    <w:p>
      <w:pPr>
        <w:spacing w:after="0" w:line="274" w:lineRule="exact"/>
        <w:rPr>
          <w:sz w:val="20"/>
          <w:szCs w:val="20"/>
          <w:color w:val="auto"/>
        </w:rPr>
      </w:pPr>
    </w:p>
    <w:p>
      <w:pPr>
        <w:ind w:left="660" w:right="460" w:hanging="652"/>
        <w:spacing w:after="0" w:line="256" w:lineRule="auto"/>
        <w:tabs>
          <w:tab w:leader="none" w:pos="6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 capital of the Company is structured as set forth in Recital A. No decision has been taken to amend the share capital structure other than disclosed herein. All decisions regarding the conditional and/or authorized capital increases set out in the Articles of Association have been taken in accordance with applicable Laws.</w:t>
      </w:r>
    </w:p>
    <w:p>
      <w:pPr>
        <w:spacing w:after="0" w:line="228" w:lineRule="exact"/>
        <w:rPr>
          <w:rFonts w:ascii="Arial" w:cs="Arial" w:eastAsia="Arial" w:hAnsi="Arial"/>
          <w:sz w:val="18"/>
          <w:szCs w:val="18"/>
          <w:color w:val="auto"/>
        </w:rPr>
      </w:pPr>
    </w:p>
    <w:p>
      <w:pPr>
        <w:ind w:left="660" w:right="240" w:hanging="652"/>
        <w:spacing w:after="0" w:line="261" w:lineRule="auto"/>
        <w:tabs>
          <w:tab w:leader="none" w:pos="6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Each Seller is, or upon issuance of the Option Shares will be, the sole legal and beneficial owner of the Shares as set forth next to his, her or its name in </w:t>
      </w:r>
      <w:r>
        <w:rPr>
          <w:rFonts w:ascii="Arial" w:cs="Arial" w:eastAsia="Arial" w:hAnsi="Arial"/>
          <w:sz w:val="18"/>
          <w:szCs w:val="18"/>
          <w:u w:val="single" w:color="auto"/>
          <w:color w:val="auto"/>
        </w:rPr>
        <w:t>Annex B</w:t>
      </w:r>
      <w:r>
        <w:rPr>
          <w:rFonts w:ascii="Arial" w:cs="Arial" w:eastAsia="Arial" w:hAnsi="Arial"/>
          <w:sz w:val="18"/>
          <w:szCs w:val="18"/>
          <w:color w:val="auto"/>
        </w:rPr>
        <w:t>, free and clear of any Liens. All</w:t>
      </w:r>
    </w:p>
    <w:p>
      <w:pPr>
        <w:sectPr>
          <w:pgSz w:w="11900" w:h="16838" w:orient="portrait"/>
          <w:cols w:equalWidth="0" w:num="1">
            <w:col w:w="11220"/>
          </w:cols>
          <w:pgMar w:left="320" w:top="1435" w:right="359" w:bottom="1440" w:gutter="0" w:footer="0" w:header="0"/>
        </w:sectPr>
      </w:pPr>
    </w:p>
    <w:bookmarkStart w:id="143" w:name="page144"/>
    <w:bookmarkEnd w:id="143"/>
    <w:p>
      <w:pPr>
        <w:ind w:left="660" w:right="200"/>
        <w:spacing w:after="0" w:line="261" w:lineRule="auto"/>
        <w:rPr>
          <w:sz w:val="20"/>
          <w:szCs w:val="20"/>
          <w:color w:val="auto"/>
        </w:rPr>
      </w:pPr>
      <w:r>
        <w:rPr>
          <w:rFonts w:ascii="Arial" w:cs="Arial" w:eastAsia="Arial" w:hAnsi="Arial"/>
          <w:sz w:val="18"/>
          <w:szCs w:val="18"/>
          <w:color w:val="auto"/>
        </w:rPr>
        <w:t>the transfers of the Issued Shares which have occurred until the Closing Date have been approved by the board of directors of the Company.</w:t>
      </w:r>
    </w:p>
    <w:p>
      <w:pPr>
        <w:spacing w:after="0" w:line="225" w:lineRule="exact"/>
        <w:rPr>
          <w:sz w:val="20"/>
          <w:szCs w:val="20"/>
          <w:color w:val="auto"/>
        </w:rPr>
      </w:pPr>
    </w:p>
    <w:p>
      <w:pPr>
        <w:ind w:left="660" w:right="20" w:hanging="652"/>
        <w:spacing w:after="0" w:line="254" w:lineRule="auto"/>
        <w:tabs>
          <w:tab w:leader="none" w:pos="6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Issued Shares have been validly issued and fully paid, and as of the Closing Date, the Option Shares to be issued upon exercise of the Options will have been validly issued and fully paid. Except for the Convertible Loan Agreement, as of the date of this Agreement, the Issued Shares and the Options constitute, and as of the Closing Date, the Shares will constitute, all of the shares and other securities in the Company.</w:t>
      </w:r>
    </w:p>
    <w:p>
      <w:pPr>
        <w:spacing w:after="0" w:line="230" w:lineRule="exact"/>
        <w:rPr>
          <w:rFonts w:ascii="Arial" w:cs="Arial" w:eastAsia="Arial" w:hAnsi="Arial"/>
          <w:sz w:val="18"/>
          <w:szCs w:val="18"/>
          <w:color w:val="auto"/>
        </w:rPr>
      </w:pPr>
    </w:p>
    <w:p>
      <w:pPr>
        <w:ind w:left="660" w:right="40" w:hanging="652"/>
        <w:spacing w:after="0" w:line="252"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than the Options and the Convertible Loan Agreement, there are no outstanding options, warrants, calls, conversion rights or other agreements, commitments or rights of any kind relating to the sale, issuance, voting, transfer or other disposal or the acquisition of any of the Shares or any other securities of the Company. Following the Exercise Date, other than the Convertible Loan Agreement, there will be no outstanding options, warrants, calls, conversion rights or other agreements, commitments or rights of any kind relating to the sale, issuance, voting, transfer or other disposal or the acquisition of any of the Shares or any other securities of the Company.</w:t>
      </w:r>
    </w:p>
    <w:p>
      <w:pPr>
        <w:spacing w:after="0" w:line="235" w:lineRule="exact"/>
        <w:rPr>
          <w:rFonts w:ascii="Arial" w:cs="Arial" w:eastAsia="Arial" w:hAnsi="Arial"/>
          <w:sz w:val="18"/>
          <w:szCs w:val="18"/>
          <w:color w:val="auto"/>
        </w:rPr>
      </w:pPr>
    </w:p>
    <w:p>
      <w:pPr>
        <w:ind w:left="660" w:hanging="652"/>
        <w:spacing w:after="0" w:line="256" w:lineRule="auto"/>
        <w:tabs>
          <w:tab w:leader="none" w:pos="6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owns no shares or securities and has no other equity interest in any other Person. The Company has not undertaken to acquire any shares or securities or other equity interest or to make any other or further investment, whether directly or indirectly, in any other Person. The Company has no foreign branch office or other permanent establishment in a foreign country.</w:t>
      </w:r>
    </w:p>
    <w:p>
      <w:pPr>
        <w:spacing w:after="0" w:line="228" w:lineRule="exact"/>
        <w:rPr>
          <w:rFonts w:ascii="Arial" w:cs="Arial" w:eastAsia="Arial" w:hAnsi="Arial"/>
          <w:sz w:val="18"/>
          <w:szCs w:val="18"/>
          <w:color w:val="auto"/>
        </w:rPr>
      </w:pPr>
    </w:p>
    <w:p>
      <w:pPr>
        <w:ind w:left="660" w:right="300" w:hanging="652"/>
        <w:spacing w:after="0" w:line="261" w:lineRule="auto"/>
        <w:tabs>
          <w:tab w:leader="none" w:pos="65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previous share certificates issued in the past by the Company have been duly cancelled and, as of the Closing Date, no share certificates will have been issued representing any Share.</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7.1.4</w:t>
      </w:r>
      <w:r>
        <w:rPr>
          <w:sz w:val="20"/>
          <w:szCs w:val="20"/>
          <w:color w:val="auto"/>
        </w:rPr>
        <w:tab/>
      </w:r>
      <w:r>
        <w:rPr>
          <w:rFonts w:ascii="Arial" w:cs="Arial" w:eastAsia="Arial" w:hAnsi="Arial"/>
          <w:sz w:val="17"/>
          <w:szCs w:val="17"/>
          <w:b w:val="1"/>
          <w:bCs w:val="1"/>
          <w:color w:val="auto"/>
        </w:rPr>
        <w:t>Intellectual Property Rights</w:t>
      </w:r>
    </w:p>
    <w:p>
      <w:pPr>
        <w:spacing w:after="0" w:line="252" w:lineRule="exact"/>
        <w:rPr>
          <w:sz w:val="20"/>
          <w:szCs w:val="20"/>
          <w:color w:val="auto"/>
        </w:rPr>
      </w:pPr>
    </w:p>
    <w:p>
      <w:pPr>
        <w:ind w:left="660" w:right="200" w:hanging="652"/>
        <w:spacing w:after="0" w:line="259" w:lineRule="auto"/>
        <w:tabs>
          <w:tab w:leader="none" w:pos="6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Company owns the Owned Intellectual Property Rights listed in </w:t>
      </w:r>
      <w:r>
        <w:rPr>
          <w:rFonts w:ascii="Arial" w:cs="Arial" w:eastAsia="Arial" w:hAnsi="Arial"/>
          <w:sz w:val="18"/>
          <w:szCs w:val="18"/>
          <w:u w:val="single" w:color="auto"/>
          <w:color w:val="auto"/>
        </w:rPr>
        <w:t>Annex 7.1.4</w:t>
      </w:r>
      <w:r>
        <w:rPr>
          <w:rFonts w:ascii="Arial" w:cs="Arial" w:eastAsia="Arial" w:hAnsi="Arial"/>
          <w:sz w:val="18"/>
          <w:szCs w:val="18"/>
          <w:color w:val="auto"/>
        </w:rPr>
        <w:t xml:space="preserve">, free and clear from any Liens (the </w:t>
      </w:r>
      <w:r>
        <w:rPr>
          <w:rFonts w:ascii="Arial" w:cs="Arial" w:eastAsia="Arial" w:hAnsi="Arial"/>
          <w:sz w:val="18"/>
          <w:szCs w:val="18"/>
          <w:b w:val="1"/>
          <w:bCs w:val="1"/>
          <w:color w:val="auto"/>
        </w:rPr>
        <w:t>Fundamental</w:t>
      </w:r>
      <w:r>
        <w:rPr>
          <w:rFonts w:ascii="Arial" w:cs="Arial" w:eastAsia="Arial" w:hAnsi="Arial"/>
          <w:sz w:val="18"/>
          <w:szCs w:val="18"/>
          <w:color w:val="auto"/>
        </w:rPr>
        <w:t xml:space="preserve">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The Fundamental Intellectual Property Rights constitute all registered Intellectual Property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owned by the Company that (i) pertain to the Sigi Patch Pump and (ii) are necessary for the research, development, manufacture, use, or commercialization of the Sigi Patch Pump on a worldwide basis as specified in Annex 7.1.4 as currently conducted and as currently proposed to be conducted after the Closing Date.</w:t>
      </w:r>
    </w:p>
    <w:p>
      <w:pPr>
        <w:spacing w:after="0" w:line="228" w:lineRule="exact"/>
        <w:rPr>
          <w:rFonts w:ascii="Arial" w:cs="Arial" w:eastAsia="Arial" w:hAnsi="Arial"/>
          <w:sz w:val="18"/>
          <w:szCs w:val="18"/>
          <w:color w:val="auto"/>
        </w:rPr>
      </w:pPr>
    </w:p>
    <w:p>
      <w:pPr>
        <w:ind w:left="660" w:right="100" w:hanging="652"/>
        <w:spacing w:after="0" w:line="254" w:lineRule="auto"/>
        <w:tabs>
          <w:tab w:leader="none" w:pos="6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Fundamental Intellectual Property Rights owned by the Company are registered solely in the name of the Company or in the Company's former corporate name "Advanced Microfluids SA". All registration fees for the Fundamental Intellectual Property Rights that are or will become due and payable until the Closing Date are fully paid or will be fully paid when becoming due and payable until the Closing Date.</w:t>
      </w:r>
    </w:p>
    <w:p>
      <w:pPr>
        <w:spacing w:after="0" w:line="230" w:lineRule="exact"/>
        <w:rPr>
          <w:rFonts w:ascii="Arial" w:cs="Arial" w:eastAsia="Arial" w:hAnsi="Arial"/>
          <w:sz w:val="18"/>
          <w:szCs w:val="18"/>
          <w:color w:val="auto"/>
        </w:rPr>
      </w:pPr>
    </w:p>
    <w:p>
      <w:pPr>
        <w:jc w:val="both"/>
        <w:ind w:left="660" w:right="80" w:hanging="652"/>
        <w:spacing w:after="0" w:line="256" w:lineRule="auto"/>
        <w:tabs>
          <w:tab w:leader="none" w:pos="6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relation to the Fundamental Intellectual Property Rights, and except for any licenses contained in the Data Room Documents, the Company has not previously outlicensed, assigned, transferred, or otherwise conveyed any right, title or interest thereto to any third party (including the Sellers).</w:t>
      </w:r>
    </w:p>
    <w:p>
      <w:pPr>
        <w:spacing w:after="0" w:line="228" w:lineRule="exact"/>
        <w:rPr>
          <w:rFonts w:ascii="Arial" w:cs="Arial" w:eastAsia="Arial" w:hAnsi="Arial"/>
          <w:sz w:val="18"/>
          <w:szCs w:val="18"/>
          <w:color w:val="auto"/>
        </w:rPr>
      </w:pPr>
    </w:p>
    <w:p>
      <w:pPr>
        <w:ind w:left="660" w:right="420" w:hanging="652"/>
        <w:spacing w:after="0" w:line="261" w:lineRule="auto"/>
        <w:tabs>
          <w:tab w:leader="none" w:pos="6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of the date of this Agreement, the Company has not received any claim in writing alleging any infringement by the Sigi Patch Pump of any third party's Intellectual Property Rights.</w:t>
      </w:r>
    </w:p>
    <w:p>
      <w:pPr>
        <w:spacing w:after="0" w:line="224" w:lineRule="exact"/>
        <w:rPr>
          <w:rFonts w:ascii="Arial" w:cs="Arial" w:eastAsia="Arial" w:hAnsi="Arial"/>
          <w:sz w:val="18"/>
          <w:szCs w:val="18"/>
          <w:color w:val="auto"/>
        </w:rPr>
      </w:pPr>
    </w:p>
    <w:p>
      <w:pPr>
        <w:ind w:left="660" w:right="40" w:hanging="652"/>
        <w:spacing w:after="0" w:line="261" w:lineRule="auto"/>
        <w:tabs>
          <w:tab w:leader="none" w:pos="6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to the Sellers' Best Knowledge, not misappropriated any Intellectual Property Rights of a third party in the design or the development of the Sigi Patch Pump.</w:t>
      </w:r>
    </w:p>
    <w:p>
      <w:pPr>
        <w:spacing w:after="0" w:line="224" w:lineRule="exact"/>
        <w:rPr>
          <w:rFonts w:ascii="Arial" w:cs="Arial" w:eastAsia="Arial" w:hAnsi="Arial"/>
          <w:sz w:val="18"/>
          <w:szCs w:val="18"/>
          <w:color w:val="auto"/>
        </w:rPr>
      </w:pPr>
    </w:p>
    <w:p>
      <w:pPr>
        <w:ind w:left="660" w:right="180" w:hanging="652"/>
        <w:spacing w:after="0" w:line="261" w:lineRule="auto"/>
        <w:tabs>
          <w:tab w:leader="none" w:pos="6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third party claims disputing the Company's ownership or the validity of any Fundamental Intellectual Property Rights have been notified to the Company in writing.</w:t>
      </w:r>
    </w:p>
    <w:p>
      <w:pPr>
        <w:sectPr>
          <w:pgSz w:w="11900" w:h="16838" w:orient="portrait"/>
          <w:cols w:equalWidth="0" w:num="1">
            <w:col w:w="11200"/>
          </w:cols>
          <w:pgMar w:left="320" w:top="1435" w:right="379" w:bottom="1440" w:gutter="0" w:footer="0" w:header="0"/>
        </w:sectPr>
      </w:pPr>
    </w:p>
    <w:bookmarkStart w:id="144" w:name="page145"/>
    <w:bookmarkEnd w:id="144"/>
    <w:p>
      <w:pPr>
        <w:spacing w:after="0" w:line="238" w:lineRule="exact"/>
        <w:rPr>
          <w:sz w:val="20"/>
          <w:szCs w:val="20"/>
          <w:color w:val="auto"/>
        </w:rPr>
      </w:pPr>
    </w:p>
    <w:p>
      <w:pPr>
        <w:ind w:left="660" w:right="160" w:hanging="652"/>
        <w:spacing w:after="0" w:line="254" w:lineRule="auto"/>
        <w:tabs>
          <w:tab w:leader="none" w:pos="65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stated in Annex 7.1.4, no Fundamental Intellectual Property Right is the subject of any outstanding order, judgment, injunction, decree, legal or governmental proceeding (other than pending applications for registration or renewals of registrations or the recording of any assignment(s) of any Fundamental Intellectual Property Rights) restricting or affecting in any material manner the ownership or use of the Fundamental Intellectual Property Rights.</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Business Representations of the Sellers</w:t>
      </w:r>
    </w:p>
    <w:p>
      <w:pPr>
        <w:spacing w:after="0" w:line="27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Subject to the limitations set forth in Section 8.2, Section 9 and Section 11.8, each Seller hereby severally (but not jointly or jointly and severally) represents to the Buyer within the meaning of article 197 CO, in respect of himself, herself or itself only, that the statements set forth in this Section 7.2 following this paragraph (such statements together, the </w:t>
      </w:r>
      <w:r>
        <w:rPr>
          <w:rFonts w:ascii="Arial" w:cs="Arial" w:eastAsia="Arial" w:hAnsi="Arial"/>
          <w:sz w:val="18"/>
          <w:szCs w:val="18"/>
          <w:b w:val="1"/>
          <w:bCs w:val="1"/>
          <w:color w:val="auto"/>
        </w:rPr>
        <w:t>Business Representations</w:t>
      </w:r>
      <w:r>
        <w:rPr>
          <w:rFonts w:ascii="Arial" w:cs="Arial" w:eastAsia="Arial" w:hAnsi="Arial"/>
          <w:sz w:val="18"/>
          <w:szCs w:val="18"/>
          <w:color w:val="auto"/>
        </w:rPr>
        <w:t>) are true and correct as of the date of this Agreement and as of the Closing Date, except that those representations and warranties which are explicitly made as of a specific date shall be materially true and correct only as of such date.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7.2.1</w:t>
      </w:r>
      <w:r>
        <w:rPr>
          <w:sz w:val="20"/>
          <w:szCs w:val="20"/>
          <w:color w:val="auto"/>
        </w:rPr>
        <w:tab/>
      </w:r>
      <w:r>
        <w:rPr>
          <w:rFonts w:ascii="Arial" w:cs="Arial" w:eastAsia="Arial" w:hAnsi="Arial"/>
          <w:sz w:val="17"/>
          <w:szCs w:val="17"/>
          <w:b w:val="1"/>
          <w:bCs w:val="1"/>
          <w:color w:val="auto"/>
        </w:rPr>
        <w:t>Financial Statements</w:t>
      </w:r>
    </w:p>
    <w:p>
      <w:pPr>
        <w:spacing w:after="0" w:line="274" w:lineRule="exact"/>
        <w:rPr>
          <w:sz w:val="20"/>
          <w:szCs w:val="20"/>
          <w:color w:val="auto"/>
        </w:rPr>
      </w:pPr>
    </w:p>
    <w:p>
      <w:pPr>
        <w:ind w:left="660" w:right="60" w:hanging="652"/>
        <w:spacing w:after="0" w:line="253"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Financial Statements have been prepared in accordance with the Swiss Code of Obligations and the accounting principles as applied throughout the last three financial years. The Financial Statements are true, correct, free of any omission and complete in all material respects and are not misleading, and reflect the state of affairs, the financial condition and the results of the operations of the Company as at the respective accounts date and for the financial period then ending in accordance with the applicable accounting principles.</w:t>
      </w:r>
    </w:p>
    <w:p>
      <w:pPr>
        <w:spacing w:after="0" w:line="232" w:lineRule="exact"/>
        <w:rPr>
          <w:rFonts w:ascii="Arial" w:cs="Arial" w:eastAsia="Arial" w:hAnsi="Arial"/>
          <w:sz w:val="18"/>
          <w:szCs w:val="18"/>
          <w:color w:val="auto"/>
        </w:rPr>
      </w:pPr>
    </w:p>
    <w:p>
      <w:pPr>
        <w:ind w:left="660" w:right="260" w:hanging="652"/>
        <w:spacing w:after="0" w:line="256"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extent that contingent Liabilities were not required to be included in the Liabilities reflected on the balance sheet included in the Financial Statements, such Liabilities have been reflected as below-the-line items on such balance sheet as required by the Swiss Code of Obligations or otherwise disclosed in the notes to the respective Financial Statements.</w:t>
      </w:r>
    </w:p>
    <w:p>
      <w:pPr>
        <w:spacing w:after="0" w:line="228" w:lineRule="exact"/>
        <w:rPr>
          <w:rFonts w:ascii="Arial" w:cs="Arial" w:eastAsia="Arial" w:hAnsi="Arial"/>
          <w:sz w:val="18"/>
          <w:szCs w:val="18"/>
          <w:color w:val="auto"/>
        </w:rPr>
      </w:pPr>
    </w:p>
    <w:p>
      <w:pPr>
        <w:ind w:left="660" w:right="280" w:hanging="652"/>
        <w:spacing w:after="0" w:line="278" w:lineRule="auto"/>
        <w:tabs>
          <w:tab w:leader="none" w:pos="65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 does not have any Liabilities, other than Liabilities (i) set forth in the balance sheet included in the Interim Financial Statements, and not discharged subsequent to such date, or (ii) incurred by the Company subsequent to the date of the balance sheet included in the Interim Financial Statements, in the ordinary course of business and not discharged since such date.</w:t>
      </w:r>
    </w:p>
    <w:p>
      <w:pPr>
        <w:spacing w:after="0" w:line="211" w:lineRule="exact"/>
        <w:rPr>
          <w:rFonts w:ascii="Arial" w:cs="Arial" w:eastAsia="Arial" w:hAnsi="Arial"/>
          <w:sz w:val="17"/>
          <w:szCs w:val="17"/>
          <w:color w:val="auto"/>
        </w:rPr>
      </w:pPr>
    </w:p>
    <w:p>
      <w:pPr>
        <w:ind w:left="660" w:hanging="652"/>
        <w:spacing w:after="0" w:line="261"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Sellers' Best Knowledge, and except as included in the Interim Financial Statements, the Company does not have any Liability that relates to or has arisen out of a breach of contract, breach of warranty, tort or infringement by or against the Company.</w:t>
      </w:r>
    </w:p>
    <w:p>
      <w:pPr>
        <w:spacing w:after="0" w:line="224" w:lineRule="exact"/>
        <w:rPr>
          <w:rFonts w:ascii="Arial" w:cs="Arial" w:eastAsia="Arial" w:hAnsi="Arial"/>
          <w:sz w:val="18"/>
          <w:szCs w:val="18"/>
          <w:color w:val="auto"/>
        </w:rPr>
      </w:pPr>
    </w:p>
    <w:p>
      <w:pPr>
        <w:ind w:left="660" w:right="20" w:hanging="652"/>
        <w:spacing w:after="0" w:line="253" w:lineRule="auto"/>
        <w:tabs>
          <w:tab w:leader="none" w:pos="6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of the Accounts Receivable included in the Financial Statements have arisen from bona fide transactions in the ordinary course of business consistent with past practice and, to the extent not previously collected, are fully collectible, net of the allowance for doubtful accounts, in the ordinary course of business in accordance with their terms and assuming that the methods of collection practices and procedures used in the collection of the Accounts Receivable are consistent with those historically used by the Company.</w:t>
      </w:r>
    </w:p>
    <w:p>
      <w:pPr>
        <w:spacing w:after="0" w:line="232" w:lineRule="exact"/>
        <w:rPr>
          <w:rFonts w:ascii="Arial" w:cs="Arial" w:eastAsia="Arial" w:hAnsi="Arial"/>
          <w:sz w:val="18"/>
          <w:szCs w:val="18"/>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has no commitments to purchase inventory, other than in the ordinary course of business.</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has not guaranteed or otherwise provided security for any third party obligation (including the Sellers).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7.2.2</w:t>
      </w:r>
      <w:r>
        <w:rPr>
          <w:sz w:val="20"/>
          <w:szCs w:val="20"/>
          <w:color w:val="auto"/>
        </w:rPr>
        <w:tab/>
      </w:r>
      <w:r>
        <w:rPr>
          <w:rFonts w:ascii="Arial" w:cs="Arial" w:eastAsia="Arial" w:hAnsi="Arial"/>
          <w:sz w:val="16"/>
          <w:szCs w:val="16"/>
          <w:b w:val="1"/>
          <w:bCs w:val="1"/>
          <w:color w:val="auto"/>
        </w:rPr>
        <w:t>Taxes</w:t>
      </w:r>
    </w:p>
    <w:p>
      <w:pPr>
        <w:sectPr>
          <w:pgSz w:w="11900" w:h="16838" w:orient="portrait"/>
          <w:cols w:equalWidth="0" w:num="1">
            <w:col w:w="11220"/>
          </w:cols>
          <w:pgMar w:left="320" w:top="1440" w:right="359" w:bottom="1440" w:gutter="0" w:footer="0" w:header="0"/>
        </w:sectPr>
      </w:pPr>
    </w:p>
    <w:bookmarkStart w:id="145" w:name="page146"/>
    <w:bookmarkEnd w:id="145"/>
    <w:p>
      <w:pPr>
        <w:ind w:left="660" w:right="60" w:hanging="652"/>
        <w:spacing w:after="0" w:line="256"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has timely filed all Tax Returns required to be filed. All such Tax Returns (i) have been prepared in the manner required by applicable Law, (ii) are true, correct, complete and not misleading in all respects, and (iii) accurately reflect the facts they are required to reflect by applicable Laws.</w:t>
      </w:r>
    </w:p>
    <w:p>
      <w:pPr>
        <w:spacing w:after="0" w:line="228" w:lineRule="exact"/>
        <w:rPr>
          <w:rFonts w:ascii="Arial" w:cs="Arial" w:eastAsia="Arial" w:hAnsi="Arial"/>
          <w:sz w:val="18"/>
          <w:szCs w:val="18"/>
          <w:color w:val="auto"/>
        </w:rPr>
      </w:pPr>
    </w:p>
    <w:p>
      <w:pPr>
        <w:ind w:left="660" w:right="320" w:hanging="652"/>
        <w:spacing w:after="0" w:line="261"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is not a party to any Action by any Tax Authority and no written notice of any such Action has been received by the Company during the twelve (12) months before the date of this Agreement.</w:t>
      </w:r>
    </w:p>
    <w:p>
      <w:pPr>
        <w:spacing w:after="0" w:line="224" w:lineRule="exact"/>
        <w:rPr>
          <w:rFonts w:ascii="Arial" w:cs="Arial" w:eastAsia="Arial" w:hAnsi="Arial"/>
          <w:sz w:val="18"/>
          <w:szCs w:val="18"/>
          <w:color w:val="auto"/>
        </w:rPr>
      </w:pPr>
    </w:p>
    <w:p>
      <w:pPr>
        <w:ind w:left="660" w:right="160" w:hanging="652"/>
        <w:spacing w:after="0" w:line="261" w:lineRule="auto"/>
        <w:tabs>
          <w:tab w:leader="none" w:pos="6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material accounts, books, financial records and supporting documents of the Company are up to date and have been accurately kept, in accordance with the Laws pertaining to Tax.</w:t>
      </w:r>
    </w:p>
    <w:p>
      <w:pPr>
        <w:spacing w:after="0" w:line="224" w:lineRule="exact"/>
        <w:rPr>
          <w:rFonts w:ascii="Arial" w:cs="Arial" w:eastAsia="Arial" w:hAnsi="Arial"/>
          <w:sz w:val="18"/>
          <w:szCs w:val="18"/>
          <w:color w:val="auto"/>
        </w:rPr>
      </w:pPr>
    </w:p>
    <w:p>
      <w:pPr>
        <w:ind w:left="660" w:right="380" w:hanging="652"/>
        <w:spacing w:after="0" w:line="254"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Taxes for which the Company is liable have been duly withheld, deducted and/or paid to the competent Tax Authority or, if not due, fully provided for in the Financial Statements. Except for the payment of source Taxes (</w:t>
      </w:r>
      <w:r>
        <w:rPr>
          <w:rFonts w:ascii="Arial" w:cs="Arial" w:eastAsia="Arial" w:hAnsi="Arial"/>
          <w:sz w:val="18"/>
          <w:szCs w:val="18"/>
          <w:i w:val="1"/>
          <w:iCs w:val="1"/>
          <w:color w:val="auto"/>
        </w:rPr>
        <w:t>Quellensteuer</w:t>
      </w:r>
      <w:r>
        <w:rPr>
          <w:rFonts w:ascii="Arial" w:cs="Arial" w:eastAsia="Arial" w:hAnsi="Arial"/>
          <w:sz w:val="18"/>
          <w:szCs w:val="18"/>
          <w:color w:val="auto"/>
        </w:rPr>
        <w:t>) and related default interests due and payable on the compensation paid to the independent member of the board of directors of the Company, the Company is not in default (</w:t>
      </w:r>
      <w:r>
        <w:rPr>
          <w:rFonts w:ascii="Arial" w:cs="Arial" w:eastAsia="Arial" w:hAnsi="Arial"/>
          <w:sz w:val="18"/>
          <w:szCs w:val="18"/>
          <w:i w:val="1"/>
          <w:iCs w:val="1"/>
          <w:color w:val="auto"/>
        </w:rPr>
        <w:t>Zahlungsverzug</w:t>
      </w:r>
      <w:r>
        <w:rPr>
          <w:rFonts w:ascii="Arial" w:cs="Arial" w:eastAsia="Arial" w:hAnsi="Arial"/>
          <w:sz w:val="18"/>
          <w:szCs w:val="18"/>
          <w:color w:val="auto"/>
        </w:rPr>
        <w:t>) with the payment of any Taxes.</w:t>
      </w:r>
    </w:p>
    <w:p>
      <w:pPr>
        <w:spacing w:after="0" w:line="230" w:lineRule="exact"/>
        <w:rPr>
          <w:rFonts w:ascii="Arial" w:cs="Arial" w:eastAsia="Arial" w:hAnsi="Arial"/>
          <w:sz w:val="18"/>
          <w:szCs w:val="18"/>
          <w:color w:val="auto"/>
        </w:rPr>
      </w:pPr>
    </w:p>
    <w:p>
      <w:pPr>
        <w:ind w:left="660" w:right="240" w:hanging="652"/>
        <w:spacing w:after="0" w:line="256"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than ordinary course audits or investigations (including the VAT audit by the Swiss Federal Tax Administration scheduled for December 12 to December 13, 2022), the Company has not been the subject of any audit or investigation by any Governmental Authority.</w:t>
      </w:r>
    </w:p>
    <w:p>
      <w:pPr>
        <w:spacing w:after="0" w:line="228" w:lineRule="exact"/>
        <w:rPr>
          <w:rFonts w:ascii="Arial" w:cs="Arial" w:eastAsia="Arial" w:hAnsi="Arial"/>
          <w:sz w:val="18"/>
          <w:szCs w:val="18"/>
          <w:color w:val="auto"/>
        </w:rPr>
      </w:pPr>
    </w:p>
    <w:p>
      <w:pPr>
        <w:ind w:left="660" w:right="60" w:hanging="652"/>
        <w:spacing w:after="0" w:line="256" w:lineRule="auto"/>
        <w:tabs>
          <w:tab w:leader="none" w:pos="65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claim has been made by any Governmental Authority before the date hereof in the past three (3) years in a jurisdiction where the Company does not file Tax Returns that the Company is or may be subject to Taxation by that jurisdiction. The Company has no permanent establishment outside Switzerland that could subject it to Liabilities for Taxes outside Switzerland.</w:t>
      </w:r>
    </w:p>
    <w:p>
      <w:pPr>
        <w:spacing w:after="0" w:line="228" w:lineRule="exact"/>
        <w:rPr>
          <w:rFonts w:ascii="Arial" w:cs="Arial" w:eastAsia="Arial" w:hAnsi="Arial"/>
          <w:sz w:val="18"/>
          <w:szCs w:val="18"/>
          <w:color w:val="auto"/>
        </w:rPr>
      </w:pPr>
    </w:p>
    <w:p>
      <w:pPr>
        <w:ind w:left="660" w:right="740" w:hanging="652"/>
        <w:spacing w:after="0" w:line="291" w:lineRule="auto"/>
        <w:tabs>
          <w:tab w:leader="none" w:pos="65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Data Room Documents contain all Tax Rulings issued to the Company. The Company fully complies with the terms and conditions of the Tax Rulings and the Tax Rulings are in full force and effect and not subject to any threat of termination.</w:t>
      </w:r>
    </w:p>
    <w:p>
      <w:pPr>
        <w:spacing w:after="0" w:line="200" w:lineRule="exact"/>
        <w:rPr>
          <w:rFonts w:ascii="Arial" w:cs="Arial" w:eastAsia="Arial" w:hAnsi="Arial"/>
          <w:sz w:val="17"/>
          <w:szCs w:val="17"/>
          <w:color w:val="auto"/>
        </w:rPr>
      </w:pPr>
    </w:p>
    <w:p>
      <w:pPr>
        <w:ind w:left="660" w:right="180" w:hanging="652"/>
        <w:spacing w:after="0" w:line="261" w:lineRule="auto"/>
        <w:tabs>
          <w:tab w:leader="none" w:pos="6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transactions and agreements between the Company and its shareholders or its shareholders' Affiliates have been concluded on arm's length terms.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7.2.3</w:t>
      </w:r>
      <w:r>
        <w:rPr>
          <w:sz w:val="20"/>
          <w:szCs w:val="20"/>
          <w:color w:val="auto"/>
        </w:rPr>
        <w:tab/>
      </w:r>
      <w:r>
        <w:rPr>
          <w:rFonts w:ascii="Arial" w:cs="Arial" w:eastAsia="Arial" w:hAnsi="Arial"/>
          <w:sz w:val="17"/>
          <w:szCs w:val="17"/>
          <w:b w:val="1"/>
          <w:bCs w:val="1"/>
          <w:color w:val="auto"/>
        </w:rPr>
        <w:t>Assets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has good and valid title to, or a valid right secured by contract (including lease, rental or other leasing agreement) or otherwise to use, all of the assets used by the Company in the conduct of its business and all of the assets included in the balance sheet contained in the Financial Statements, in each case free and clear of all Liens. The assets owned by or validly licensed, leased or rented to the Company include all of the assets that are used in its operations as currently conducted, are adequate to conduct the business as currently conducted, and will be adequate to enable the Buyer to continue to conduct its business as currently conducted. The assets of the Company are in good operating condition and repair, normal wear and tear excepted, are in their current condition safe to operate and suitable for the uses intended therefor, are free from any latent defects and have been maintained in accordance with normal industry practice. The Company has not delayed or postponed any maintenance expenses of buildings, plants, machinery, vehicles, structures or equipment, compared to the ordinary course of business consistent with past practice and normal industry practice.</w:t>
      </w:r>
    </w:p>
    <w:p>
      <w:pPr>
        <w:spacing w:after="0" w:line="2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7.2.4</w:t>
      </w:r>
      <w:r>
        <w:rPr>
          <w:sz w:val="20"/>
          <w:szCs w:val="20"/>
          <w:color w:val="auto"/>
        </w:rPr>
        <w:tab/>
      </w:r>
      <w:r>
        <w:rPr>
          <w:rFonts w:ascii="Arial" w:cs="Arial" w:eastAsia="Arial" w:hAnsi="Arial"/>
          <w:sz w:val="17"/>
          <w:szCs w:val="17"/>
          <w:b w:val="1"/>
          <w:bCs w:val="1"/>
          <w:color w:val="auto"/>
        </w:rPr>
        <w:t>Intellectual Property Rights</w:t>
      </w:r>
    </w:p>
    <w:p>
      <w:pPr>
        <w:spacing w:after="0" w:line="274" w:lineRule="exact"/>
        <w:rPr>
          <w:sz w:val="20"/>
          <w:szCs w:val="20"/>
          <w:color w:val="auto"/>
        </w:rPr>
      </w:pPr>
    </w:p>
    <w:p>
      <w:pPr>
        <w:ind w:left="660" w:right="520" w:hanging="652"/>
        <w:spacing w:after="0" w:line="256" w:lineRule="auto"/>
        <w:tabs>
          <w:tab w:leader="none" w:pos="6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To the Sellers' Best Knowledge, all Intellectual Property Rights necessary in connection with the operations of the Company as currently conducted and as currently proposed to be conducted after the Closing are (i) owned by the Company (the </w:t>
      </w:r>
      <w:r>
        <w:rPr>
          <w:rFonts w:ascii="Arial" w:cs="Arial" w:eastAsia="Arial" w:hAnsi="Arial"/>
          <w:sz w:val="18"/>
          <w:szCs w:val="18"/>
          <w:b w:val="1"/>
          <w:bCs w:val="1"/>
          <w:color w:val="auto"/>
        </w:rPr>
        <w:t>Owned</w:t>
      </w:r>
      <w:r>
        <w:rPr>
          <w:rFonts w:ascii="Arial" w:cs="Arial" w:eastAsia="Arial" w:hAnsi="Arial"/>
          <w:sz w:val="18"/>
          <w:szCs w:val="18"/>
          <w:color w:val="auto"/>
        </w:rPr>
        <w:t xml:space="preserve">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or (ii)</w:t>
      </w:r>
    </w:p>
    <w:p>
      <w:pPr>
        <w:sectPr>
          <w:pgSz w:w="11900" w:h="16838" w:orient="portrait"/>
          <w:cols w:equalWidth="0" w:num="1">
            <w:col w:w="11220"/>
          </w:cols>
          <w:pgMar w:left="320" w:top="1435" w:right="359" w:bottom="1440" w:gutter="0" w:footer="0" w:header="0"/>
        </w:sectPr>
      </w:pPr>
    </w:p>
    <w:bookmarkStart w:id="146" w:name="page147"/>
    <w:bookmarkEnd w:id="146"/>
    <w:p>
      <w:pPr>
        <w:jc w:val="both"/>
        <w:ind w:left="660"/>
        <w:spacing w:after="0" w:line="282" w:lineRule="auto"/>
        <w:rPr>
          <w:sz w:val="20"/>
          <w:szCs w:val="20"/>
          <w:color w:val="auto"/>
        </w:rPr>
      </w:pPr>
      <w:r>
        <w:rPr>
          <w:rFonts w:ascii="Arial" w:cs="Arial" w:eastAsia="Arial" w:hAnsi="Arial"/>
          <w:sz w:val="17"/>
          <w:szCs w:val="17"/>
          <w:color w:val="auto"/>
        </w:rPr>
        <w:t xml:space="preserve">otherwise lawfully used by the Company (the </w:t>
      </w:r>
      <w:r>
        <w:rPr>
          <w:rFonts w:ascii="Arial" w:cs="Arial" w:eastAsia="Arial" w:hAnsi="Arial"/>
          <w:sz w:val="17"/>
          <w:szCs w:val="17"/>
          <w:b w:val="1"/>
          <w:bCs w:val="1"/>
          <w:color w:val="auto"/>
        </w:rPr>
        <w:t>Licensed Intellectual Property Rights</w:t>
      </w:r>
      <w:r>
        <w:rPr>
          <w:rFonts w:ascii="Arial" w:cs="Arial" w:eastAsia="Arial" w:hAnsi="Arial"/>
          <w:sz w:val="17"/>
          <w:szCs w:val="17"/>
          <w:color w:val="auto"/>
        </w:rPr>
        <w:t xml:space="preserve">). As of the date of this Agreement, </w:t>
      </w:r>
      <w:r>
        <w:rPr>
          <w:rFonts w:ascii="Arial" w:cs="Arial" w:eastAsia="Arial" w:hAnsi="Arial"/>
          <w:sz w:val="17"/>
          <w:szCs w:val="17"/>
          <w:u w:val="single" w:color="auto"/>
          <w:color w:val="auto"/>
        </w:rPr>
        <w:t>Annex 7.2.4</w:t>
      </w:r>
      <w:r>
        <w:rPr>
          <w:rFonts w:ascii="Arial" w:cs="Arial" w:eastAsia="Arial" w:hAnsi="Arial"/>
          <w:sz w:val="17"/>
          <w:szCs w:val="17"/>
          <w:color w:val="auto"/>
        </w:rPr>
        <w:t xml:space="preserve"> includes all registered Owned Intellectual Property Rights as well as a schedule of known due dates for office actions, payments and other actions required to be handled within one year from the Closing Date for the prosecution and maintenance of registered Owned Intellectual Property Rights and further identifies for each right the name of the law firm handling its prosecution and maintenance.</w:t>
      </w:r>
    </w:p>
    <w:p>
      <w:pPr>
        <w:spacing w:after="0" w:line="210" w:lineRule="exact"/>
        <w:rPr>
          <w:sz w:val="20"/>
          <w:szCs w:val="20"/>
          <w:color w:val="auto"/>
        </w:rPr>
      </w:pPr>
    </w:p>
    <w:p>
      <w:pPr>
        <w:ind w:left="660" w:right="20" w:hanging="652"/>
        <w:spacing w:after="0" w:line="256"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Data Room Documents contain a list of Patents, Trademarks and Domain Names registered to or applied to for by the Company. All necessary renewal applications have been filed and all payments have been made when due and payable to maintain such Trademarks and Domain Names.</w:t>
      </w:r>
    </w:p>
    <w:p>
      <w:pPr>
        <w:spacing w:after="0" w:line="228" w:lineRule="exact"/>
        <w:rPr>
          <w:rFonts w:ascii="Arial" w:cs="Arial" w:eastAsia="Arial" w:hAnsi="Arial"/>
          <w:sz w:val="18"/>
          <w:szCs w:val="18"/>
          <w:color w:val="auto"/>
        </w:rPr>
      </w:pPr>
    </w:p>
    <w:p>
      <w:pPr>
        <w:ind w:left="660" w:right="200" w:hanging="652"/>
        <w:spacing w:after="0" w:line="261" w:lineRule="auto"/>
        <w:tabs>
          <w:tab w:leader="none" w:pos="65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claims, disputes, opposition or nullity proceedings (including for opposition, cancellation, revocation or rectification) are pending or threatened in writing challenging the ownership, use or validity of the Owned Intellectual Property Rights.</w:t>
      </w:r>
    </w:p>
    <w:p>
      <w:pPr>
        <w:spacing w:after="0" w:line="224" w:lineRule="exact"/>
        <w:rPr>
          <w:rFonts w:ascii="Arial" w:cs="Arial" w:eastAsia="Arial" w:hAnsi="Arial"/>
          <w:sz w:val="18"/>
          <w:szCs w:val="18"/>
          <w:color w:val="auto"/>
        </w:rPr>
      </w:pPr>
    </w:p>
    <w:p>
      <w:pPr>
        <w:ind w:left="640" w:hanging="632"/>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Sellers' Best Knowledge, no third party is infringing on, or making unauthorized use of, the Owned Intellectual Property Rights.</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Sellers' Best Knowledge, the Company does not infringe on any Intellectual Property Rights of any third party. The Company has not been, since December 31, 2020, threatened in writing in connection with any infringement of any Intellectual Property Rights of any third party.</w:t>
      </w:r>
    </w:p>
    <w:p>
      <w:pPr>
        <w:spacing w:after="0" w:line="228" w:lineRule="exact"/>
        <w:rPr>
          <w:rFonts w:ascii="Arial" w:cs="Arial" w:eastAsia="Arial" w:hAnsi="Arial"/>
          <w:sz w:val="18"/>
          <w:szCs w:val="18"/>
          <w:color w:val="auto"/>
        </w:rPr>
      </w:pPr>
    </w:p>
    <w:p>
      <w:pPr>
        <w:ind w:left="660" w:right="100" w:hanging="652"/>
        <w:spacing w:after="0" w:line="252" w:lineRule="auto"/>
        <w:tabs>
          <w:tab w:leader="none" w:pos="65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Sellers' Best Knowledge, the Owned Intellectual Property Rights and the Licensed Intellectual Property Rights include all Intellectual Property Rights necessary for the conduct of the Company's business as currently conducted and as currently proposed to be conducted after the Closing, and none of the Owned Intellectual Property Rights and Licensed Intellectual Property Rights are the subject of any Action or covenant restricting the ownership or materially restricting the use of the respective Intellectual Property Rights as intended to be used in the Company's business as currently conducted and as currently proposed to be conducted after the Closing. To the Sellers' Best Knowledge, none of the Owned Intellectual Property Rights or Licensed Intellectual Property Rights are owned or possessed by any of the Sellers or any director, officer or employee of the Company.</w:t>
      </w:r>
    </w:p>
    <w:p>
      <w:pPr>
        <w:spacing w:after="0" w:line="233" w:lineRule="exact"/>
        <w:rPr>
          <w:rFonts w:ascii="Arial" w:cs="Arial" w:eastAsia="Arial" w:hAnsi="Arial"/>
          <w:sz w:val="18"/>
          <w:szCs w:val="18"/>
          <w:color w:val="auto"/>
        </w:rPr>
      </w:pPr>
    </w:p>
    <w:p>
      <w:pPr>
        <w:ind w:left="660" w:right="180" w:hanging="652"/>
        <w:spacing w:after="0" w:line="256"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entered into non-disclosure agreements to protect the Company's trade secrets, confidential information, customer lists, software, technical information, data, process technology, plans, drawings, and blue prints, as the case may be, that relate to the Company's business and which are disclosed to third parties in the ordinary course of the Company's business.</w:t>
      </w:r>
    </w:p>
    <w:p>
      <w:pPr>
        <w:spacing w:after="0" w:line="228" w:lineRule="exact"/>
        <w:rPr>
          <w:rFonts w:ascii="Arial" w:cs="Arial" w:eastAsia="Arial" w:hAnsi="Arial"/>
          <w:sz w:val="18"/>
          <w:szCs w:val="18"/>
          <w:color w:val="auto"/>
        </w:rPr>
      </w:pPr>
    </w:p>
    <w:p>
      <w:pPr>
        <w:ind w:left="660" w:right="200" w:hanging="652"/>
        <w:spacing w:after="0" w:line="254" w:lineRule="auto"/>
        <w:tabs>
          <w:tab w:leader="none" w:pos="65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fulfilled all of its obligations concerning employees', consultants' and other persons' inventions and designs, and the exclusive right to all Intellectual Property Rights (including but not limited to Copyrights and inventions) created by any such persons in fulfilling their contractual obligations towards the Company, has been validly assigned to the Company except for moral rights and other personality rights, which may not be assigned pursuant to mandatory applicable Law.</w:t>
      </w:r>
    </w:p>
    <w:p>
      <w:pPr>
        <w:spacing w:after="0" w:line="230" w:lineRule="exact"/>
        <w:rPr>
          <w:rFonts w:ascii="Arial" w:cs="Arial" w:eastAsia="Arial" w:hAnsi="Arial"/>
          <w:sz w:val="18"/>
          <w:szCs w:val="18"/>
          <w:color w:val="auto"/>
        </w:rPr>
      </w:pPr>
    </w:p>
    <w:p>
      <w:pPr>
        <w:ind w:left="660" w:right="100" w:hanging="652"/>
        <w:spacing w:after="0" w:line="256" w:lineRule="auto"/>
        <w:tabs>
          <w:tab w:leader="none" w:pos="6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Company has taken reasonable steps to protect its trade secrets, confidential information, and processes to prevent any unauthorized third party to access and use such trade secrets, confidential information, and processes with regard to the Intellectual Property Rights owned or licensed by the Company.</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7.2.5</w:t>
      </w:r>
      <w:r>
        <w:rPr>
          <w:sz w:val="20"/>
          <w:szCs w:val="20"/>
          <w:color w:val="auto"/>
        </w:rPr>
        <w:tab/>
      </w:r>
      <w:r>
        <w:rPr>
          <w:rFonts w:ascii="Arial" w:cs="Arial" w:eastAsia="Arial" w:hAnsi="Arial"/>
          <w:sz w:val="17"/>
          <w:szCs w:val="17"/>
          <w:b w:val="1"/>
          <w:bCs w:val="1"/>
          <w:color w:val="auto"/>
        </w:rPr>
        <w:t>Information Technology Assets</w:t>
      </w:r>
    </w:p>
    <w:p>
      <w:pPr>
        <w:sectPr>
          <w:pgSz w:w="11900" w:h="16838" w:orient="portrait"/>
          <w:cols w:equalWidth="0" w:num="1">
            <w:col w:w="11240"/>
          </w:cols>
          <w:pgMar w:left="320" w:top="1413" w:right="339" w:bottom="1440" w:gutter="0" w:footer="0" w:header="0"/>
        </w:sectPr>
      </w:pPr>
    </w:p>
    <w:bookmarkStart w:id="147" w:name="page148"/>
    <w:bookmarkEnd w:id="147"/>
    <w:p>
      <w:pPr>
        <w:ind w:left="660" w:right="60" w:hanging="652"/>
        <w:spacing w:after="0" w:line="257"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computer systems, communication systems, software and hardware used by the Company (the </w:t>
      </w:r>
      <w:r>
        <w:rPr>
          <w:rFonts w:ascii="Arial" w:cs="Arial" w:eastAsia="Arial" w:hAnsi="Arial"/>
          <w:sz w:val="18"/>
          <w:szCs w:val="18"/>
          <w:b w:val="1"/>
          <w:bCs w:val="1"/>
          <w:color w:val="auto"/>
        </w:rPr>
        <w:t>Information Technology</w:t>
      </w:r>
      <w:r>
        <w:rPr>
          <w:rFonts w:ascii="Arial" w:cs="Arial" w:eastAsia="Arial" w:hAnsi="Arial"/>
          <w:sz w:val="18"/>
          <w:szCs w:val="18"/>
          <w:color w:val="auto"/>
        </w:rPr>
        <w:t xml:space="preserve"> </w:t>
      </w:r>
      <w:r>
        <w:rPr>
          <w:rFonts w:ascii="Arial" w:cs="Arial" w:eastAsia="Arial" w:hAnsi="Arial"/>
          <w:sz w:val="18"/>
          <w:szCs w:val="18"/>
          <w:b w:val="1"/>
          <w:bCs w:val="1"/>
          <w:color w:val="auto"/>
        </w:rPr>
        <w:t>Assets</w:t>
      </w:r>
      <w:r>
        <w:rPr>
          <w:rFonts w:ascii="Arial" w:cs="Arial" w:eastAsia="Arial" w:hAnsi="Arial"/>
          <w:sz w:val="18"/>
          <w:szCs w:val="18"/>
          <w:color w:val="auto"/>
        </w:rPr>
        <w:t>) are in good working condition and sufficient to perform all computing, information technology and data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necessary for the operation of the Company's business as currently conducted and, to the Sellers' Best Knowledge, as currently intended to be conducted after the Closing. To the Sellers' Best Knowledge, the Company has taken reasonable steps and implemented reasonable safeguards to protect its Information Technology Assets, including without limitation against any unauthorized use or access, to ensure business continuity.</w:t>
      </w:r>
    </w:p>
    <w:p>
      <w:pPr>
        <w:spacing w:after="0" w:line="231" w:lineRule="exact"/>
        <w:rPr>
          <w:rFonts w:ascii="Arial" w:cs="Arial" w:eastAsia="Arial" w:hAnsi="Arial"/>
          <w:sz w:val="18"/>
          <w:szCs w:val="18"/>
          <w:color w:val="auto"/>
        </w:rPr>
      </w:pPr>
    </w:p>
    <w:p>
      <w:pPr>
        <w:ind w:left="660" w:hanging="652"/>
        <w:spacing w:after="0" w:line="254"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Technology Assets are adequate and sufficient for the current requirements of the Company in terms of functionality and performance and for the size and scope of the business as currently being conducted by the Company. In the twelve (12) months prior to the date of this Agreement, the Company has not suffered any failure, virus or bug in or breakdown of any part of the Information Technology Assets which has caused any material disruption or interruption to its use by the Company.</w:t>
      </w:r>
    </w:p>
    <w:p>
      <w:pPr>
        <w:spacing w:after="0" w:line="230" w:lineRule="exact"/>
        <w:rPr>
          <w:rFonts w:ascii="Arial" w:cs="Arial" w:eastAsia="Arial" w:hAnsi="Arial"/>
          <w:sz w:val="18"/>
          <w:szCs w:val="18"/>
          <w:color w:val="auto"/>
        </w:rPr>
      </w:pPr>
    </w:p>
    <w:p>
      <w:pPr>
        <w:jc w:val="both"/>
        <w:ind w:left="660" w:right="120" w:hanging="652"/>
        <w:spacing w:after="0" w:line="278" w:lineRule="auto"/>
        <w:tabs>
          <w:tab w:leader="none" w:pos="65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Company has reasonable procedures in place to ensure the security of the Information Technology Assets and data stored on them, including, without limitation, an effective firewall, properly administered and run password protection, virus checking software and procedures for taking and storing back-up copies of the software and stored data and appropriate disaster recovery provisions.</w:t>
      </w:r>
    </w:p>
    <w:p>
      <w:pPr>
        <w:spacing w:after="0" w:line="211" w:lineRule="exact"/>
        <w:rPr>
          <w:rFonts w:ascii="Arial" w:cs="Arial" w:eastAsia="Arial" w:hAnsi="Arial"/>
          <w:sz w:val="17"/>
          <w:szCs w:val="17"/>
          <w:color w:val="auto"/>
        </w:rPr>
      </w:pPr>
    </w:p>
    <w:p>
      <w:pPr>
        <w:ind w:left="660" w:right="220" w:hanging="652"/>
        <w:spacing w:after="0" w:line="253" w:lineRule="auto"/>
        <w:tabs>
          <w:tab w:leader="none" w:pos="65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records, data and information of the Company are recorded, stored, maintained or operated or otherwise held by the Company and the use of or access to such records and systems is not wholly or partly dependent on any facilities (except for telecommunication transmission facilities) which are not under the ownership or control (for the avoidance of doubt, control shall include use of or access to such records and systems by means of an agreement with cloud or other service providers) of the Company.</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7.2.6</w:t>
      </w:r>
      <w:r>
        <w:rPr>
          <w:sz w:val="20"/>
          <w:szCs w:val="20"/>
          <w:color w:val="auto"/>
        </w:rPr>
        <w:tab/>
      </w:r>
      <w:r>
        <w:rPr>
          <w:rFonts w:ascii="Arial" w:cs="Arial" w:eastAsia="Arial" w:hAnsi="Arial"/>
          <w:sz w:val="17"/>
          <w:szCs w:val="17"/>
          <w:b w:val="1"/>
          <w:bCs w:val="1"/>
          <w:color w:val="auto"/>
        </w:rPr>
        <w:t>Product Software</w:t>
      </w:r>
    </w:p>
    <w:p>
      <w:pPr>
        <w:spacing w:after="0" w:line="252" w:lineRule="exact"/>
        <w:rPr>
          <w:sz w:val="20"/>
          <w:szCs w:val="20"/>
          <w:color w:val="auto"/>
        </w:rPr>
      </w:pPr>
    </w:p>
    <w:p>
      <w:pPr>
        <w:ind w:left="660" w:right="400" w:hanging="652"/>
        <w:spacing w:after="0" w:line="318" w:lineRule="auto"/>
        <w:tabs>
          <w:tab w:leader="none" w:pos="65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All software forming part of the Sigi Patch Pump as of the date of this Agreement (the </w:t>
      </w:r>
      <w:r>
        <w:rPr>
          <w:rFonts w:ascii="Arial" w:cs="Arial" w:eastAsia="Arial" w:hAnsi="Arial"/>
          <w:sz w:val="17"/>
          <w:szCs w:val="17"/>
          <w:b w:val="1"/>
          <w:bCs w:val="1"/>
          <w:color w:val="auto"/>
        </w:rPr>
        <w:t>Product Software</w:t>
      </w:r>
      <w:r>
        <w:rPr>
          <w:rFonts w:ascii="Arial" w:cs="Arial" w:eastAsia="Arial" w:hAnsi="Arial"/>
          <w:sz w:val="17"/>
          <w:szCs w:val="17"/>
          <w:color w:val="auto"/>
        </w:rPr>
        <w:t>) is owned by or validly licensed to the Company, and the Company has the right to use it as currently used and as currently intended to be used.</w:t>
      </w:r>
    </w:p>
    <w:p>
      <w:pPr>
        <w:spacing w:after="0" w:line="178" w:lineRule="exact"/>
        <w:rPr>
          <w:rFonts w:ascii="Arial" w:cs="Arial" w:eastAsia="Arial" w:hAnsi="Arial"/>
          <w:sz w:val="17"/>
          <w:szCs w:val="17"/>
          <w:color w:val="auto"/>
        </w:rPr>
      </w:pPr>
    </w:p>
    <w:p>
      <w:pPr>
        <w:ind w:left="660" w:right="180" w:hanging="652"/>
        <w:spacing w:after="0" w:line="253"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Sellers' Best Knowledge, all licenses granted to the Company of third party software forming part of Product Software are in full force and effect without default by any party thereto, the Company has paid any and all royalties due thereunder, and no such license may be terminated by the third party as a result of the transaction contemplated by this Agreement. Furthermore, to the Sellers' Best Knowledge, the Company is in compliance with the terms of use of any and all licenses which govern the use of Product Software.</w:t>
      </w:r>
    </w:p>
    <w:p>
      <w:pPr>
        <w:spacing w:after="0" w:line="232" w:lineRule="exact"/>
        <w:rPr>
          <w:rFonts w:ascii="Arial" w:cs="Arial" w:eastAsia="Arial" w:hAnsi="Arial"/>
          <w:sz w:val="18"/>
          <w:szCs w:val="18"/>
          <w:color w:val="auto"/>
        </w:rPr>
      </w:pPr>
    </w:p>
    <w:p>
      <w:pPr>
        <w:jc w:val="both"/>
        <w:ind w:left="660" w:right="300" w:hanging="652"/>
        <w:spacing w:after="0" w:line="256" w:lineRule="auto"/>
        <w:tabs>
          <w:tab w:leader="none" w:pos="65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is not obligated or under any liability to make any recurring payments by way of royalties, fees or otherwise to any owner or licensor of any Product Software other than commercially available, standard software (including, without limitation, any former and current employee and consultants) with respect to the use thereof.</w:t>
      </w:r>
    </w:p>
    <w:p>
      <w:pPr>
        <w:spacing w:after="0" w:line="228" w:lineRule="exact"/>
        <w:rPr>
          <w:rFonts w:ascii="Arial" w:cs="Arial" w:eastAsia="Arial" w:hAnsi="Arial"/>
          <w:sz w:val="18"/>
          <w:szCs w:val="18"/>
          <w:color w:val="auto"/>
        </w:rPr>
      </w:pPr>
    </w:p>
    <w:p>
      <w:pPr>
        <w:ind w:left="660" w:right="140" w:hanging="652"/>
        <w:spacing w:after="0" w:line="253" w:lineRule="auto"/>
        <w:tabs>
          <w:tab w:leader="none" w:pos="65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is aware of, and in all material respects in compliance with, the terms of use of the licenses which govern the use of Public Software incorporated into the Product Software. To the Sellers' Best Knowledge, no Public Software has been incorporated with any Product Software owned by the Company in a manner that, under the applicable license, as of the date of this Agreement requires the Company to (i) disclose or distribute source code of any Product Software owned by the Company, (ii) to license any Product Software owned by the Company</w:t>
      </w:r>
    </w:p>
    <w:p>
      <w:pPr>
        <w:sectPr>
          <w:pgSz w:w="11900" w:h="16838" w:orient="portrait"/>
          <w:cols w:equalWidth="0" w:num="1">
            <w:col w:w="11180"/>
          </w:cols>
          <w:pgMar w:left="320" w:top="1413" w:right="399" w:bottom="1440" w:gutter="0" w:footer="0" w:header="0"/>
        </w:sectPr>
      </w:pPr>
    </w:p>
    <w:bookmarkStart w:id="148" w:name="page149"/>
    <w:bookmarkEnd w:id="148"/>
    <w:p>
      <w:pPr>
        <w:ind w:left="660"/>
        <w:spacing w:after="0" w:line="261" w:lineRule="auto"/>
        <w:rPr>
          <w:sz w:val="20"/>
          <w:szCs w:val="20"/>
          <w:color w:val="auto"/>
        </w:rPr>
      </w:pPr>
      <w:r>
        <w:rPr>
          <w:rFonts w:ascii="Arial" w:cs="Arial" w:eastAsia="Arial" w:hAnsi="Arial"/>
          <w:sz w:val="18"/>
          <w:szCs w:val="18"/>
          <w:color w:val="auto"/>
        </w:rPr>
        <w:t>under a Public Software license, or (iii) to license any Product Software owned by the Company for the purpose of making derivative works.</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7.2.7</w:t>
      </w:r>
      <w:r>
        <w:rPr>
          <w:sz w:val="20"/>
          <w:szCs w:val="20"/>
          <w:color w:val="auto"/>
        </w:rPr>
        <w:tab/>
      </w:r>
      <w:r>
        <w:rPr>
          <w:rFonts w:ascii="Arial" w:cs="Arial" w:eastAsia="Arial" w:hAnsi="Arial"/>
          <w:sz w:val="17"/>
          <w:szCs w:val="17"/>
          <w:b w:val="1"/>
          <w:bCs w:val="1"/>
          <w:color w:val="auto"/>
        </w:rPr>
        <w:t>Licenses; Regulatory Matters</w:t>
      </w:r>
    </w:p>
    <w:p>
      <w:pPr>
        <w:spacing w:after="0" w:line="274" w:lineRule="exact"/>
        <w:rPr>
          <w:sz w:val="20"/>
          <w:szCs w:val="20"/>
          <w:color w:val="auto"/>
        </w:rPr>
      </w:pPr>
    </w:p>
    <w:p>
      <w:pPr>
        <w:ind w:left="660" w:right="220" w:hanging="652"/>
        <w:spacing w:after="0" w:line="256" w:lineRule="auto"/>
        <w:tabs>
          <w:tab w:leader="none" w:pos="6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possesses all Licenses that are required in order for the Company to conduct the Company's business as currently conducted or currently intended to be conducted after the Closing Date. The Data Room Documents contain true, correct and complete copies of each of these Licenses. All of these Licenses are valid and in full force and effect.</w:t>
      </w:r>
    </w:p>
    <w:p>
      <w:pPr>
        <w:spacing w:after="0" w:line="228" w:lineRule="exact"/>
        <w:rPr>
          <w:rFonts w:ascii="Arial" w:cs="Arial" w:eastAsia="Arial" w:hAnsi="Arial"/>
          <w:sz w:val="18"/>
          <w:szCs w:val="18"/>
          <w:color w:val="auto"/>
        </w:rPr>
      </w:pPr>
    </w:p>
    <w:p>
      <w:pPr>
        <w:ind w:left="640" w:hanging="632"/>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Licenses do not unexpectedly or otherwise unduly restrict the business or operations of the Company.</w:t>
      </w:r>
    </w:p>
    <w:p>
      <w:pPr>
        <w:spacing w:after="0" w:line="252" w:lineRule="exact"/>
        <w:rPr>
          <w:rFonts w:ascii="Arial" w:cs="Arial" w:eastAsia="Arial" w:hAnsi="Arial"/>
          <w:sz w:val="18"/>
          <w:szCs w:val="18"/>
          <w:color w:val="auto"/>
        </w:rPr>
      </w:pPr>
    </w:p>
    <w:p>
      <w:pPr>
        <w:ind w:left="660" w:right="220" w:hanging="652"/>
        <w:spacing w:after="0" w:line="261" w:lineRule="auto"/>
        <w:tabs>
          <w:tab w:leader="none" w:pos="65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has complied with, is in compliance with, and has at all times operated the Company's business and maintained its assets in compliance with, all terms and requirements of each of these Licenses and all Laws in all material respects.</w:t>
      </w:r>
    </w:p>
    <w:p>
      <w:pPr>
        <w:spacing w:after="0" w:line="224" w:lineRule="exact"/>
        <w:rPr>
          <w:rFonts w:ascii="Arial" w:cs="Arial" w:eastAsia="Arial" w:hAnsi="Arial"/>
          <w:sz w:val="18"/>
          <w:szCs w:val="18"/>
          <w:color w:val="auto"/>
        </w:rPr>
      </w:pPr>
    </w:p>
    <w:p>
      <w:pPr>
        <w:ind w:left="660" w:right="20" w:hanging="652"/>
        <w:spacing w:after="0" w:line="261" w:lineRule="auto"/>
        <w:tabs>
          <w:tab w:leader="none" w:pos="6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Neither the execution of this Agreement, nor the consummation of the transactions contemplated hereby, will cause any termination, revocation, non-renewal, suspension or modification of any License.</w:t>
      </w:r>
    </w:p>
    <w:p>
      <w:pPr>
        <w:spacing w:after="0" w:line="224" w:lineRule="exact"/>
        <w:rPr>
          <w:rFonts w:ascii="Arial" w:cs="Arial" w:eastAsia="Arial" w:hAnsi="Arial"/>
          <w:sz w:val="18"/>
          <w:szCs w:val="18"/>
          <w:color w:val="auto"/>
        </w:rPr>
      </w:pPr>
    </w:p>
    <w:p>
      <w:pPr>
        <w:ind w:left="660" w:right="120" w:hanging="652"/>
        <w:spacing w:after="0" w:line="253" w:lineRule="auto"/>
        <w:tabs>
          <w:tab w:leader="none" w:pos="6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has not received any notification from any Governmental Authority or other Person alleging any violation of any License by the Company. To the Sellers' Best Knowledge, no event has occurred or circumstance exists that (with or without notice or lapse of time) may contravene, conflict with or result in a violation or breach of, or give any Person the right to cancel, terminate, revoke or modify any of these Licenses. There are no proceedings pending or, to the Sellers' Best Knowledge, threatened against the Company to cancel, terminate, revoke or modify any License.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7.2.8</w:t>
      </w:r>
      <w:r>
        <w:rPr>
          <w:sz w:val="20"/>
          <w:szCs w:val="20"/>
          <w:color w:val="auto"/>
        </w:rPr>
        <w:tab/>
      </w:r>
      <w:r>
        <w:rPr>
          <w:rFonts w:ascii="Arial" w:cs="Arial" w:eastAsia="Arial" w:hAnsi="Arial"/>
          <w:sz w:val="17"/>
          <w:szCs w:val="17"/>
          <w:b w:val="1"/>
          <w:bCs w:val="1"/>
          <w:color w:val="auto"/>
        </w:rPr>
        <w:t>Real Property</w:t>
      </w:r>
    </w:p>
    <w:p>
      <w:pPr>
        <w:spacing w:after="0" w:line="274" w:lineRule="exact"/>
        <w:rPr>
          <w:sz w:val="20"/>
          <w:szCs w:val="20"/>
          <w:color w:val="auto"/>
        </w:rPr>
      </w:pPr>
    </w:p>
    <w:p>
      <w:pPr>
        <w:ind w:left="660" w:right="320" w:hanging="652"/>
        <w:spacing w:after="0" w:line="261" w:lineRule="auto"/>
        <w:tabs>
          <w:tab w:leader="none" w:pos="6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Company does not own any real property. The Data Room Documents include, list or refer to all documents and information pertaining to all real property leased by the Company (the </w:t>
      </w:r>
      <w:r>
        <w:rPr>
          <w:rFonts w:ascii="Arial" w:cs="Arial" w:eastAsia="Arial" w:hAnsi="Arial"/>
          <w:sz w:val="18"/>
          <w:szCs w:val="18"/>
          <w:b w:val="1"/>
          <w:bCs w:val="1"/>
          <w:color w:val="auto"/>
        </w:rPr>
        <w:t>Real Property Leases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right="20" w:hanging="652"/>
        <w:spacing w:after="0" w:line="254" w:lineRule="auto"/>
        <w:tabs>
          <w:tab w:leader="none" w:pos="6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party to any Real Property Lease has given written notice of termination or made a claim or given notice in writing with respect to any material breach or material default under such lease, and all such written leases are valid, binding and in full force and effect. None of the Real Property Leases can be terminated, modified or subject to any other adverse consequences which are triggered, upon or due to the transaction contemplated by this Agreement.</w:t>
      </w:r>
    </w:p>
    <w:p>
      <w:pPr>
        <w:spacing w:after="0" w:line="230" w:lineRule="exact"/>
        <w:rPr>
          <w:rFonts w:ascii="Arial" w:cs="Arial" w:eastAsia="Arial" w:hAnsi="Arial"/>
          <w:sz w:val="18"/>
          <w:szCs w:val="18"/>
          <w:color w:val="auto"/>
        </w:rPr>
      </w:pPr>
    </w:p>
    <w:p>
      <w:pPr>
        <w:ind w:left="640" w:hanging="632"/>
        <w:spacing w:after="0"/>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interior fittings conducted by the Company of the real property leased have been approved by the landlord.</w:t>
      </w:r>
    </w:p>
    <w:p>
      <w:pPr>
        <w:spacing w:after="0" w:line="252" w:lineRule="exact"/>
        <w:rPr>
          <w:rFonts w:ascii="Arial" w:cs="Arial" w:eastAsia="Arial" w:hAnsi="Arial"/>
          <w:sz w:val="18"/>
          <w:szCs w:val="18"/>
          <w:color w:val="auto"/>
        </w:rPr>
      </w:pPr>
    </w:p>
    <w:p>
      <w:pPr>
        <w:ind w:left="660" w:right="520" w:hanging="652"/>
        <w:spacing w:after="0" w:line="256" w:lineRule="auto"/>
        <w:tabs>
          <w:tab w:leader="none" w:pos="6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cash deposit made by the Company with the Banque Cantonale Vaudoise (BCV) as a rent guarantee covers the entire guarantee amount due under the Real Property Leases and the Company is not obligated to make any further payment in this regard.</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7.2.9</w:t>
      </w:r>
      <w:r>
        <w:rPr>
          <w:sz w:val="20"/>
          <w:szCs w:val="20"/>
          <w:color w:val="auto"/>
        </w:rPr>
        <w:tab/>
      </w:r>
      <w:r>
        <w:rPr>
          <w:rFonts w:ascii="Arial" w:cs="Arial" w:eastAsia="Arial" w:hAnsi="Arial"/>
          <w:sz w:val="17"/>
          <w:szCs w:val="17"/>
          <w:b w:val="1"/>
          <w:bCs w:val="1"/>
          <w:color w:val="auto"/>
        </w:rPr>
        <w:t>Employment</w:t>
      </w:r>
    </w:p>
    <w:p>
      <w:pPr>
        <w:spacing w:after="0" w:line="274" w:lineRule="exact"/>
        <w:rPr>
          <w:sz w:val="20"/>
          <w:szCs w:val="20"/>
          <w:color w:val="auto"/>
        </w:rPr>
      </w:pPr>
    </w:p>
    <w:p>
      <w:pPr>
        <w:ind w:left="660" w:right="100" w:hanging="652"/>
        <w:spacing w:after="0" w:line="261"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Data Room Documents contain a complete and accurate list of all employees of the Company as of the date of this Agreement (the </w:t>
      </w:r>
      <w:r>
        <w:rPr>
          <w:rFonts w:ascii="Arial" w:cs="Arial" w:eastAsia="Arial" w:hAnsi="Arial"/>
          <w:sz w:val="18"/>
          <w:szCs w:val="18"/>
          <w:b w:val="1"/>
          <w:bCs w:val="1"/>
          <w:color w:val="auto"/>
        </w:rPr>
        <w:t>Employees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right="240" w:hanging="652"/>
        <w:spacing w:after="0" w:line="261" w:lineRule="auto"/>
        <w:tabs>
          <w:tab w:leader="none" w:pos="65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employment agreements with Employees have been entered into on terms and conditions substantially in accordance with the standard agreements made available as part of the Data</w:t>
      </w:r>
    </w:p>
    <w:p>
      <w:pPr>
        <w:sectPr>
          <w:pgSz w:w="11900" w:h="16838" w:orient="portrait"/>
          <w:cols w:equalWidth="0" w:num="1">
            <w:col w:w="11160"/>
          </w:cols>
          <w:pgMar w:left="320" w:top="1435" w:right="419" w:bottom="1440" w:gutter="0" w:footer="0" w:header="0"/>
        </w:sectPr>
      </w:pPr>
    </w:p>
    <w:bookmarkStart w:id="149" w:name="page150"/>
    <w:bookmarkEnd w:id="149"/>
    <w:p>
      <w:pPr>
        <w:ind w:left="660" w:right="120"/>
        <w:spacing w:after="0" w:line="254" w:lineRule="auto"/>
        <w:rPr>
          <w:sz w:val="20"/>
          <w:szCs w:val="20"/>
          <w:color w:val="auto"/>
        </w:rPr>
      </w:pPr>
      <w:r>
        <w:rPr>
          <w:rFonts w:ascii="Arial" w:cs="Arial" w:eastAsia="Arial" w:hAnsi="Arial"/>
          <w:sz w:val="18"/>
          <w:szCs w:val="18"/>
          <w:color w:val="auto"/>
        </w:rPr>
        <w:t>Room Documents, except to the extent specific executed employment agreements have been made available as part of the Data Room Documents. No Employee has a notice period longer than six (6) months, nor is there any termination compensation payable for termination on due notice that would exceed the equivalent of six (6) months’ salary (except for compensation during the notice period or as required by Law).</w:t>
      </w:r>
    </w:p>
    <w:p>
      <w:pPr>
        <w:spacing w:after="0" w:line="231" w:lineRule="exact"/>
        <w:rPr>
          <w:sz w:val="20"/>
          <w:szCs w:val="20"/>
          <w:color w:val="auto"/>
        </w:rPr>
      </w:pPr>
    </w:p>
    <w:p>
      <w:pPr>
        <w:ind w:left="660" w:right="300" w:hanging="652"/>
        <w:spacing w:after="0" w:line="261" w:lineRule="auto"/>
        <w:tabs>
          <w:tab w:leader="none" w:pos="6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of the date hereof, none of the Key Persons has given notice to terminate his or her employment agreement, nor has notice to terminate been given by the Company. The employment agreements with the Key Persons have been disclosed to the Buyer.</w:t>
      </w:r>
    </w:p>
    <w:p>
      <w:pPr>
        <w:spacing w:after="0" w:line="224" w:lineRule="exact"/>
        <w:rPr>
          <w:rFonts w:ascii="Arial" w:cs="Arial" w:eastAsia="Arial" w:hAnsi="Arial"/>
          <w:sz w:val="18"/>
          <w:szCs w:val="18"/>
          <w:color w:val="auto"/>
        </w:rPr>
      </w:pPr>
    </w:p>
    <w:p>
      <w:pPr>
        <w:ind w:left="660" w:right="80" w:hanging="652"/>
        <w:spacing w:after="0" w:line="256"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the Sellers' Best Knowledge, the Company is in compliance with all material contractual and legal obligations relating to employees. The Company is not, or has not been since December 31, 2020 subject to pending or threatened in writing any disputes with Governmental Authorities, works councils or other employee representatives.</w:t>
      </w:r>
    </w:p>
    <w:p>
      <w:pPr>
        <w:spacing w:after="0" w:line="228" w:lineRule="exact"/>
        <w:rPr>
          <w:rFonts w:ascii="Arial" w:cs="Arial" w:eastAsia="Arial" w:hAnsi="Arial"/>
          <w:sz w:val="18"/>
          <w:szCs w:val="18"/>
          <w:color w:val="auto"/>
        </w:rPr>
      </w:pPr>
    </w:p>
    <w:p>
      <w:pPr>
        <w:ind w:left="660" w:hanging="652"/>
        <w:spacing w:after="0" w:line="256"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for the Transaction Bonus, no material salary increases has been resolved or announced, there are no employment or benefit agreements, plans or arrangements entitling any Employee to severance or other payments upon a change of Control of the Company and there are no outstanding loans between the Company and any of its Employees.</w:t>
      </w:r>
    </w:p>
    <w:p>
      <w:pPr>
        <w:spacing w:after="0" w:line="228" w:lineRule="exact"/>
        <w:rPr>
          <w:rFonts w:ascii="Arial" w:cs="Arial" w:eastAsia="Arial" w:hAnsi="Arial"/>
          <w:sz w:val="18"/>
          <w:szCs w:val="18"/>
          <w:color w:val="auto"/>
        </w:rPr>
      </w:pPr>
    </w:p>
    <w:p>
      <w:pPr>
        <w:ind w:left="660" w:right="100" w:hanging="652"/>
        <w:spacing w:after="0" w:line="261" w:lineRule="auto"/>
        <w:tabs>
          <w:tab w:leader="none" w:pos="6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mass dismissals, in particular those which would give rise to any notification to a Governmental Authority, have been announced in the past or are being planned.</w:t>
      </w:r>
    </w:p>
    <w:p>
      <w:pPr>
        <w:spacing w:after="0" w:line="224" w:lineRule="exact"/>
        <w:rPr>
          <w:rFonts w:ascii="Arial" w:cs="Arial" w:eastAsia="Arial" w:hAnsi="Arial"/>
          <w:sz w:val="18"/>
          <w:szCs w:val="18"/>
          <w:color w:val="auto"/>
        </w:rPr>
      </w:pPr>
    </w:p>
    <w:p>
      <w:pPr>
        <w:ind w:left="660" w:right="820" w:hanging="652"/>
        <w:spacing w:after="0" w:line="261" w:lineRule="auto"/>
        <w:tabs>
          <w:tab w:leader="none" w:pos="65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than the staff lending by bNovate Technologies AG to the Company disclosed in the Data Room Document, bNovate Technologies AG has not lent any other staff to any third party during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7.2.10  Material Contracts</w:t>
      </w:r>
    </w:p>
    <w:p>
      <w:pPr>
        <w:spacing w:after="0" w:line="274" w:lineRule="exact"/>
        <w:rPr>
          <w:sz w:val="20"/>
          <w:szCs w:val="20"/>
          <w:color w:val="auto"/>
        </w:rPr>
      </w:pPr>
    </w:p>
    <w:p>
      <w:pPr>
        <w:ind w:left="660" w:hanging="652"/>
        <w:spacing w:after="0" w:line="261" w:lineRule="auto"/>
        <w:tabs>
          <w:tab w:leader="none" w:pos="65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Data Room Documents contain complete and correct copies of all contracts in effect as of the date hereof to which the Company or the Sellers are a party (the </w:t>
      </w:r>
      <w:r>
        <w:rPr>
          <w:rFonts w:ascii="Arial" w:cs="Arial" w:eastAsia="Arial" w:hAnsi="Arial"/>
          <w:sz w:val="18"/>
          <w:szCs w:val="18"/>
          <w:b w:val="1"/>
          <w:bCs w:val="1"/>
          <w:color w:val="auto"/>
        </w:rPr>
        <w:t>Material Contracts</w:t>
      </w:r>
      <w:r>
        <w:rPr>
          <w:rFonts w:ascii="Arial" w:cs="Arial" w:eastAsia="Arial" w:hAnsi="Arial"/>
          <w:sz w:val="18"/>
          <w:szCs w:val="18"/>
          <w:color w:val="auto"/>
        </w:rPr>
        <w:t>), and which:</w:t>
      </w:r>
    </w:p>
    <w:p>
      <w:pPr>
        <w:spacing w:after="0" w:line="224" w:lineRule="exact"/>
        <w:rPr>
          <w:rFonts w:ascii="Arial" w:cs="Arial" w:eastAsia="Arial" w:hAnsi="Arial"/>
          <w:sz w:val="18"/>
          <w:szCs w:val="18"/>
          <w:color w:val="auto"/>
        </w:rPr>
      </w:pPr>
    </w:p>
    <w:p>
      <w:pPr>
        <w:ind w:left="1300" w:right="60" w:hanging="642"/>
        <w:spacing w:after="0" w:line="261"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grant rights to any party thereto, if such right would have a material negative impact on the Company's business as currently conducted;</w:t>
      </w:r>
    </w:p>
    <w:p>
      <w:pPr>
        <w:spacing w:after="0" w:line="224" w:lineRule="exact"/>
        <w:rPr>
          <w:rFonts w:ascii="Arial" w:cs="Arial" w:eastAsia="Arial" w:hAnsi="Arial"/>
          <w:sz w:val="18"/>
          <w:szCs w:val="18"/>
          <w:color w:val="auto"/>
        </w:rPr>
      </w:pPr>
    </w:p>
    <w:p>
      <w:pPr>
        <w:ind w:left="1300" w:hanging="682"/>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contain any provision that refers to a change of Control of the Company;</w:t>
      </w:r>
    </w:p>
    <w:p>
      <w:pPr>
        <w:spacing w:after="0" w:line="252" w:lineRule="exact"/>
        <w:rPr>
          <w:rFonts w:ascii="Arial" w:cs="Arial" w:eastAsia="Arial" w:hAnsi="Arial"/>
          <w:sz w:val="18"/>
          <w:szCs w:val="18"/>
          <w:color w:val="auto"/>
        </w:rPr>
      </w:pPr>
    </w:p>
    <w:p>
      <w:pPr>
        <w:ind w:left="1300" w:right="200" w:hanging="722"/>
        <w:spacing w:after="0" w:line="261"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restrict the Company from engaging in or competing in any line of business as currently conducted or currently intended to be conducted by the Company;</w:t>
      </w:r>
    </w:p>
    <w:p>
      <w:pPr>
        <w:spacing w:after="0" w:line="224" w:lineRule="exact"/>
        <w:rPr>
          <w:rFonts w:ascii="Arial" w:cs="Arial" w:eastAsia="Arial" w:hAnsi="Arial"/>
          <w:sz w:val="18"/>
          <w:szCs w:val="18"/>
          <w:color w:val="auto"/>
        </w:rPr>
      </w:pPr>
    </w:p>
    <w:p>
      <w:pPr>
        <w:ind w:left="1300" w:hanging="732"/>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constitute a partnership, joint-venture, cooperation, consortium, profit sharing or similar material contract;</w:t>
      </w:r>
    </w:p>
    <w:p>
      <w:pPr>
        <w:spacing w:after="0" w:line="252" w:lineRule="exact"/>
        <w:rPr>
          <w:rFonts w:ascii="Arial" w:cs="Arial" w:eastAsia="Arial" w:hAnsi="Arial"/>
          <w:sz w:val="18"/>
          <w:szCs w:val="18"/>
          <w:color w:val="auto"/>
        </w:rPr>
      </w:pPr>
    </w:p>
    <w:p>
      <w:pPr>
        <w:ind w:left="1300" w:hanging="692"/>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constitute a contract relating to Licensed Intellectual Property Rights;</w:t>
      </w:r>
    </w:p>
    <w:p>
      <w:pPr>
        <w:spacing w:after="0" w:line="252" w:lineRule="exact"/>
        <w:rPr>
          <w:rFonts w:ascii="Arial" w:cs="Arial" w:eastAsia="Arial" w:hAnsi="Arial"/>
          <w:sz w:val="18"/>
          <w:szCs w:val="18"/>
          <w:color w:val="auto"/>
        </w:rPr>
      </w:pPr>
    </w:p>
    <w:p>
      <w:pPr>
        <w:ind w:left="1300" w:right="20" w:hanging="732"/>
        <w:spacing w:after="0" w:line="261" w:lineRule="auto"/>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contain any guarantee, indemnity or similar undertaking in respect of a third party obligation in excess of CHF 100,000 or the equivalent thereof in any other currency calculated on the date hereof;</w:t>
      </w:r>
    </w:p>
    <w:p>
      <w:pPr>
        <w:spacing w:after="0" w:line="224" w:lineRule="exact"/>
        <w:rPr>
          <w:rFonts w:ascii="Arial" w:cs="Arial" w:eastAsia="Arial" w:hAnsi="Arial"/>
          <w:sz w:val="18"/>
          <w:szCs w:val="18"/>
          <w:color w:val="auto"/>
        </w:rPr>
      </w:pPr>
    </w:p>
    <w:p>
      <w:pPr>
        <w:ind w:left="1300" w:hanging="772"/>
        <w:spacing w:after="0"/>
        <w:tabs>
          <w:tab w:leader="none" w:pos="130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are supply or research and development agreements that are material to the business of the Company;</w:t>
      </w:r>
    </w:p>
    <w:p>
      <w:pPr>
        <w:sectPr>
          <w:pgSz w:w="11900" w:h="16838" w:orient="portrait"/>
          <w:cols w:equalWidth="0" w:num="1">
            <w:col w:w="11220"/>
          </w:cols>
          <w:pgMar w:left="320" w:top="1435" w:right="359" w:bottom="1440" w:gutter="0" w:footer="0" w:header="0"/>
        </w:sectPr>
      </w:pPr>
    </w:p>
    <w:bookmarkStart w:id="150" w:name="page151"/>
    <w:bookmarkEnd w:id="150"/>
    <w:p>
      <w:pPr>
        <w:ind w:left="1292" w:right="480" w:hanging="812"/>
        <w:spacing w:after="0" w:line="261"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relate to the acquisition or disposal by the Company during the previous three (3) years of a company, business or real property for a consideration of CHF 100,000 or more;</w:t>
      </w:r>
    </w:p>
    <w:p>
      <w:pPr>
        <w:spacing w:after="0" w:line="224" w:lineRule="exact"/>
        <w:rPr>
          <w:rFonts w:ascii="Arial" w:cs="Arial" w:eastAsia="Arial" w:hAnsi="Arial"/>
          <w:sz w:val="18"/>
          <w:szCs w:val="18"/>
          <w:color w:val="auto"/>
        </w:rPr>
      </w:pPr>
    </w:p>
    <w:p>
      <w:pPr>
        <w:ind w:left="1292" w:hanging="732"/>
        <w:spacing w:after="0"/>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contain any off-balance sheet borrowing arrangement (including factoring arrangements);</w:t>
      </w:r>
    </w:p>
    <w:p>
      <w:pPr>
        <w:spacing w:after="0" w:line="252" w:lineRule="exact"/>
        <w:rPr>
          <w:rFonts w:ascii="Arial" w:cs="Arial" w:eastAsia="Arial" w:hAnsi="Arial"/>
          <w:sz w:val="18"/>
          <w:szCs w:val="18"/>
          <w:color w:val="auto"/>
        </w:rPr>
      </w:pPr>
    </w:p>
    <w:p>
      <w:pPr>
        <w:ind w:left="1292" w:right="100" w:hanging="692"/>
        <w:spacing w:after="0" w:line="261"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are contracts of employment with any director, officer, manager or employee of the Company, or any consultancy or agency contracts;</w:t>
      </w:r>
    </w:p>
    <w:p>
      <w:pPr>
        <w:spacing w:after="0" w:line="224" w:lineRule="exact"/>
        <w:rPr>
          <w:rFonts w:ascii="Arial" w:cs="Arial" w:eastAsia="Arial" w:hAnsi="Arial"/>
          <w:sz w:val="18"/>
          <w:szCs w:val="18"/>
          <w:color w:val="auto"/>
        </w:rPr>
      </w:pPr>
    </w:p>
    <w:p>
      <w:pPr>
        <w:ind w:left="1292" w:right="560" w:hanging="732"/>
        <w:spacing w:after="0" w:line="261"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contracts with or that require the retention of or payment to, an investment bank, broker, financial advisor, accountant, attorney or other advisor;</w:t>
      </w:r>
    </w:p>
    <w:p>
      <w:pPr>
        <w:spacing w:after="0" w:line="224" w:lineRule="exact"/>
        <w:rPr>
          <w:rFonts w:ascii="Arial" w:cs="Arial" w:eastAsia="Arial" w:hAnsi="Arial"/>
          <w:sz w:val="18"/>
          <w:szCs w:val="18"/>
          <w:color w:val="auto"/>
        </w:rPr>
      </w:pPr>
    </w:p>
    <w:p>
      <w:pPr>
        <w:ind w:left="1292" w:right="80" w:hanging="772"/>
        <w:spacing w:after="0" w:line="278" w:lineRule="auto"/>
        <w:tabs>
          <w:tab w:leader="none" w:pos="129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have been entered into (i) by the Company, on one hand, and any of the Sellers, any Affiliate of any of the Sellers, any Person related to any of the Sellers or in which any of the Sellers or any Affiliate of any of the Sellers has any interest in (whether directly or indirectly), on the other hand, or (ii) otherwise than at arm’s length or in the ordinary course of business;</w:t>
      </w:r>
    </w:p>
    <w:p>
      <w:pPr>
        <w:spacing w:after="0" w:line="211" w:lineRule="exact"/>
        <w:rPr>
          <w:rFonts w:ascii="Arial" w:cs="Arial" w:eastAsia="Arial" w:hAnsi="Arial"/>
          <w:sz w:val="17"/>
          <w:szCs w:val="17"/>
          <w:color w:val="auto"/>
        </w:rPr>
      </w:pPr>
    </w:p>
    <w:p>
      <w:pPr>
        <w:ind w:left="1292" w:right="160" w:hanging="812"/>
        <w:spacing w:after="0" w:line="261"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have been entered into for a term of more than two years, are or are likely to be of an unprofitable or loss making nature or contain material obligations or restrictions of an exceptional or unusual nature;</w:t>
      </w:r>
    </w:p>
    <w:p>
      <w:pPr>
        <w:spacing w:after="0" w:line="224" w:lineRule="exact"/>
        <w:rPr>
          <w:rFonts w:ascii="Arial" w:cs="Arial" w:eastAsia="Arial" w:hAnsi="Arial"/>
          <w:sz w:val="18"/>
          <w:szCs w:val="18"/>
          <w:color w:val="auto"/>
        </w:rPr>
      </w:pPr>
    </w:p>
    <w:p>
      <w:pPr>
        <w:ind w:left="1292" w:right="580" w:hanging="822"/>
        <w:spacing w:after="0" w:line="256"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are contracts or agreements with the top ten (10) suppliers by amount of purchases by Company (excluding any non-material purchase orders), together with a list setting out the absolute amount purchased and as percentage of total purchases;</w:t>
      </w:r>
    </w:p>
    <w:p>
      <w:pPr>
        <w:spacing w:after="0" w:line="228" w:lineRule="exact"/>
        <w:rPr>
          <w:rFonts w:ascii="Arial" w:cs="Arial" w:eastAsia="Arial" w:hAnsi="Arial"/>
          <w:sz w:val="18"/>
          <w:szCs w:val="18"/>
          <w:color w:val="auto"/>
        </w:rPr>
      </w:pPr>
    </w:p>
    <w:p>
      <w:pPr>
        <w:ind w:left="1292" w:hanging="782"/>
        <w:spacing w:after="0"/>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are lease agreements regarding premises;</w:t>
      </w:r>
    </w:p>
    <w:p>
      <w:pPr>
        <w:spacing w:after="0" w:line="252" w:lineRule="exact"/>
        <w:rPr>
          <w:rFonts w:ascii="Arial" w:cs="Arial" w:eastAsia="Arial" w:hAnsi="Arial"/>
          <w:sz w:val="18"/>
          <w:szCs w:val="18"/>
          <w:color w:val="auto"/>
        </w:rPr>
      </w:pPr>
    </w:p>
    <w:p>
      <w:pPr>
        <w:ind w:left="1292" w:hanging="822"/>
        <w:spacing w:after="0"/>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contemplate a notice period for termination of more than six (6) months;</w:t>
      </w:r>
    </w:p>
    <w:p>
      <w:pPr>
        <w:spacing w:after="0" w:line="252" w:lineRule="exact"/>
        <w:rPr>
          <w:rFonts w:ascii="Arial" w:cs="Arial" w:eastAsia="Arial" w:hAnsi="Arial"/>
          <w:sz w:val="18"/>
          <w:szCs w:val="18"/>
          <w:color w:val="auto"/>
        </w:rPr>
      </w:pPr>
    </w:p>
    <w:p>
      <w:pPr>
        <w:ind w:left="1292" w:hanging="862"/>
        <w:spacing w:after="0"/>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have, or is likely to have, a material adverse effect on the financial or trading position or prospects of Company; and</w:t>
      </w:r>
    </w:p>
    <w:p>
      <w:pPr>
        <w:spacing w:after="0" w:line="252" w:lineRule="exact"/>
        <w:rPr>
          <w:rFonts w:ascii="Arial" w:cs="Arial" w:eastAsia="Arial" w:hAnsi="Arial"/>
          <w:sz w:val="18"/>
          <w:szCs w:val="18"/>
          <w:color w:val="auto"/>
        </w:rPr>
      </w:pPr>
    </w:p>
    <w:p>
      <w:pPr>
        <w:ind w:left="1292" w:hanging="902"/>
        <w:spacing w:after="0"/>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are grants allocated by third parties to the Company.</w:t>
      </w:r>
    </w:p>
    <w:p>
      <w:pPr>
        <w:spacing w:after="0" w:line="252" w:lineRule="exact"/>
        <w:rPr>
          <w:rFonts w:ascii="Arial" w:cs="Arial" w:eastAsia="Arial" w:hAnsi="Arial"/>
          <w:sz w:val="18"/>
          <w:szCs w:val="18"/>
          <w:color w:val="auto"/>
        </w:rPr>
      </w:pPr>
    </w:p>
    <w:p>
      <w:pPr>
        <w:ind w:left="652" w:hanging="652"/>
        <w:spacing w:after="0" w:line="252" w:lineRule="auto"/>
        <w:tabs>
          <w:tab w:leader="none" w:pos="6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Material Contracts are in full force and effect and are valid and enforceable by the Company in accordance with their terms. In the past three (3) years until the date of this Agreement, the Company has not received any written notice of any material default under any Material Contract. As of the date of this Agreement, the Company is not and, to the Sellers' Best Knowledge, no other party thereto is in material default or material breach under any such Material Contract (and, to the Sellers' Best Knowledge, no event has occurred, with or without notice, that would result in a material default or material breach thereunder), and the Company has not delivered, as of the date hereof, any claim or written notice of default or breach under any such Material Contract.</w:t>
      </w:r>
    </w:p>
    <w:p>
      <w:pPr>
        <w:spacing w:after="0" w:line="234" w:lineRule="exact"/>
        <w:rPr>
          <w:rFonts w:ascii="Arial" w:cs="Arial" w:eastAsia="Arial" w:hAnsi="Arial"/>
          <w:sz w:val="18"/>
          <w:szCs w:val="18"/>
          <w:color w:val="auto"/>
        </w:rPr>
      </w:pPr>
    </w:p>
    <w:p>
      <w:pPr>
        <w:ind w:left="652" w:right="220" w:hanging="652"/>
        <w:spacing w:after="0" w:line="256" w:lineRule="auto"/>
        <w:tabs>
          <w:tab w:leader="none" w:pos="6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the Sellers' Best Knowledge, the Company and each counterparty have at all times properly performed and complied with all of their obligations arising out of any Material Contract, and none of the Company or any of the Sellers has received written notice according to which the Company is, or is alleged to be, in default under any Material Contract.</w:t>
      </w:r>
    </w:p>
    <w:p>
      <w:pPr>
        <w:spacing w:after="0" w:line="228" w:lineRule="exact"/>
        <w:rPr>
          <w:rFonts w:ascii="Arial" w:cs="Arial" w:eastAsia="Arial" w:hAnsi="Arial"/>
          <w:sz w:val="18"/>
          <w:szCs w:val="18"/>
          <w:color w:val="auto"/>
        </w:rPr>
      </w:pPr>
    </w:p>
    <w:p>
      <w:pPr>
        <w:ind w:left="652" w:right="40" w:hanging="652"/>
        <w:spacing w:after="0" w:line="256" w:lineRule="auto"/>
        <w:tabs>
          <w:tab w:leader="none" w:pos="64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None of the contracts, agreements, arrangements or understandings which are material for the Company or for the business of the Company, taken as a whole, can be terminated, modified or subject to any other adverse consequences which are triggered upon or due to the transaction contemplated by this Agreement, unless disclosed in the Data Room Documents.</w:t>
      </w:r>
    </w:p>
    <w:p>
      <w:pPr>
        <w:sectPr>
          <w:pgSz w:w="11900" w:h="16838" w:orient="portrait"/>
          <w:cols w:equalWidth="0" w:num="1">
            <w:col w:w="11192"/>
          </w:cols>
          <w:pgMar w:left="328" w:top="1435"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7.2.11  Insurance</w:t>
      </w:r>
    </w:p>
    <w:p>
      <w:pPr>
        <w:spacing w:after="0" w:line="274" w:lineRule="exact"/>
        <w:rPr>
          <w:sz w:val="20"/>
          <w:szCs w:val="20"/>
          <w:color w:val="auto"/>
        </w:rPr>
      </w:pPr>
    </w:p>
    <w:p>
      <w:pPr>
        <w:ind w:left="660" w:right="320" w:hanging="652"/>
        <w:spacing w:after="0" w:line="261" w:lineRule="auto"/>
        <w:tabs>
          <w:tab w:leader="none" w:pos="6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Company maintains insurance as required by Law for companies engaged in the business conducted by the Company (such insurance hereinafter the </w:t>
      </w:r>
      <w:r>
        <w:rPr>
          <w:rFonts w:ascii="Arial" w:cs="Arial" w:eastAsia="Arial" w:hAnsi="Arial"/>
          <w:sz w:val="18"/>
          <w:szCs w:val="18"/>
          <w:b w:val="1"/>
          <w:bCs w:val="1"/>
          <w:color w:val="auto"/>
        </w:rPr>
        <w:t>Target Insurance Policies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660" w:right="40" w:hanging="652"/>
        <w:spacing w:after="0" w:line="254" w:lineRule="auto"/>
        <w:tabs>
          <w:tab w:leader="none" w:pos="6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act, omission, misrepresentation or non-disclosure has occurred which makes any of the Target Insurance Policies voidable, nor have any circumstances arisen which would render any of these policies void or unenforceable for illegality or otherwise, nor has there been any breach of the terms, conditions and warranties of any of the policies that would entitle insurers to decline to pay all or any part of any claim made under the Target Insurance Policies.</w:t>
      </w:r>
    </w:p>
    <w:p>
      <w:pPr>
        <w:spacing w:after="0" w:line="230" w:lineRule="exact"/>
        <w:rPr>
          <w:rFonts w:ascii="Arial" w:cs="Arial" w:eastAsia="Arial" w:hAnsi="Arial"/>
          <w:sz w:val="18"/>
          <w:szCs w:val="18"/>
          <w:color w:val="auto"/>
        </w:rPr>
      </w:pPr>
    </w:p>
    <w:p>
      <w:pPr>
        <w:ind w:left="660" w:right="540" w:hanging="652"/>
        <w:spacing w:after="0" w:line="261" w:lineRule="auto"/>
        <w:tabs>
          <w:tab w:leader="none" w:pos="65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premiums due on or before the Closing Date by the Company in respect of the Target Insurance Policies have been paid or provisioned for in the Financial Statements, and all such Target Insurance Policies are in full force and effect.</w:t>
      </w:r>
    </w:p>
    <w:p>
      <w:pPr>
        <w:spacing w:after="0" w:line="224" w:lineRule="exact"/>
        <w:rPr>
          <w:rFonts w:ascii="Arial" w:cs="Arial" w:eastAsia="Arial" w:hAnsi="Arial"/>
          <w:sz w:val="18"/>
          <w:szCs w:val="18"/>
          <w:color w:val="auto"/>
        </w:rPr>
      </w:pPr>
    </w:p>
    <w:p>
      <w:pPr>
        <w:ind w:left="660" w:right="340" w:hanging="652"/>
        <w:spacing w:after="0" w:line="254" w:lineRule="auto"/>
        <w:tabs>
          <w:tab w:leader="none" w:pos="6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of the date of this Agreement, no written notice of cancellation, termination or revocation or other written notice of premium increase, material alteration of coverage, or that any such Target Insurance Policies are no longer in full force or effect or that the issuer of any such Target Insurance Policies is not willing or able to perform its obligations thereunder has been received by the Company with respect to any such Target Insurance Policies.</w:t>
      </w:r>
    </w:p>
    <w:p>
      <w:pPr>
        <w:spacing w:after="0" w:line="230" w:lineRule="exact"/>
        <w:rPr>
          <w:rFonts w:ascii="Arial" w:cs="Arial" w:eastAsia="Arial" w:hAnsi="Arial"/>
          <w:sz w:val="18"/>
          <w:szCs w:val="18"/>
          <w:color w:val="auto"/>
        </w:rPr>
      </w:pPr>
    </w:p>
    <w:p>
      <w:pPr>
        <w:ind w:left="660" w:hanging="652"/>
        <w:spacing w:after="0" w:line="256" w:lineRule="auto"/>
        <w:tabs>
          <w:tab w:leader="none" w:pos="65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have not been any claims made under the Target Insurance Policies by the Company during the past three (3) years until the date of this Agreement and during the same period there has not been any denial of coverage by an insurer with respect to any claim made by the Company in relation to such Target Insurance Policies.</w:t>
      </w:r>
    </w:p>
    <w:p>
      <w:pPr>
        <w:spacing w:after="0" w:line="228" w:lineRule="exact"/>
        <w:rPr>
          <w:rFonts w:ascii="Arial" w:cs="Arial" w:eastAsia="Arial" w:hAnsi="Arial"/>
          <w:sz w:val="18"/>
          <w:szCs w:val="18"/>
          <w:color w:val="auto"/>
        </w:rPr>
      </w:pPr>
    </w:p>
    <w:p>
      <w:pPr>
        <w:ind w:left="660" w:right="300" w:hanging="652"/>
        <w:spacing w:after="0" w:line="261" w:lineRule="auto"/>
        <w:tabs>
          <w:tab w:leader="none" w:pos="65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incidents that occurred and became known to the Company before the Closing Date and that could result in a claim under any Target Insurance Policy have been timely notified to the relevant insurers in due 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7.2.12  Litigation</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the date of this Agreement, there are no written Actions pending or threatened in writing against the Company or involving the Company before any Governmental Authority. There are no outstanding settlement agreements or similar written agreements with any Governmental Authority or other Person and no outstanding orders, judgments, injunctions or awards issued by any Governmental Authority against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7.2.13  Absence of Material Adverse Effect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From the balance sheet date of the Interim Financial Statements until the date hereof, no Material Adverse Effect has occurred.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7.2.14  Fair Disclosure</w:t>
      </w:r>
    </w:p>
    <w:p>
      <w:pPr>
        <w:spacing w:after="0" w:line="27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All information included in the Data Room Documents is true, complete and not misleading and provides a fair and accurate picture of the business and financial situation of the Company. There is no material fact, which a reasonable buyer would use for the assessment of the transactions under this Agreement, which has not been disclosed in the Data Room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7.2.15  Compliance</w:t>
      </w:r>
    </w:p>
    <w:p>
      <w:pPr>
        <w:spacing w:after="0" w:line="274" w:lineRule="exact"/>
        <w:rPr>
          <w:sz w:val="20"/>
          <w:szCs w:val="20"/>
          <w:color w:val="auto"/>
        </w:rPr>
      </w:pPr>
    </w:p>
    <w:p>
      <w:pPr>
        <w:ind w:left="640" w:hanging="632"/>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the Sellers' Best Knowledge, the Company:</w:t>
      </w:r>
    </w:p>
    <w:p>
      <w:pPr>
        <w:sectPr>
          <w:pgSz w:w="11900" w:h="16838" w:orient="portrait"/>
          <w:cols w:equalWidth="0" w:num="1">
            <w:col w:w="11220"/>
          </w:cols>
          <w:pgMar w:left="320" w:top="1413" w:right="359" w:bottom="1440" w:gutter="0" w:footer="0" w:header="0"/>
        </w:sectPr>
      </w:pPr>
    </w:p>
    <w:bookmarkStart w:id="152" w:name="page153"/>
    <w:bookmarkEnd w:id="152"/>
    <w:p>
      <w:pPr>
        <w:ind w:left="1300" w:right="360" w:hanging="642"/>
        <w:spacing w:after="0" w:line="261"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complies with the Laws applicable to it (it being understood and agreed that with respect to compliance with employment Laws and data protection Laws, Sections 7.2.9(d) and 7.2.15(d), respectively, shall exclusively apply); and</w:t>
      </w:r>
    </w:p>
    <w:p>
      <w:pPr>
        <w:spacing w:after="0" w:line="224" w:lineRule="exact"/>
        <w:rPr>
          <w:rFonts w:ascii="Arial" w:cs="Arial" w:eastAsia="Arial" w:hAnsi="Arial"/>
          <w:sz w:val="18"/>
          <w:szCs w:val="18"/>
          <w:color w:val="auto"/>
        </w:rPr>
      </w:pPr>
    </w:p>
    <w:p>
      <w:pPr>
        <w:ind w:left="1300" w:right="680" w:hanging="682"/>
        <w:spacing w:after="0" w:line="261" w:lineRule="auto"/>
        <w:tabs>
          <w:tab w:leader="none" w:pos="13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has obtained all material permits or authorizations required under applicable Law to operate its business as currently conducted and all such permits and authorizations are in full force and effect.</w:t>
      </w:r>
    </w:p>
    <w:p>
      <w:pPr>
        <w:spacing w:after="0" w:line="224" w:lineRule="exact"/>
        <w:rPr>
          <w:rFonts w:ascii="Arial" w:cs="Arial" w:eastAsia="Arial" w:hAnsi="Arial"/>
          <w:sz w:val="18"/>
          <w:szCs w:val="18"/>
          <w:color w:val="auto"/>
        </w:rPr>
      </w:pPr>
    </w:p>
    <w:p>
      <w:pPr>
        <w:ind w:left="660" w:right="80" w:hanging="652"/>
        <w:spacing w:after="0" w:line="291" w:lineRule="auto"/>
        <w:tabs>
          <w:tab w:leader="none" w:pos="65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No investigations, enquiries or proceedings are pending or have been threatened in writing which are reasonably likely to result in the suspension or revocation of any permits or authorizations necessary to operate the Company's business as currently conducted.</w:t>
      </w:r>
    </w:p>
    <w:p>
      <w:pPr>
        <w:spacing w:after="0" w:line="200" w:lineRule="exact"/>
        <w:rPr>
          <w:rFonts w:ascii="Arial" w:cs="Arial" w:eastAsia="Arial" w:hAnsi="Arial"/>
          <w:sz w:val="17"/>
          <w:szCs w:val="17"/>
          <w:color w:val="auto"/>
        </w:rPr>
      </w:pPr>
    </w:p>
    <w:p>
      <w:pPr>
        <w:ind w:left="660" w:right="200" w:hanging="652"/>
        <w:spacing w:after="0" w:line="252" w:lineRule="auto"/>
        <w:tabs>
          <w:tab w:leader="none" w:pos="6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Sellers' Best Knowledge, during the past three (3) years before the date hereof, the Company (including any of its directors, officers or employees) has not made, offered or authorized use of any corporate funds or provided anything of value (i) for unlawful payments, contributions, gifts, entertainment or other unlawful expenses relating to political activity, (ii) to domestic or foreign government officials or employees of third parties or other Persons in violation of anti-corruption or anti-bribery Laws applicable to the Company, or (iii) for a bribe, rebate, payoff, influence payment, kickback or other similar payment in violation of any Law applicable to the Company.</w:t>
      </w:r>
    </w:p>
    <w:p>
      <w:pPr>
        <w:spacing w:after="0" w:line="235" w:lineRule="exact"/>
        <w:rPr>
          <w:rFonts w:ascii="Arial" w:cs="Arial" w:eastAsia="Arial" w:hAnsi="Arial"/>
          <w:sz w:val="18"/>
          <w:szCs w:val="18"/>
          <w:color w:val="auto"/>
        </w:rPr>
      </w:pPr>
    </w:p>
    <w:p>
      <w:pPr>
        <w:ind w:left="660" w:right="440" w:hanging="652"/>
        <w:spacing w:after="0" w:line="261" w:lineRule="auto"/>
        <w:tabs>
          <w:tab w:leader="none" w:pos="65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Sellers' Best Knowledge, the Company has been in material compliance with all data protection Laws applicable to it with respect to the collection, storage, use, and other processing of personal data as defined by such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7.2.16  Environment</w:t>
      </w:r>
    </w:p>
    <w:p>
      <w:pPr>
        <w:spacing w:after="0" w:line="274" w:lineRule="exact"/>
        <w:rPr>
          <w:sz w:val="20"/>
          <w:szCs w:val="20"/>
          <w:color w:val="auto"/>
        </w:rPr>
      </w:pPr>
    </w:p>
    <w:p>
      <w:pPr>
        <w:ind w:left="660" w:right="560" w:hanging="652"/>
        <w:spacing w:after="0" w:line="261" w:lineRule="auto"/>
        <w:tabs>
          <w:tab w:leader="none" w:pos="6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are no contaminated sites (Altlasten) at any property operated or otherwise used by the Company that could give rise to Liability of the Company.</w:t>
      </w:r>
    </w:p>
    <w:p>
      <w:pPr>
        <w:spacing w:after="0" w:line="224" w:lineRule="exact"/>
        <w:rPr>
          <w:rFonts w:ascii="Arial" w:cs="Arial" w:eastAsia="Arial" w:hAnsi="Arial"/>
          <w:sz w:val="18"/>
          <w:szCs w:val="18"/>
          <w:color w:val="auto"/>
        </w:rPr>
      </w:pPr>
    </w:p>
    <w:p>
      <w:pPr>
        <w:ind w:left="660" w:right="60" w:hanging="652"/>
        <w:spacing w:after="0" w:line="261" w:lineRule="auto"/>
        <w:tabs>
          <w:tab w:leader="none" w:pos="65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activities of the Company, no property, no assets and no facilities used or owned by the Company are or have been the source of any pollution or damage to human health or the environment.</w:t>
      </w:r>
    </w:p>
    <w:p>
      <w:pPr>
        <w:spacing w:after="0" w:line="224" w:lineRule="exact"/>
        <w:rPr>
          <w:rFonts w:ascii="Arial" w:cs="Arial" w:eastAsia="Arial" w:hAnsi="Arial"/>
          <w:sz w:val="18"/>
          <w:szCs w:val="18"/>
          <w:color w:val="auto"/>
        </w:rPr>
      </w:pPr>
    </w:p>
    <w:p>
      <w:pPr>
        <w:ind w:left="660" w:hanging="652"/>
        <w:spacing w:after="0" w:line="253" w:lineRule="auto"/>
        <w:tabs>
          <w:tab w:leader="none" w:pos="65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dangerous or toxic wastes or substances are or have been used, produced, generated, stored or treated on land currently owned, used or leased, or which has been owned, used or leased in the past, by the Company, and the Company has not shipped or caused the shipment of any dangerous or toxic wastes or substances nor disposed or caused the disposal of wastes on sites other than those specifically designed for their storage, treatment or destruction and other than in compliance with applicable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7.2.17  Social Security, Pensions and Benefit Plans</w:t>
      </w:r>
    </w:p>
    <w:p>
      <w:pPr>
        <w:spacing w:after="0" w:line="2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and has been in compliance with all applicable social security and pension laws applicable to the Employees in all material respects.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7.2.18  Books and Records; Bank Accounts</w:t>
      </w:r>
    </w:p>
    <w:p>
      <w:pPr>
        <w:spacing w:after="0" w:line="274" w:lineRule="exact"/>
        <w:rPr>
          <w:sz w:val="20"/>
          <w:szCs w:val="20"/>
          <w:color w:val="auto"/>
        </w:rPr>
      </w:pPr>
    </w:p>
    <w:p>
      <w:pPr>
        <w:ind w:left="660" w:hanging="652"/>
        <w:spacing w:after="0" w:line="254" w:lineRule="auto"/>
        <w:tabs>
          <w:tab w:leader="none" w:pos="6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stock books, stock transfer records and other shareholder records for the Company (i) are complete and correct in all material respects, (ii) have been maintained in accordance with good business practices and the applicable Laws, and (iii) set out and disclose all main business and financial transactions of the Company. At the Closing Date, all stock books, stock transfer records and other shareholder records will be in the possession of the Company.</w:t>
      </w:r>
    </w:p>
    <w:p>
      <w:pPr>
        <w:sectPr>
          <w:pgSz w:w="11900" w:h="16838" w:orient="portrait"/>
          <w:cols w:equalWidth="0" w:num="1">
            <w:col w:w="11240"/>
          </w:cols>
          <w:pgMar w:left="320" w:top="1435" w:right="339" w:bottom="1440" w:gutter="0" w:footer="0" w:header="0"/>
        </w:sectPr>
      </w:pPr>
    </w:p>
    <w:bookmarkStart w:id="153" w:name="page154"/>
    <w:bookmarkEnd w:id="153"/>
    <w:p>
      <w:pPr>
        <w:ind w:left="660" w:right="360" w:hanging="652"/>
        <w:spacing w:after="0" w:line="256" w:lineRule="auto"/>
        <w:tabs>
          <w:tab w:leader="none" w:pos="65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Annex 7.2.18</w:t>
      </w:r>
      <w:r>
        <w:rPr>
          <w:rFonts w:ascii="Arial" w:cs="Arial" w:eastAsia="Arial" w:hAnsi="Arial"/>
          <w:sz w:val="18"/>
          <w:szCs w:val="18"/>
          <w:color w:val="auto"/>
        </w:rPr>
        <w:t xml:space="preserve"> contains a true, correct and complete list of the bank accounts held by Company as of the date of this Agreement, including the name of each bank or financial institution as well as the account details, and the names of all persons authorized to draw thereon or to have access to these accounts.</w:t>
      </w:r>
    </w:p>
    <w:p>
      <w:pPr>
        <w:spacing w:after="0" w:line="228" w:lineRule="exact"/>
        <w:rPr>
          <w:rFonts w:ascii="Arial" w:cs="Arial" w:eastAsia="Arial" w:hAnsi="Arial"/>
          <w:sz w:val="18"/>
          <w:szCs w:val="18"/>
          <w:color w:val="auto"/>
        </w:rPr>
      </w:pPr>
    </w:p>
    <w:p>
      <w:pPr>
        <w:ind w:left="660" w:right="60" w:hanging="652"/>
        <w:spacing w:after="0" w:line="253" w:lineRule="auto"/>
        <w:tabs>
          <w:tab w:leader="none" w:pos="65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Data Room Documents contain copies of minutes and/or written resolutions, respectively, of the shareholders' meetings and the board of directors of the Company since January 1, 2020. All such minutes and/or written resolutions, respectively, of the shareholders' meetings and the board of directors of the Company have been duly executed and are in full force and effect and in compliance with the Laws. No claim has been made or threatened in writing by any Person in relation to such written resolutions of the board of directors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7.2.19  Broker’s Fees</w:t>
      </w:r>
    </w:p>
    <w:p>
      <w:pPr>
        <w:spacing w:after="0" w:line="274"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Expect for the fee arrangement with SVB Securities LLC, the Company does not have any obligation to pay, secure or guarantee any broker's, finder's or transaction or similar fee or commission in connection with the execution or consummation of this Agreement.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Representations of the Buyer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Buyer hereby represents to the Sellers within the meaning of article 197 CO that the following statements (the </w:t>
      </w:r>
      <w:r>
        <w:rPr>
          <w:rFonts w:ascii="Arial" w:cs="Arial" w:eastAsia="Arial" w:hAnsi="Arial"/>
          <w:sz w:val="18"/>
          <w:szCs w:val="18"/>
          <w:b w:val="1"/>
          <w:bCs w:val="1"/>
          <w:color w:val="auto"/>
        </w:rPr>
        <w:t>Buyer Representations</w:t>
      </w:r>
      <w:r>
        <w:rPr>
          <w:rFonts w:ascii="Arial" w:cs="Arial" w:eastAsia="Arial" w:hAnsi="Arial"/>
          <w:sz w:val="18"/>
          <w:szCs w:val="18"/>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are true and correct in all respects both as of the date of this Agreement and as of the Closing Date:</w:t>
      </w:r>
    </w:p>
    <w:p>
      <w:pPr>
        <w:spacing w:after="0" w:line="252" w:lineRule="exact"/>
        <w:rPr>
          <w:sz w:val="20"/>
          <w:szCs w:val="20"/>
          <w:color w:val="auto"/>
        </w:rPr>
      </w:pPr>
    </w:p>
    <w:p>
      <w:pPr>
        <w:jc w:val="both"/>
        <w:ind w:left="660" w:right="380" w:hanging="328"/>
        <w:spacing w:after="0" w:line="256" w:lineRule="auto"/>
        <w:tabs>
          <w:tab w:leader="none" w:pos="6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Buyer is a corporation duly incorporated and organized and validly existing under the Laws of its place of incorporation, is in good standing and has the full corporate capacity, power and authority to own or use its assets and properties and to conduct its business as the same is presently being conducted.</w:t>
      </w:r>
    </w:p>
    <w:p>
      <w:pPr>
        <w:spacing w:after="0" w:line="228" w:lineRule="exact"/>
        <w:rPr>
          <w:rFonts w:ascii="Arial" w:cs="Arial" w:eastAsia="Arial" w:hAnsi="Arial"/>
          <w:sz w:val="18"/>
          <w:szCs w:val="18"/>
          <w:color w:val="auto"/>
        </w:rPr>
      </w:pPr>
    </w:p>
    <w:p>
      <w:pPr>
        <w:ind w:left="660" w:hanging="328"/>
        <w:spacing w:after="0" w:line="252" w:lineRule="auto"/>
        <w:tabs>
          <w:tab w:leader="none" w:pos="6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Buyer has the full power and authority to enter into this Agreement and any transactions contemplated hereunder and to perform its respective obligations. This Agreement constitutes the legal, valid and binding obligation of the Buyer, enforceable against the Buyer in accordance with its terms, except to the extent that the enforceability may be limited by applicable bankruptcy, reorganization, insolvency, moratorium or other Laws affecting the enforcement of creditors' rights generally. There exist no limitations under applicable Law, the constituting or governing documents of the Buyer or any contracts by which the Buyer is bound that would prevent the Buyer from entering into or performing its obligations under this Agreement.</w:t>
      </w:r>
    </w:p>
    <w:p>
      <w:pPr>
        <w:spacing w:after="0" w:line="235" w:lineRule="exact"/>
        <w:rPr>
          <w:rFonts w:ascii="Arial" w:cs="Arial" w:eastAsia="Arial" w:hAnsi="Arial"/>
          <w:sz w:val="18"/>
          <w:szCs w:val="18"/>
          <w:color w:val="auto"/>
        </w:rPr>
      </w:pPr>
    </w:p>
    <w:p>
      <w:pPr>
        <w:ind w:left="660" w:hanging="328"/>
        <w:spacing w:after="0" w:line="253" w:lineRule="auto"/>
        <w:tabs>
          <w:tab w:leader="none" w:pos="65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Buyer is not insolvent or bankrupt under the Laws of its jurisdiction of incorporation, is not unable to pay its debts as they fall due or has not proposed and is not liable to any arrangement (whether by court process or otherwise) under which its creditors (or any group of them) would receive less than the amounts due to them where any such insolvency, bankruptcy, inability to pay debts or arrangement would affect its ability to enter into or perform its obligations under this Agreement and/or any documents which are to be entered into by it pursuant to or otherwise in connection with this Agreement.</w:t>
      </w:r>
    </w:p>
    <w:p>
      <w:pPr>
        <w:spacing w:after="0" w:line="232" w:lineRule="exact"/>
        <w:rPr>
          <w:rFonts w:ascii="Arial" w:cs="Arial" w:eastAsia="Arial" w:hAnsi="Arial"/>
          <w:sz w:val="18"/>
          <w:szCs w:val="18"/>
          <w:color w:val="auto"/>
        </w:rPr>
      </w:pPr>
    </w:p>
    <w:p>
      <w:pPr>
        <w:ind w:left="660" w:right="120" w:hanging="328"/>
        <w:spacing w:after="0" w:line="254" w:lineRule="auto"/>
        <w:tabs>
          <w:tab w:leader="none" w:pos="6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There are no proceedings in relation to any compromise or arrangement with creditors or any winding up, bankruptcy or insolvency proceedings concerning the Buyer and no events have occurred which would justify such proceedings where any such proceedings or events would affect its ability to enter into or perform its obligations under this Agreement and/or any documents which are to be entered into by it pursuant to or otherwise in connection with this Agreement.</w:t>
      </w:r>
    </w:p>
    <w:p>
      <w:pPr>
        <w:sectPr>
          <w:pgSz w:w="11900" w:h="16838" w:orient="portrait"/>
          <w:cols w:equalWidth="0" w:num="1">
            <w:col w:w="11220"/>
          </w:cols>
          <w:pgMar w:left="320" w:top="1435" w:right="359" w:bottom="1440" w:gutter="0" w:footer="0" w:header="0"/>
        </w:sectPr>
      </w:pPr>
    </w:p>
    <w:bookmarkStart w:id="154" w:name="page155"/>
    <w:bookmarkEnd w:id="154"/>
    <w:p>
      <w:pPr>
        <w:ind w:left="660" w:right="40" w:hanging="328"/>
        <w:spacing w:after="0" w:line="256" w:lineRule="auto"/>
        <w:tabs>
          <w:tab w:leader="none" w:pos="65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There are no Actions pending or threatened against the Buyer or any of its Affiliates challenging the validity of this Agreement or any transaction contemplated in this Agreement, or which would operate to hinder or substantially impair the consummation of the transactions contemplated by this Agreement.</w:t>
      </w:r>
    </w:p>
    <w:p>
      <w:pPr>
        <w:spacing w:after="0" w:line="228" w:lineRule="exact"/>
        <w:rPr>
          <w:rFonts w:ascii="Arial" w:cs="Arial" w:eastAsia="Arial" w:hAnsi="Arial"/>
          <w:sz w:val="18"/>
          <w:szCs w:val="18"/>
          <w:color w:val="auto"/>
        </w:rPr>
      </w:pPr>
    </w:p>
    <w:p>
      <w:pPr>
        <w:ind w:left="660" w:hanging="328"/>
        <w:spacing w:after="0" w:line="261" w:lineRule="auto"/>
        <w:tabs>
          <w:tab w:leader="none" w:pos="65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Buyer is, after its Due Diligence Review and in particular the review and analysis of the Disclosure Documents, not aware of any breach by any of the Sellers of any Fundamental Representations or any Business Representations.</w:t>
      </w:r>
    </w:p>
    <w:p>
      <w:pPr>
        <w:spacing w:after="0" w:line="224" w:lineRule="exact"/>
        <w:rPr>
          <w:rFonts w:ascii="Arial" w:cs="Arial" w:eastAsia="Arial" w:hAnsi="Arial"/>
          <w:sz w:val="18"/>
          <w:szCs w:val="18"/>
          <w:color w:val="auto"/>
        </w:rPr>
      </w:pPr>
    </w:p>
    <w:p>
      <w:pPr>
        <w:ind w:left="660" w:right="820" w:hanging="328"/>
        <w:spacing w:after="0" w:line="261" w:lineRule="auto"/>
        <w:tabs>
          <w:tab w:leader="none" w:pos="65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Buyer has procured that on the Closing Date it will have the necessary funds at its disposal to finance the transactions contemplated by this Agreement.</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Exclusive Representations</w:t>
      </w:r>
    </w:p>
    <w:p>
      <w:pPr>
        <w:spacing w:after="0" w:line="274" w:lineRule="exact"/>
        <w:rPr>
          <w:sz w:val="20"/>
          <w:szCs w:val="20"/>
          <w:color w:val="auto"/>
        </w:rPr>
      </w:pPr>
    </w:p>
    <w:p>
      <w:pPr>
        <w:jc w:val="both"/>
        <w:ind w:left="660" w:right="60" w:hanging="652"/>
        <w:spacing w:after="0" w:line="256" w:lineRule="auto"/>
        <w:tabs>
          <w:tab w:leader="none" w:pos="6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Buyer acknowledges that, other than as expressly provided in this Agreement, the Sellers have not made and do not make, and the Buyer has not relied and does not rely on, any representation or warranty, express or implied, pertaining to the subject matter of this Agreement. In particular, the Buyer acknowledges that:</w:t>
      </w:r>
    </w:p>
    <w:p>
      <w:pPr>
        <w:spacing w:after="0" w:line="228" w:lineRule="exact"/>
        <w:rPr>
          <w:rFonts w:ascii="Arial" w:cs="Arial" w:eastAsia="Arial" w:hAnsi="Arial"/>
          <w:sz w:val="18"/>
          <w:szCs w:val="18"/>
          <w:color w:val="auto"/>
        </w:rPr>
      </w:pPr>
    </w:p>
    <w:p>
      <w:pPr>
        <w:ind w:left="1300" w:right="220" w:hanging="642"/>
        <w:spacing w:after="0" w:line="256"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Sellers are not making any representations as to budgets, business plans, forward-looking statements, statements of intent or opinion and other projections of a financial, technical or business nature relating to the business of the Company, and</w:t>
      </w:r>
    </w:p>
    <w:p>
      <w:pPr>
        <w:spacing w:after="0" w:line="228" w:lineRule="exact"/>
        <w:rPr>
          <w:rFonts w:ascii="Arial" w:cs="Arial" w:eastAsia="Arial" w:hAnsi="Arial"/>
          <w:sz w:val="18"/>
          <w:szCs w:val="18"/>
          <w:color w:val="auto"/>
        </w:rPr>
      </w:pPr>
    </w:p>
    <w:p>
      <w:pPr>
        <w:ind w:left="1300" w:right="680" w:hanging="682"/>
        <w:spacing w:after="0" w:line="261"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nothing in any of the information documents made available to the Buyer prior to the date hereof shall be deemed to constitute a representation or warranty, except as expressly set forth in this Agreement.</w:t>
      </w:r>
    </w:p>
    <w:p>
      <w:pPr>
        <w:spacing w:after="0" w:line="224" w:lineRule="exact"/>
        <w:rPr>
          <w:rFonts w:ascii="Arial" w:cs="Arial" w:eastAsia="Arial" w:hAnsi="Arial"/>
          <w:sz w:val="18"/>
          <w:szCs w:val="18"/>
          <w:color w:val="auto"/>
        </w:rPr>
      </w:pPr>
    </w:p>
    <w:p>
      <w:pPr>
        <w:ind w:left="660" w:right="300" w:hanging="652"/>
        <w:spacing w:after="0" w:line="256" w:lineRule="auto"/>
        <w:tabs>
          <w:tab w:leader="none" w:pos="6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Sellers acknowledge that, other than as expressly provided in this Agreement or any other Transaction Document, the Buyer has not made and do not make, and the Sellers have not relied and do not rely on, any representation or warranty, express or implied, pertaining to the subject matter of this Agreement.</w:t>
      </w:r>
    </w:p>
    <w:p>
      <w:pPr>
        <w:spacing w:after="0" w:line="207" w:lineRule="exact"/>
        <w:rPr>
          <w:sz w:val="20"/>
          <w:szCs w:val="20"/>
          <w:color w:val="auto"/>
        </w:rPr>
      </w:pPr>
    </w:p>
    <w:p>
      <w:pPr>
        <w:ind w:left="640" w:hanging="632"/>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Partial Liquidation</w:t>
      </w:r>
    </w:p>
    <w:p>
      <w:pPr>
        <w:spacing w:after="0" w:line="274" w:lineRule="exact"/>
        <w:rPr>
          <w:sz w:val="20"/>
          <w:szCs w:val="20"/>
          <w:color w:val="auto"/>
        </w:rPr>
      </w:pPr>
    </w:p>
    <w:p>
      <w:pPr>
        <w:ind w:left="660" w:right="60" w:hanging="652"/>
        <w:spacing w:after="0" w:line="216" w:lineRule="exact"/>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Buyer shall (i) during a period of five (5) years following the Closing Date refrain from any actions, and procure that the Company refrains from any actions, that could lead to an indirect partial liquidation (</w:t>
      </w:r>
      <w:r>
        <w:rPr>
          <w:rFonts w:ascii="Arial" w:cs="Arial" w:eastAsia="Arial" w:hAnsi="Arial"/>
          <w:sz w:val="18"/>
          <w:szCs w:val="18"/>
          <w:i w:val="1"/>
          <w:iCs w:val="1"/>
          <w:color w:val="auto"/>
        </w:rPr>
        <w:t>indirekte Teilliquidation</w:t>
      </w:r>
      <w:r>
        <w:rPr>
          <w:rFonts w:ascii="Arial" w:cs="Arial" w:eastAsia="Arial" w:hAnsi="Arial"/>
          <w:sz w:val="18"/>
          <w:szCs w:val="18"/>
          <w:color w:val="auto"/>
        </w:rPr>
        <w:t>) as defined in article 20a of the Swiss Federal Act on Direct Federal Taxation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ber die direkte Bundessteuer</w:t>
      </w:r>
      <w:r>
        <w:rPr>
          <w:rFonts w:ascii="Arial" w:cs="Arial" w:eastAsia="Arial" w:hAnsi="Arial"/>
          <w:sz w:val="18"/>
          <w:szCs w:val="18"/>
          <w:color w:val="auto"/>
        </w:rPr>
        <w:t>) and the corresponding cantonal Tax provisions and thus to a reclassification of the relevant Sellers' private capital gain to taxable income from investment and (ii), irrespective of any fault or knowledge and without being subject to any limitations under this Agreement or under the CO, indemnify and hold harmless the Sellers (except the Sellers 1, 8, 9, 10, 11, 13 and 14) from and against all Taxes, damages and any reasonable professional or other out-of-pocket fees, expenses or other costs incurred in or in connection with or in connection with the reclassification of the Sellers' income as described in this Section 8.1.</w:t>
      </w:r>
    </w:p>
    <w:p>
      <w:pPr>
        <w:spacing w:after="0" w:line="246" w:lineRule="exact"/>
        <w:rPr>
          <w:rFonts w:ascii="Arial" w:cs="Arial" w:eastAsia="Arial" w:hAnsi="Arial"/>
          <w:sz w:val="18"/>
          <w:szCs w:val="18"/>
          <w:color w:val="auto"/>
        </w:rPr>
      </w:pPr>
    </w:p>
    <w:p>
      <w:pPr>
        <w:ind w:left="660" w:right="160" w:hanging="652"/>
        <w:spacing w:after="0" w:line="254" w:lineRule="auto"/>
        <w:tabs>
          <w:tab w:leader="none" w:pos="65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any of the Sellers receive from the Tax Authorities the notification and/or assessment concerning the reclassification of the relevant Sellers' private capital gain to taxable income from investment, such Seller shall give the Buyer notice as soon as reasonably practicable, but at the latest five (5) Business Days after receipt of the notification. The Buyer shall have the right to instruct the respective Seller, and the respective Seller in such case shall be obliged, to appeal</w:t>
      </w:r>
    </w:p>
    <w:p>
      <w:pPr>
        <w:sectPr>
          <w:pgSz w:w="11900" w:h="16838" w:orient="portrait"/>
          <w:cols w:equalWidth="0" w:num="1">
            <w:col w:w="11200"/>
          </w:cols>
          <w:pgMar w:left="320" w:top="1435" w:right="379" w:bottom="1440" w:gutter="0" w:footer="0" w:header="0"/>
        </w:sectPr>
      </w:pPr>
    </w:p>
    <w:bookmarkStart w:id="155" w:name="page156"/>
    <w:bookmarkEnd w:id="155"/>
    <w:p>
      <w:pPr>
        <w:ind w:left="6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Einsprache</w:t>
      </w:r>
      <w:r>
        <w:rPr>
          <w:rFonts w:ascii="Arial" w:cs="Arial" w:eastAsia="Arial" w:hAnsi="Arial"/>
          <w:sz w:val="18"/>
          <w:szCs w:val="18"/>
          <w:color w:val="auto"/>
        </w:rPr>
        <w:t>) against such notification and thereafter initiate legal proceedings. Any and all such legal proceedings shall be at the costs and expenses of the Buyer. However, the Buyer shall not indemnify the respective Seller for own (legal or tax) advisors. In case the respective Seller engages its own (legal or tax) advisors, the costs of such own (legal or tax) advisors shall be borne by the respective Seller and such own (legal or tax) advisors shall not have the right to file the appeal (</w:t>
      </w:r>
      <w:r>
        <w:rPr>
          <w:rFonts w:ascii="Arial" w:cs="Arial" w:eastAsia="Arial" w:hAnsi="Arial"/>
          <w:sz w:val="18"/>
          <w:szCs w:val="18"/>
          <w:i w:val="1"/>
          <w:iCs w:val="1"/>
          <w:color w:val="auto"/>
        </w:rPr>
        <w:t>Einsprache</w:t>
      </w:r>
      <w:r>
        <w:rPr>
          <w:rFonts w:ascii="Arial" w:cs="Arial" w:eastAsia="Arial" w:hAnsi="Arial"/>
          <w:sz w:val="18"/>
          <w:szCs w:val="18"/>
          <w:color w:val="auto"/>
        </w:rPr>
        <w:t>), which is to be prepared by the Buyer (it being agreed that the Buyer shall provide the draft appeal reasonably in advance prior to filing to such Seller or his or her own (legal or tax) advisors and shall take into account any reasonable comments). If a Seller breaches his or her obligations set out in this Section 8.1(b), such Seller's rights to be indemnified under this Section 8.1 shall be precluded and forfeited (</w:t>
      </w:r>
      <w:r>
        <w:rPr>
          <w:rFonts w:ascii="Arial" w:cs="Arial" w:eastAsia="Arial" w:hAnsi="Arial"/>
          <w:sz w:val="18"/>
          <w:szCs w:val="18"/>
          <w:i w:val="1"/>
          <w:iCs w:val="1"/>
          <w:color w:val="auto"/>
        </w:rPr>
        <w:t>verwirkt</w:t>
      </w:r>
      <w:r>
        <w:rPr>
          <w:rFonts w:ascii="Arial" w:cs="Arial" w:eastAsia="Arial" w:hAnsi="Arial"/>
          <w:sz w:val="18"/>
          <w:szCs w:val="18"/>
          <w:color w:val="auto"/>
        </w:rPr>
        <w:t>).</w:t>
      </w:r>
    </w:p>
    <w:p>
      <w:pPr>
        <w:spacing w:after="0" w:line="234" w:lineRule="exact"/>
        <w:rPr>
          <w:sz w:val="20"/>
          <w:szCs w:val="20"/>
          <w:color w:val="auto"/>
        </w:rPr>
      </w:pPr>
    </w:p>
    <w:p>
      <w:pPr>
        <w:ind w:left="660" w:hanging="652"/>
        <w:spacing w:after="0" w:line="256" w:lineRule="auto"/>
        <w:tabs>
          <w:tab w:leader="none" w:pos="65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Buyer undertakes to impose its obligations under this Section 8.1 to any subsequent acquirer of any or all of the Shares, whereby the Buyer shall remain jointly and severally liable with any such acquirer for any and all claims of the Sellers arising out of or in connection with the indemnity set forth in this Section 8.1.</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General Remedies</w:t>
      </w:r>
    </w:p>
    <w:p>
      <w:pPr>
        <w:spacing w:after="0" w:line="274" w:lineRule="exact"/>
        <w:rPr>
          <w:sz w:val="20"/>
          <w:szCs w:val="20"/>
          <w:color w:val="auto"/>
        </w:rPr>
      </w:pPr>
    </w:p>
    <w:p>
      <w:pPr>
        <w:ind w:left="640" w:hanging="63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relevant Seller shall be liable to the Buyer, subject to the further provisions set forth in this Section 8.2, Section 9 and Section</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11.8, for any Damage incurred or sustained by the Buyer as result of, or arising from or based upon, any breach of:</w:t>
      </w:r>
    </w:p>
    <w:p>
      <w:pPr>
        <w:spacing w:after="0" w:line="252" w:lineRule="exact"/>
        <w:rPr>
          <w:rFonts w:ascii="Arial" w:cs="Arial" w:eastAsia="Arial" w:hAnsi="Arial"/>
          <w:sz w:val="18"/>
          <w:szCs w:val="18"/>
          <w:color w:val="auto"/>
        </w:rPr>
      </w:pPr>
    </w:p>
    <w:p>
      <w:pPr>
        <w:ind w:left="1300" w:right="60" w:hanging="642"/>
        <w:spacing w:after="0" w:line="261" w:lineRule="auto"/>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from and after the Closing (A) any of the Fundamental Representations or (B) any of the Business Representations made by a Seller, irrespective of any fault on the part of the relevant Seller; or</w:t>
      </w:r>
    </w:p>
    <w:p>
      <w:pPr>
        <w:spacing w:after="0" w:line="224" w:lineRule="exact"/>
        <w:rPr>
          <w:rFonts w:ascii="Arial" w:cs="Arial" w:eastAsia="Arial" w:hAnsi="Arial"/>
          <w:sz w:val="18"/>
          <w:szCs w:val="18"/>
          <w:color w:val="auto"/>
        </w:rPr>
      </w:pPr>
    </w:p>
    <w:p>
      <w:pPr>
        <w:ind w:left="1300" w:hanging="682"/>
        <w:spacing w:after="0"/>
        <w:tabs>
          <w:tab w:leader="none" w:pos="13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covenant, undertaking or agreement of any Seller contained in this Agreement;</w:t>
      </w:r>
    </w:p>
    <w:p>
      <w:pPr>
        <w:spacing w:after="0" w:line="234" w:lineRule="exact"/>
        <w:rPr>
          <w:sz w:val="20"/>
          <w:szCs w:val="20"/>
          <w:color w:val="auto"/>
        </w:rPr>
      </w:pPr>
    </w:p>
    <w:p>
      <w:pPr>
        <w:ind w:left="660" w:right="120"/>
        <w:spacing w:after="0" w:line="254" w:lineRule="auto"/>
        <w:rPr>
          <w:sz w:val="20"/>
          <w:szCs w:val="20"/>
          <w:color w:val="auto"/>
        </w:rPr>
      </w:pPr>
      <w:r>
        <w:rPr>
          <w:rFonts w:ascii="Arial" w:cs="Arial" w:eastAsia="Arial" w:hAnsi="Arial"/>
          <w:sz w:val="18"/>
          <w:szCs w:val="18"/>
          <w:color w:val="auto"/>
        </w:rPr>
        <w:t>provided that except in the case of fraud (</w:t>
      </w:r>
      <w:r>
        <w:rPr>
          <w:rFonts w:ascii="Arial" w:cs="Arial" w:eastAsia="Arial" w:hAnsi="Arial"/>
          <w:sz w:val="18"/>
          <w:szCs w:val="18"/>
          <w:i w:val="1"/>
          <w:iCs w:val="1"/>
          <w:color w:val="auto"/>
        </w:rPr>
        <w:t>Betrug</w:t>
      </w:r>
      <w:r>
        <w:rPr>
          <w:rFonts w:ascii="Arial" w:cs="Arial" w:eastAsia="Arial" w:hAnsi="Arial"/>
          <w:sz w:val="18"/>
          <w:szCs w:val="18"/>
          <w:color w:val="auto"/>
        </w:rPr>
        <w:t>), intentional deceit (</w:t>
      </w:r>
      <w:r>
        <w:rPr>
          <w:rFonts w:ascii="Arial" w:cs="Arial" w:eastAsia="Arial" w:hAnsi="Arial"/>
          <w:sz w:val="18"/>
          <w:szCs w:val="18"/>
          <w:i w:val="1"/>
          <w:iCs w:val="1"/>
          <w:color w:val="auto"/>
        </w:rPr>
        <w:t>absichtliche Täuschung</w:t>
      </w:r>
      <w:r>
        <w:rPr>
          <w:rFonts w:ascii="Arial" w:cs="Arial" w:eastAsia="Arial" w:hAnsi="Arial"/>
          <w:sz w:val="18"/>
          <w:szCs w:val="18"/>
          <w:color w:val="auto"/>
        </w:rPr>
        <w:t>, within the meaning of article 28 CO, article 192(3) CO and article 199 CO), a breach of the Fundamental Representations referred to in Sections 7.1.1 to 7.1.3, a breach of any covenant, undertaking or agreement of any Seller contained in this Agreement referred to in paragraph (ii) above (including a breach of an indemnification obligation pursuant to Section 10 and Annex 10), the Buyer's sole remedy and recourse against the Sellers for such breaches shall be the rights to (i), upon notification made in good faith of a claim for compensation pursuant to Section 9.1, withhold from, and (ii), once the relevant Damage has been finally determined in accordance with this Agreement, declare set-off against, any amounts due and payable by the Buyer to the relevant Seller under this Agreement after the Closing Date (including any Earnout Payments, but excluding for the avoidance of doubt the Preliminary Closing Consideration) an amount equal to such Seller's Liability Percentage with respect to the relevant Damage.</w:t>
      </w:r>
    </w:p>
    <w:p>
      <w:pPr>
        <w:spacing w:after="0" w:line="233" w:lineRule="exact"/>
        <w:rPr>
          <w:sz w:val="20"/>
          <w:szCs w:val="20"/>
          <w:color w:val="auto"/>
        </w:rPr>
      </w:pPr>
    </w:p>
    <w:p>
      <w:pPr>
        <w:ind w:left="660" w:right="200" w:hanging="652"/>
        <w:spacing w:after="0" w:line="256" w:lineRule="auto"/>
        <w:tabs>
          <w:tab w:leader="none" w:pos="6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Buyer shall be liable to any of the Sellers, subject to the further provisions set forth in this Section 8.2 and Section 9 (to the extent applicable pursuant to the terms of this Agreement), for any Damage incurred or sustained by any of the Sellers as result of, or arising from or based upon, any breach of:</w:t>
      </w:r>
    </w:p>
    <w:p>
      <w:pPr>
        <w:spacing w:after="0" w:line="228" w:lineRule="exact"/>
        <w:rPr>
          <w:rFonts w:ascii="Arial" w:cs="Arial" w:eastAsia="Arial" w:hAnsi="Arial"/>
          <w:sz w:val="18"/>
          <w:szCs w:val="18"/>
          <w:color w:val="auto"/>
        </w:rPr>
      </w:pPr>
    </w:p>
    <w:p>
      <w:pPr>
        <w:ind w:left="1300" w:hanging="642"/>
        <w:spacing w:after="0"/>
        <w:tabs>
          <w:tab w:leader="none" w:pos="13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from and after the Closing, any of the Buyer Representations, irrespective of any fault on the part of the Buyer; or</w:t>
      </w:r>
    </w:p>
    <w:p>
      <w:pPr>
        <w:spacing w:after="0" w:line="252" w:lineRule="exact"/>
        <w:rPr>
          <w:rFonts w:ascii="Arial" w:cs="Arial" w:eastAsia="Arial" w:hAnsi="Arial"/>
          <w:sz w:val="18"/>
          <w:szCs w:val="18"/>
          <w:color w:val="auto"/>
        </w:rPr>
      </w:pPr>
    </w:p>
    <w:p>
      <w:pPr>
        <w:ind w:left="1300" w:right="280" w:hanging="682"/>
        <w:spacing w:after="0" w:line="261" w:lineRule="auto"/>
        <w:tabs>
          <w:tab w:leader="none" w:pos="13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covenant, undertaking or agreement of the Buyer contained in this Agreement (other than the specific indemnification obligations set forth in Section 8.1).</w:t>
      </w:r>
    </w:p>
    <w:p>
      <w:pPr>
        <w:spacing w:after="0" w:line="203" w:lineRule="exact"/>
        <w:rPr>
          <w:sz w:val="20"/>
          <w:szCs w:val="20"/>
          <w:color w:val="auto"/>
        </w:rPr>
      </w:pPr>
    </w:p>
    <w:p>
      <w:pPr>
        <w:ind w:left="640" w:hanging="632"/>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Procedure</w:t>
      </w:r>
    </w:p>
    <w:p>
      <w:pPr>
        <w:sectPr>
          <w:pgSz w:w="11900" w:h="16838" w:orient="portrait"/>
          <w:cols w:equalWidth="0" w:num="1">
            <w:col w:w="11240"/>
          </w:cols>
          <w:pgMar w:left="320" w:top="1417" w:right="339" w:bottom="1440" w:gutter="0" w:footer="0" w:header="0"/>
        </w:sectPr>
      </w:pPr>
    </w:p>
    <w:bookmarkStart w:id="156" w:name="page157"/>
    <w:bookmarkEnd w:id="156"/>
    <w:p>
      <w:pPr>
        <w:spacing w:after="0"/>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Notification / Third Party Claims</w:t>
      </w:r>
    </w:p>
    <w:p>
      <w:pPr>
        <w:spacing w:after="0" w:line="274" w:lineRule="exact"/>
        <w:rPr>
          <w:sz w:val="20"/>
          <w:szCs w:val="20"/>
          <w:color w:val="auto"/>
        </w:rPr>
      </w:pPr>
    </w:p>
    <w:p>
      <w:pPr>
        <w:ind w:left="660" w:right="40" w:hanging="652"/>
        <w:spacing w:after="0" w:line="253" w:lineRule="auto"/>
        <w:tabs>
          <w:tab w:leader="none" w:pos="6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In the event of a claim for compensation under Section 8.2, the Compensated Party shall deliver to the Compensating Party a written notice describing in reasonable detail the nature of the matter, circumstance or Third Party Claim (as defined below), the underlying facts and the amount of the reasonably anticipated Damage subject to compensation under Section 8.2, and the basis for his, her or its claim for compensation under Section 8.2, in each case to the extent then known (such notice the </w:t>
      </w:r>
      <w:r>
        <w:rPr>
          <w:rFonts w:ascii="Arial" w:cs="Arial" w:eastAsia="Arial" w:hAnsi="Arial"/>
          <w:sz w:val="18"/>
          <w:szCs w:val="18"/>
          <w:b w:val="1"/>
          <w:bCs w:val="1"/>
          <w:color w:val="auto"/>
        </w:rPr>
        <w:t>Notice of Breach</w:t>
      </w:r>
      <w:r>
        <w:rPr>
          <w:rFonts w:ascii="Arial" w:cs="Arial" w:eastAsia="Arial" w:hAnsi="Arial"/>
          <w:sz w:val="18"/>
          <w:szCs w:val="18"/>
          <w:color w:val="auto"/>
        </w:rPr>
        <w:t>) within the earlier of:</w:t>
      </w:r>
    </w:p>
    <w:p>
      <w:pPr>
        <w:spacing w:after="0" w:line="232" w:lineRule="exact"/>
        <w:rPr>
          <w:rFonts w:ascii="Arial" w:cs="Arial" w:eastAsia="Arial" w:hAnsi="Arial"/>
          <w:sz w:val="18"/>
          <w:szCs w:val="18"/>
          <w:color w:val="auto"/>
        </w:rPr>
      </w:pPr>
    </w:p>
    <w:p>
      <w:pPr>
        <w:ind w:left="1300" w:right="20" w:hanging="642"/>
        <w:spacing w:after="0" w:line="261"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twenty (20) Business Days after the Compensated Party has obtained knowledge of a matter or circumstance that could give rise to a claim for compensation under Section 8.2; or</w:t>
      </w:r>
    </w:p>
    <w:p>
      <w:pPr>
        <w:spacing w:after="0" w:line="224" w:lineRule="exact"/>
        <w:rPr>
          <w:rFonts w:ascii="Arial" w:cs="Arial" w:eastAsia="Arial" w:hAnsi="Arial"/>
          <w:sz w:val="18"/>
          <w:szCs w:val="18"/>
          <w:color w:val="auto"/>
        </w:rPr>
      </w:pPr>
    </w:p>
    <w:p>
      <w:pPr>
        <w:ind w:left="1300" w:right="80" w:hanging="682"/>
        <w:spacing w:after="0" w:line="256" w:lineRule="auto"/>
        <w:tabs>
          <w:tab w:leader="none" w:pos="13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twenty (20) Business Days after receipt by the Compensated Party of a notice from a third party of any pending or threatened Action against the Compensated Party or a submission to, or a decision or order by, any Governmental Authority that has given or could give rise to a claim for compensation under Section 8.2 (a </w:t>
      </w:r>
      <w:r>
        <w:rPr>
          <w:rFonts w:ascii="Arial" w:cs="Arial" w:eastAsia="Arial" w:hAnsi="Arial"/>
          <w:sz w:val="18"/>
          <w:szCs w:val="18"/>
          <w:b w:val="1"/>
          <w:bCs w:val="1"/>
          <w:color w:val="auto"/>
        </w:rPr>
        <w:t>Third Party Claim</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ind w:left="660" w:right="40" w:hanging="652"/>
        <w:spacing w:after="0" w:line="254" w:lineRule="auto"/>
        <w:tabs>
          <w:tab w:leader="none" w:pos="6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Failure to give Notice of Breach in accordance with Section 9.1(a) shall not affect the liability provided hereunder except to the extent that the relevant Damage has been caused or aggravated by virtue of the Compensated Party's failure duly and timely to give Notice of Breach in accordance with Section 9.1(a), in which case the Compensating Party shall have no liability for the Damage, or part of the Damage, so caused or aggravated by the Compensated Party.</w:t>
      </w:r>
    </w:p>
    <w:p>
      <w:pPr>
        <w:spacing w:after="0" w:line="230" w:lineRule="exact"/>
        <w:rPr>
          <w:rFonts w:ascii="Arial" w:cs="Arial" w:eastAsia="Arial" w:hAnsi="Arial"/>
          <w:sz w:val="18"/>
          <w:szCs w:val="18"/>
          <w:color w:val="auto"/>
        </w:rPr>
      </w:pPr>
    </w:p>
    <w:p>
      <w:pPr>
        <w:ind w:left="660" w:right="160" w:hanging="652"/>
        <w:spacing w:after="0" w:line="256" w:lineRule="auto"/>
        <w:tabs>
          <w:tab w:leader="none" w:pos="65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case any Third Party Claim is brought or threatened by a third party (including any Governmental Authority) against the Buyer or, after the Closing, the Company, the Buyer shall use Commercially Reasonable Efforts to oppose or cause the Company to use reasonable best efforts to oppose such Third Party Claim.</w:t>
      </w:r>
    </w:p>
    <w:p>
      <w:pPr>
        <w:spacing w:after="0" w:line="228" w:lineRule="exact"/>
        <w:rPr>
          <w:rFonts w:ascii="Arial" w:cs="Arial" w:eastAsia="Arial" w:hAnsi="Arial"/>
          <w:sz w:val="18"/>
          <w:szCs w:val="18"/>
          <w:color w:val="auto"/>
        </w:rPr>
      </w:pPr>
    </w:p>
    <w:p>
      <w:pPr>
        <w:ind w:left="660" w:hanging="652"/>
        <w:spacing w:after="0" w:line="251" w:lineRule="auto"/>
        <w:tabs>
          <w:tab w:leader="none" w:pos="6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Compensated Party shall give the Compensating Party reasonable opportunity and time to comment or discuss with the Compensated Party any measures which the Compensating Party proposed to take or omit to take in connection with the Third Party Claim. The Compensating Party may engage his, her or its own separate counsel, but the fees and expenses of such counsel shall be borne by the Compensating Party. The Compensating Party may elect not to exercise, or to waive, at any time the right to be consulted by the Compensated Party and/or (if the Buyer is the Compensated Party) the Company with respect to any particular Third Party Claim and the conduct of the proceedings thereof. Upon the Compensated Party's request to the Compensating Party, the Compensating Party shall use Commercially Reasonable Efforts to assist the Compensated Party and/or (if the Buyer is the Compensated Party) the Company in the defense of a Third Party Claim at the Compensated Party's and/or (if the Buyer is the Compensated Party) the Company's sole cost and expense. The Compensated Party shall not, and (if the Buyer is the Compensated Party) shall procure that the Company will not, settle any Third Party Claim without the prior written consent of the Compensating Party (in the case of the Sellers, the Sellers' Representative), which shall not be unreasonably withheld.</w:t>
      </w:r>
    </w:p>
    <w:p>
      <w:pPr>
        <w:spacing w:after="0" w:line="237" w:lineRule="exact"/>
        <w:rPr>
          <w:rFonts w:ascii="Arial" w:cs="Arial" w:eastAsia="Arial" w:hAnsi="Arial"/>
          <w:sz w:val="18"/>
          <w:szCs w:val="18"/>
          <w:color w:val="auto"/>
        </w:rPr>
      </w:pPr>
    </w:p>
    <w:p>
      <w:pPr>
        <w:ind w:left="660" w:right="860" w:hanging="652"/>
        <w:spacing w:after="0" w:line="261" w:lineRule="auto"/>
        <w:tabs>
          <w:tab w:leader="none" w:pos="6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Where relevant the provisions of this Section 9.1 shall be in lieu of, and not in addition to, the Compensated Party's duty to immediately inspect and notify the Compensating Party in accordance with article 201 CO.</w:t>
      </w:r>
    </w:p>
    <w:p>
      <w:pPr>
        <w:spacing w:after="0" w:line="2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Time Limitations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7"/>
          <w:szCs w:val="17"/>
          <w:b w:val="1"/>
          <w:bCs w:val="1"/>
          <w:color w:val="auto"/>
        </w:rPr>
        <w:t>Statute of Limitations (</w:t>
      </w:r>
      <w:r>
        <w:rPr>
          <w:rFonts w:ascii="Arial" w:cs="Arial" w:eastAsia="Arial" w:hAnsi="Arial"/>
          <w:sz w:val="17"/>
          <w:szCs w:val="17"/>
          <w:b w:val="1"/>
          <w:bCs w:val="1"/>
          <w:i w:val="1"/>
          <w:iCs w:val="1"/>
          <w:color w:val="auto"/>
        </w:rPr>
        <w:t>Verwirkung</w:t>
      </w:r>
      <w:r>
        <w:rPr>
          <w:rFonts w:ascii="Arial" w:cs="Arial" w:eastAsia="Arial" w:hAnsi="Arial"/>
          <w:sz w:val="17"/>
          <w:szCs w:val="17"/>
          <w:b w:val="1"/>
          <w:bCs w:val="1"/>
          <w:color w:val="auto"/>
        </w:rPr>
        <w:t>) of Claims for Liability under Section 8.2</w:t>
      </w:r>
    </w:p>
    <w:p>
      <w:pPr>
        <w:sectPr>
          <w:pgSz w:w="11900" w:h="16838" w:orient="portrait"/>
          <w:cols w:equalWidth="0" w:num="1">
            <w:col w:w="11240"/>
          </w:cols>
          <w:pgMar w:left="320" w:top="1413" w:right="339" w:bottom="1440" w:gutter="0" w:footer="0" w:header="0"/>
        </w:sectPr>
      </w:pPr>
    </w:p>
    <w:bookmarkStart w:id="157" w:name="page158"/>
    <w:bookmarkEnd w:id="157"/>
    <w:p>
      <w:pPr>
        <w:ind w:left="640" w:hanging="632"/>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claim for compensation under Section 8.2(a)(i) or Section 8.2(b)(i) must be notified on or before:</w:t>
      </w:r>
    </w:p>
    <w:p>
      <w:pPr>
        <w:spacing w:after="0" w:line="252" w:lineRule="exact"/>
        <w:rPr>
          <w:rFonts w:ascii="Arial" w:cs="Arial" w:eastAsia="Arial" w:hAnsi="Arial"/>
          <w:sz w:val="18"/>
          <w:szCs w:val="18"/>
          <w:color w:val="auto"/>
        </w:rPr>
      </w:pPr>
    </w:p>
    <w:p>
      <w:pPr>
        <w:ind w:left="1300" w:right="260" w:hanging="642"/>
        <w:spacing w:after="0" w:line="261"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 respect to a breach of the Fundamental Representations or any breach of the Buyer Representations, the date that is ten (10) years after the Closing Date;</w:t>
      </w:r>
    </w:p>
    <w:p>
      <w:pPr>
        <w:spacing w:after="0" w:line="224" w:lineRule="exact"/>
        <w:rPr>
          <w:rFonts w:ascii="Arial" w:cs="Arial" w:eastAsia="Arial" w:hAnsi="Arial"/>
          <w:sz w:val="18"/>
          <w:szCs w:val="18"/>
          <w:color w:val="auto"/>
        </w:rPr>
      </w:pPr>
    </w:p>
    <w:p>
      <w:pPr>
        <w:ind w:left="1300" w:hanging="682"/>
        <w:spacing w:after="0"/>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 respect to a breach of Section 7.2.4 (Intellectual Property Rights), the date that is five (5) years after the Closing Date;</w:t>
      </w:r>
    </w:p>
    <w:p>
      <w:pPr>
        <w:spacing w:after="0" w:line="252" w:lineRule="exact"/>
        <w:rPr>
          <w:rFonts w:ascii="Arial" w:cs="Arial" w:eastAsia="Arial" w:hAnsi="Arial"/>
          <w:sz w:val="18"/>
          <w:szCs w:val="18"/>
          <w:color w:val="auto"/>
        </w:rPr>
      </w:pPr>
    </w:p>
    <w:p>
      <w:pPr>
        <w:ind w:left="1300" w:hanging="722"/>
        <w:spacing w:after="0" w:line="253"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 respect to a breach of Section 7.2.2 (Taxes), the earlier of (A) the date that is six (6) months after the assessment for the relevant Taxes has been determined and become legally binding without the possibility to reopen the Tax assessment (</w:t>
      </w:r>
      <w:r>
        <w:rPr>
          <w:rFonts w:ascii="Arial" w:cs="Arial" w:eastAsia="Arial" w:hAnsi="Arial"/>
          <w:sz w:val="18"/>
          <w:szCs w:val="18"/>
          <w:i w:val="1"/>
          <w:iCs w:val="1"/>
          <w:color w:val="auto"/>
        </w:rPr>
        <w:t>rechtskräftig festgesetzt ohne Möglichkeit der Wiedereröffnung im Rahmen eines Nachsteuerverfahrens</w:t>
      </w:r>
      <w:r>
        <w:rPr>
          <w:rFonts w:ascii="Arial" w:cs="Arial" w:eastAsia="Arial" w:hAnsi="Arial"/>
          <w:sz w:val="18"/>
          <w:szCs w:val="18"/>
          <w:color w:val="auto"/>
        </w:rPr>
        <w:t>) and (B) the date that is 90 (ninety) calendar days after the expiration of the relevant statute of limitations (or extensions or waivers thereof) applicable to the relevant Taxes; and</w:t>
      </w:r>
    </w:p>
    <w:p>
      <w:pPr>
        <w:spacing w:after="0" w:line="232" w:lineRule="exact"/>
        <w:rPr>
          <w:rFonts w:ascii="Arial" w:cs="Arial" w:eastAsia="Arial" w:hAnsi="Arial"/>
          <w:sz w:val="18"/>
          <w:szCs w:val="18"/>
          <w:color w:val="auto"/>
        </w:rPr>
      </w:pPr>
    </w:p>
    <w:p>
      <w:pPr>
        <w:ind w:left="1300" w:right="160" w:hanging="732"/>
        <w:spacing w:after="0" w:line="261"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with respect to a breach of any of the Business Representations, other than those referred to in Section 9.2.1(a)(ii) and (iii), the date that is eighteen (18) months after the Closing Date.</w:t>
      </w:r>
    </w:p>
    <w:p>
      <w:pPr>
        <w:spacing w:after="0" w:line="224" w:lineRule="exact"/>
        <w:rPr>
          <w:rFonts w:ascii="Arial" w:cs="Arial" w:eastAsia="Arial" w:hAnsi="Arial"/>
          <w:sz w:val="18"/>
          <w:szCs w:val="18"/>
          <w:color w:val="auto"/>
        </w:rPr>
      </w:pPr>
    </w:p>
    <w:p>
      <w:pPr>
        <w:ind w:left="660" w:right="120" w:hanging="652"/>
        <w:spacing w:after="0" w:line="261" w:lineRule="auto"/>
        <w:tabs>
          <w:tab w:leader="none" w:pos="65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claim for compensation subject to the remedy under Section 8.2(a)(ii) or Section 8.2(b)(ii) must be notified on or before the date that is ten (10) years after the Closing Date.</w:t>
      </w:r>
    </w:p>
    <w:p>
      <w:pPr>
        <w:spacing w:after="0" w:line="224" w:lineRule="exact"/>
        <w:rPr>
          <w:rFonts w:ascii="Arial" w:cs="Arial" w:eastAsia="Arial" w:hAnsi="Arial"/>
          <w:sz w:val="18"/>
          <w:szCs w:val="18"/>
          <w:color w:val="auto"/>
        </w:rPr>
      </w:pPr>
    </w:p>
    <w:p>
      <w:pPr>
        <w:ind w:left="660" w:right="100" w:hanging="652"/>
        <w:spacing w:after="0" w:line="253" w:lineRule="auto"/>
        <w:tabs>
          <w:tab w:leader="none" w:pos="65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After the relevant date specified in Section 9.2.1(a) or Section 9.2.1(b), any claim for compensation under Section 8.2 shall be considered precluded and forfeited (</w:t>
      </w:r>
      <w:r>
        <w:rPr>
          <w:rFonts w:ascii="Arial" w:cs="Arial" w:eastAsia="Arial" w:hAnsi="Arial"/>
          <w:sz w:val="18"/>
          <w:szCs w:val="18"/>
          <w:i w:val="1"/>
          <w:iCs w:val="1"/>
          <w:color w:val="auto"/>
        </w:rPr>
        <w:t>verwirkt</w:t>
      </w:r>
      <w:r>
        <w:rPr>
          <w:rFonts w:ascii="Arial" w:cs="Arial" w:eastAsia="Arial" w:hAnsi="Arial"/>
          <w:sz w:val="18"/>
          <w:szCs w:val="18"/>
          <w:color w:val="auto"/>
        </w:rPr>
        <w:t>), if it has not been notified on or before such date; it being understood that any such claim that has been notified by giving a Notice of Breach on or before such date shall not be considered precluded and forfeited (</w:t>
      </w:r>
      <w:r>
        <w:rPr>
          <w:rFonts w:ascii="Arial" w:cs="Arial" w:eastAsia="Arial" w:hAnsi="Arial"/>
          <w:sz w:val="18"/>
          <w:szCs w:val="18"/>
          <w:i w:val="1"/>
          <w:iCs w:val="1"/>
          <w:color w:val="auto"/>
        </w:rPr>
        <w:t>nicht verwirkt</w:t>
      </w:r>
      <w:r>
        <w:rPr>
          <w:rFonts w:ascii="Arial" w:cs="Arial" w:eastAsia="Arial" w:hAnsi="Arial"/>
          <w:sz w:val="18"/>
          <w:szCs w:val="18"/>
          <w:color w:val="auto"/>
        </w:rPr>
        <w:t>), if the Compensated Party initiates formal proceedings in accordance with Section 12.2 with respect to such claim by the date that is six (6) months after the date of the relevant Notice of Breach.</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7"/>
          <w:szCs w:val="17"/>
          <w:b w:val="1"/>
          <w:bCs w:val="1"/>
          <w:color w:val="auto"/>
        </w:rPr>
        <w:t>Term of Claims under Section 8.1</w:t>
      </w:r>
    </w:p>
    <w:p>
      <w:pPr>
        <w:spacing w:after="0" w:line="256" w:lineRule="exact"/>
        <w:rPr>
          <w:sz w:val="20"/>
          <w:szCs w:val="20"/>
          <w:color w:val="auto"/>
        </w:rPr>
      </w:pPr>
    </w:p>
    <w:p>
      <w:pPr>
        <w:ind w:left="660" w:right="20" w:hanging="652"/>
        <w:spacing w:after="0" w:line="266" w:lineRule="auto"/>
        <w:tabs>
          <w:tab w:leader="none" w:pos="65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sense of a condition subsequent (</w:t>
      </w:r>
      <w:r>
        <w:rPr>
          <w:rFonts w:ascii="Arial" w:cs="Arial" w:eastAsia="Arial" w:hAnsi="Arial"/>
          <w:sz w:val="18"/>
          <w:szCs w:val="18"/>
          <w:i w:val="1"/>
          <w:iCs w:val="1"/>
          <w:color w:val="auto"/>
        </w:rPr>
        <w:t>resolutive Bedingung</w:t>
      </w:r>
      <w:r>
        <w:rPr>
          <w:rFonts w:ascii="Arial" w:cs="Arial" w:eastAsia="Arial" w:hAnsi="Arial"/>
          <w:sz w:val="18"/>
          <w:szCs w:val="18"/>
          <w:color w:val="auto"/>
        </w:rPr>
        <w:t>), any claim for losses subject to indemnification under Section 8.1 must be notified on or before, and, if not notified in accordance with Section 8.1(b) on or before, shall be considered expired (</w:t>
      </w:r>
      <w:r>
        <w:rPr>
          <w:rFonts w:ascii="Arial" w:cs="Arial" w:eastAsia="Arial" w:hAnsi="Arial"/>
          <w:sz w:val="18"/>
          <w:szCs w:val="18"/>
          <w:i w:val="1"/>
          <w:iCs w:val="1"/>
          <w:color w:val="auto"/>
        </w:rPr>
        <w:t>erloschen</w:t>
      </w:r>
      <w:r>
        <w:rPr>
          <w:rFonts w:ascii="Arial" w:cs="Arial" w:eastAsia="Arial" w:hAnsi="Arial"/>
          <w:sz w:val="18"/>
          <w:szCs w:val="18"/>
          <w:color w:val="auto"/>
        </w:rPr>
        <w:t xml:space="preserve"> </w:t>
      </w:r>
      <w:r>
        <w:rPr>
          <w:rFonts w:ascii="Arial" w:cs="Arial" w:eastAsia="Arial" w:hAnsi="Arial"/>
          <w:sz w:val="18"/>
          <w:szCs w:val="18"/>
          <w:i w:val="1"/>
          <w:iCs w:val="1"/>
          <w:color w:val="auto"/>
        </w:rPr>
        <w:t>und verwirkt</w:t>
      </w:r>
      <w:r>
        <w:rPr>
          <w:rFonts w:ascii="Arial" w:cs="Arial" w:eastAsia="Arial" w:hAnsi="Arial"/>
          <w:sz w:val="18"/>
          <w:szCs w:val="18"/>
          <w:color w:val="auto"/>
        </w:rPr>
        <w:t>) after the sixth (6th) anniversary of the Closing Date.</w:t>
      </w:r>
    </w:p>
    <w:p>
      <w:pPr>
        <w:spacing w:after="0" w:line="220" w:lineRule="exact"/>
        <w:rPr>
          <w:rFonts w:ascii="Arial" w:cs="Arial" w:eastAsia="Arial" w:hAnsi="Arial"/>
          <w:sz w:val="18"/>
          <w:szCs w:val="18"/>
          <w:color w:val="auto"/>
        </w:rPr>
      </w:pPr>
    </w:p>
    <w:p>
      <w:pPr>
        <w:ind w:left="660" w:right="560" w:hanging="652"/>
        <w:spacing w:after="0" w:line="291" w:lineRule="auto"/>
        <w:tabs>
          <w:tab w:leader="none" w:pos="65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claim notified on or before the relevant date specified in this Section 9.2.2 may be pursued after such date and shall lapse (</w:t>
      </w:r>
      <w:r>
        <w:rPr>
          <w:rFonts w:ascii="Arial" w:cs="Arial" w:eastAsia="Arial" w:hAnsi="Arial"/>
          <w:sz w:val="17"/>
          <w:szCs w:val="17"/>
          <w:i w:val="1"/>
          <w:iCs w:val="1"/>
          <w:color w:val="auto"/>
        </w:rPr>
        <w:t>verjähren</w:t>
      </w:r>
      <w:r>
        <w:rPr>
          <w:rFonts w:ascii="Arial" w:cs="Arial" w:eastAsia="Arial" w:hAnsi="Arial"/>
          <w:sz w:val="17"/>
          <w:szCs w:val="17"/>
          <w:color w:val="auto"/>
        </w:rPr>
        <w:t>) in accordance with the general statute of limitations applicable to such claim pursuant to article 127 et seq. CO.</w:t>
      </w:r>
    </w:p>
    <w:p>
      <w:pPr>
        <w:spacing w:after="0" w:line="17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9.2.3</w:t>
      </w:r>
      <w:r>
        <w:rPr>
          <w:sz w:val="20"/>
          <w:szCs w:val="20"/>
          <w:color w:val="auto"/>
        </w:rPr>
        <w:tab/>
      </w:r>
      <w:r>
        <w:rPr>
          <w:rFonts w:ascii="Arial" w:cs="Arial" w:eastAsia="Arial" w:hAnsi="Arial"/>
          <w:sz w:val="17"/>
          <w:szCs w:val="17"/>
          <w:b w:val="1"/>
          <w:bCs w:val="1"/>
          <w:color w:val="auto"/>
        </w:rPr>
        <w:t>Waiver of Statute of Limitations under Article 210 CO</w:t>
      </w:r>
    </w:p>
    <w:p>
      <w:pPr>
        <w:spacing w:after="0" w:line="2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Any limitation period specified in this Agreement to apply to a claim shall be in lieu of and replace the statute of limitations pursuant to article 210 CO, if and to the extent such statute of limitations pursuant to article 210 CO would otherwise apply to such claim, and the Parties explicitly agree that any statute of limitations pursuant to article 210 CO shall be deemed waived and not apply to this Agreement.</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b w:val="1"/>
          <w:bCs w:val="1"/>
          <w:color w:val="auto"/>
        </w:rPr>
        <w:t>Liability Limitations</w:t>
      </w:r>
    </w:p>
    <w:p>
      <w:pPr>
        <w:spacing w:after="0" w:line="274" w:lineRule="exact"/>
        <w:rPr>
          <w:sz w:val="20"/>
          <w:szCs w:val="20"/>
          <w:color w:val="auto"/>
        </w:rPr>
      </w:pPr>
    </w:p>
    <w:p>
      <w:pPr>
        <w:ind w:left="640" w:hanging="632"/>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facts and circumstances which have been Fairly Disclosed in:</w:t>
      </w:r>
    </w:p>
    <w:p>
      <w:pPr>
        <w:sectPr>
          <w:pgSz w:w="11900" w:h="16838" w:orient="portrait"/>
          <w:cols w:equalWidth="0" w:num="1">
            <w:col w:w="11240"/>
          </w:cols>
          <w:pgMar w:left="320" w:top="1435" w:right="339" w:bottom="1440" w:gutter="0" w:footer="0" w:header="0"/>
        </w:sectPr>
      </w:pPr>
    </w:p>
    <w:bookmarkStart w:id="158" w:name="page159"/>
    <w:bookmarkEnd w:id="158"/>
    <w:p>
      <w:pPr>
        <w:ind w:left="1292" w:hanging="642"/>
        <w:spacing w:after="0"/>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Agreement; or</w:t>
      </w:r>
    </w:p>
    <w:p>
      <w:pPr>
        <w:spacing w:after="0" w:line="230" w:lineRule="exact"/>
        <w:rPr>
          <w:rFonts w:ascii="Arial" w:cs="Arial" w:eastAsia="Arial" w:hAnsi="Arial"/>
          <w:sz w:val="18"/>
          <w:szCs w:val="18"/>
          <w:color w:val="auto"/>
        </w:rPr>
      </w:pPr>
    </w:p>
    <w:p>
      <w:pPr>
        <w:ind w:left="1292" w:right="20" w:hanging="682"/>
        <w:spacing w:after="0" w:line="268" w:lineRule="auto"/>
        <w:tabs>
          <w:tab w:leader="none" w:pos="12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Data Room Documents (an index of which is attached hereto as </w:t>
      </w:r>
      <w:r>
        <w:rPr>
          <w:rFonts w:ascii="Arial" w:cs="Arial" w:eastAsia="Arial" w:hAnsi="Arial"/>
          <w:sz w:val="18"/>
          <w:szCs w:val="18"/>
          <w:u w:val="single" w:color="auto"/>
          <w:color w:val="auto"/>
        </w:rPr>
        <w:t>Annex 9.3(a)(ii)</w:t>
      </w:r>
      <w:r>
        <w:rPr>
          <w:rFonts w:ascii="Arial" w:cs="Arial" w:eastAsia="Arial" w:hAnsi="Arial"/>
          <w:sz w:val="18"/>
          <w:szCs w:val="18"/>
          <w:color w:val="auto"/>
        </w:rPr>
        <w:t xml:space="preserve"> (the </w:t>
      </w:r>
      <w:r>
        <w:rPr>
          <w:rFonts w:ascii="Arial" w:cs="Arial" w:eastAsia="Arial" w:hAnsi="Arial"/>
          <w:sz w:val="18"/>
          <w:szCs w:val="18"/>
          <w:b w:val="1"/>
          <w:bCs w:val="1"/>
          <w:color w:val="auto"/>
        </w:rPr>
        <w:t>Data Room Index</w:t>
      </w:r>
      <w:r>
        <w:rPr>
          <w:rFonts w:ascii="Arial" w:cs="Arial" w:eastAsia="Arial" w:hAnsi="Arial"/>
          <w:sz w:val="18"/>
          <w:szCs w:val="18"/>
          <w:color w:val="auto"/>
        </w:rPr>
        <w:t>), including any information provided by the Sellers or the Company and their Representatives (including in the form of e-mail) in response to questions or information requests by the Buyer or its advisors;</w:t>
      </w:r>
    </w:p>
    <w:p>
      <w:pPr>
        <w:spacing w:after="0" w:line="220" w:lineRule="exact"/>
        <w:rPr>
          <w:sz w:val="20"/>
          <w:szCs w:val="20"/>
          <w:color w:val="auto"/>
        </w:rPr>
      </w:pPr>
    </w:p>
    <w:p>
      <w:pPr>
        <w:ind w:left="652" w:right="40"/>
        <w:spacing w:after="0" w:line="253" w:lineRule="auto"/>
        <w:rPr>
          <w:sz w:val="20"/>
          <w:szCs w:val="20"/>
          <w:color w:val="auto"/>
        </w:rPr>
      </w:pPr>
      <w:r>
        <w:rPr>
          <w:rFonts w:ascii="Arial" w:cs="Arial" w:eastAsia="Arial" w:hAnsi="Arial"/>
          <w:sz w:val="18"/>
          <w:szCs w:val="18"/>
          <w:color w:val="auto"/>
        </w:rPr>
        <w:t xml:space="preserve">(all documents and information referred to in this Section 9.3(a), including all matters, facts or circumstances summarized or referred to therein, collectively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shall operate as an exclusion of, or, depending on the relevant disclosure, as a limitation to, the Business Representations, and, accordingly, the Sellers shall be under no liability to the Buyer and the Buyer shall not be entitled to seek compensation from the Sellers pursuant to Section 8.2(a)(i) if such liability is based on any matters, facts or circumstances that have been Fairly Disclosed in the Disclosure Documents.</w:t>
      </w:r>
    </w:p>
    <w:p>
      <w:pPr>
        <w:spacing w:after="0" w:line="232" w:lineRule="exact"/>
        <w:rPr>
          <w:sz w:val="20"/>
          <w:szCs w:val="20"/>
          <w:color w:val="auto"/>
        </w:rPr>
      </w:pPr>
    </w:p>
    <w:p>
      <w:pPr>
        <w:ind w:left="632" w:hanging="632"/>
        <w:spacing w:after="0"/>
        <w:tabs>
          <w:tab w:leader="none" w:pos="6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Compensating Party's obligation to compensate the Compensated Party for any claim subject to compensation under Section</w:t>
      </w:r>
    </w:p>
    <w:p>
      <w:pPr>
        <w:spacing w:after="0" w:line="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8.2 shall be reduced if and to the extent that:</w:t>
      </w:r>
    </w:p>
    <w:p>
      <w:pPr>
        <w:spacing w:after="0" w:line="252" w:lineRule="exact"/>
        <w:rPr>
          <w:rFonts w:ascii="Arial" w:cs="Arial" w:eastAsia="Arial" w:hAnsi="Arial"/>
          <w:sz w:val="18"/>
          <w:szCs w:val="18"/>
          <w:color w:val="auto"/>
        </w:rPr>
      </w:pPr>
    </w:p>
    <w:p>
      <w:pPr>
        <w:ind w:left="1292" w:right="480" w:hanging="642"/>
        <w:spacing w:after="0" w:line="261"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Compensated Party has failed to mitigate, or, in the case of the Buyer, failed to cause the Company to mitigate, the Damage in respect thereof, as required under Swiss Law;</w:t>
      </w:r>
    </w:p>
    <w:p>
      <w:pPr>
        <w:spacing w:after="0" w:line="224" w:lineRule="exact"/>
        <w:rPr>
          <w:rFonts w:ascii="Arial" w:cs="Arial" w:eastAsia="Arial" w:hAnsi="Arial"/>
          <w:sz w:val="18"/>
          <w:szCs w:val="18"/>
          <w:color w:val="auto"/>
        </w:rPr>
      </w:pPr>
    </w:p>
    <w:p>
      <w:pPr>
        <w:ind w:left="1292" w:right="40" w:hanging="682"/>
        <w:spacing w:after="0" w:line="254"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Compensated Party has recovered or by applying Commercially Reasonable Efforts could recover or could have recovered, or, in the case of the Buyer, failed to cause the Company to recover, from any third Person, including, but not limited to, an insurer, any sum in respect of any matter to which a claim made relates, after deduction of all duly documented costs and expenses incurred in making such recovery (including reasonable attorneys' fees);</w:t>
      </w:r>
    </w:p>
    <w:p>
      <w:pPr>
        <w:spacing w:after="0" w:line="230" w:lineRule="exact"/>
        <w:rPr>
          <w:rFonts w:ascii="Arial" w:cs="Arial" w:eastAsia="Arial" w:hAnsi="Arial"/>
          <w:sz w:val="18"/>
          <w:szCs w:val="18"/>
          <w:color w:val="auto"/>
        </w:rPr>
      </w:pPr>
    </w:p>
    <w:p>
      <w:pPr>
        <w:ind w:left="1292" w:right="60" w:hanging="722"/>
        <w:spacing w:after="0" w:line="291" w:lineRule="auto"/>
        <w:tabs>
          <w:tab w:leader="none" w:pos="129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an accrual, a provision, reserve or valuation allowance has been made or included in the Final Closing Accounts, if and to the extent such provision, reserve or valuation allowance was taken into account in the adjustments pursuant to Section 2.3;</w:t>
      </w:r>
    </w:p>
    <w:p>
      <w:pPr>
        <w:spacing w:after="0" w:line="200" w:lineRule="exact"/>
        <w:rPr>
          <w:rFonts w:ascii="Arial" w:cs="Arial" w:eastAsia="Arial" w:hAnsi="Arial"/>
          <w:sz w:val="17"/>
          <w:szCs w:val="17"/>
          <w:color w:val="auto"/>
        </w:rPr>
      </w:pPr>
    </w:p>
    <w:p>
      <w:pPr>
        <w:ind w:left="1292" w:hanging="732"/>
        <w:spacing w:after="0" w:line="252"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liability is attributable to any act, omission, transaction or arrangement (A) after the Closing, of the Compensated Party or any of his, her or its Affiliates (including the Company in the case of the Buyer) (or his, her or its respective directors, employees, agents or successors in title) or to which the Compensated Party has given his, her or its prior written consent, in each case outside the ordinary course of business of the Company as at the Closing, (B) before the Closing, by any Seller, any Affiliate of any Seller or the Company acting in accordance with the written direction or written request of the Buyer or any of its Affiliate, or (C) pursuant to and in compliance with this Agreement or any other Transaction Document;</w:t>
      </w:r>
    </w:p>
    <w:p>
      <w:pPr>
        <w:spacing w:after="0" w:line="234" w:lineRule="exact"/>
        <w:rPr>
          <w:rFonts w:ascii="Arial" w:cs="Arial" w:eastAsia="Arial" w:hAnsi="Arial"/>
          <w:sz w:val="18"/>
          <w:szCs w:val="18"/>
          <w:color w:val="auto"/>
        </w:rPr>
      </w:pPr>
    </w:p>
    <w:p>
      <w:pPr>
        <w:ind w:left="1292" w:hanging="692"/>
        <w:spacing w:after="0" w:line="261"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Compensated Party or any of his, her or its Affiliates or any of his, her or its Representatives is actually aware at the date of this Agreement of the Damage or Tax which is the subject matter of the claim for liability pursuant to Section 8.2;</w:t>
      </w:r>
    </w:p>
    <w:p>
      <w:pPr>
        <w:spacing w:after="0" w:line="224" w:lineRule="exact"/>
        <w:rPr>
          <w:rFonts w:ascii="Arial" w:cs="Arial" w:eastAsia="Arial" w:hAnsi="Arial"/>
          <w:sz w:val="18"/>
          <w:szCs w:val="18"/>
          <w:color w:val="auto"/>
        </w:rPr>
      </w:pPr>
    </w:p>
    <w:p>
      <w:pPr>
        <w:ind w:left="1292" w:right="240" w:hanging="732"/>
        <w:spacing w:after="0" w:line="261"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such compensation obligation arises or is increased as a result of changes in assessment methods and accounting or Tax practices, which have been introduced by the Buyer or the Company after the Closing Date;</w:t>
      </w:r>
    </w:p>
    <w:p>
      <w:pPr>
        <w:spacing w:after="0" w:line="224" w:lineRule="exact"/>
        <w:rPr>
          <w:rFonts w:ascii="Arial" w:cs="Arial" w:eastAsia="Arial" w:hAnsi="Arial"/>
          <w:sz w:val="18"/>
          <w:szCs w:val="18"/>
          <w:color w:val="auto"/>
        </w:rPr>
      </w:pPr>
    </w:p>
    <w:p>
      <w:pPr>
        <w:jc w:val="both"/>
        <w:ind w:left="1292" w:right="20" w:hanging="772"/>
        <w:spacing w:after="0" w:line="256" w:lineRule="auto"/>
        <w:tabs>
          <w:tab w:leader="none" w:pos="12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Compensated Party or, following the Closing, in the case of the Buyer, the Company, any successor to the Compensated Party or, in the case of the Buyer, all or part of the Company's business or any Affiliate or direct or indirect shareholder of the Compensated Party receives, or through Commercially Reasonable Efforts, could receive or could have</w:t>
      </w:r>
    </w:p>
    <w:p>
      <w:pPr>
        <w:sectPr>
          <w:pgSz w:w="11900" w:h="16838" w:orient="portrait"/>
          <w:cols w:equalWidth="0" w:num="1">
            <w:col w:w="11212"/>
          </w:cols>
          <w:pgMar w:left="328" w:top="1435" w:right="359" w:bottom="1440" w:gutter="0" w:footer="0" w:header="0"/>
        </w:sectPr>
      </w:pPr>
    </w:p>
    <w:bookmarkStart w:id="159" w:name="page160"/>
    <w:bookmarkEnd w:id="159"/>
    <w:p>
      <w:pPr>
        <w:ind w:left="1292"/>
        <w:spacing w:after="0" w:line="252" w:lineRule="auto"/>
        <w:rPr>
          <w:sz w:val="20"/>
          <w:szCs w:val="20"/>
          <w:color w:val="auto"/>
        </w:rPr>
      </w:pPr>
      <w:r>
        <w:rPr>
          <w:rFonts w:ascii="Arial" w:cs="Arial" w:eastAsia="Arial" w:hAnsi="Arial"/>
          <w:sz w:val="18"/>
          <w:szCs w:val="18"/>
          <w:color w:val="auto"/>
        </w:rPr>
        <w:t>received, any benefits by repayments, set-off or reduction of Taxes which it would not have received or could not receive but for the circumstances giving rise to a claim, including any tax benefit resulting from a reduction of the Tax base or the increase of the Tax loss (</w:t>
      </w:r>
      <w:r>
        <w:rPr>
          <w:rFonts w:ascii="Arial" w:cs="Arial" w:eastAsia="Arial" w:hAnsi="Arial"/>
          <w:sz w:val="18"/>
          <w:szCs w:val="18"/>
          <w:i w:val="1"/>
          <w:iCs w:val="1"/>
          <w:color w:val="auto"/>
        </w:rPr>
        <w:t>e.g.,</w:t>
      </w:r>
      <w:r>
        <w:rPr>
          <w:rFonts w:ascii="Arial" w:cs="Arial" w:eastAsia="Arial" w:hAnsi="Arial"/>
          <w:sz w:val="18"/>
          <w:szCs w:val="18"/>
          <w:color w:val="auto"/>
        </w:rPr>
        <w:t xml:space="preserve"> because of the lengthening or depreciation periods or higher depreciation allowances) after the Closing whereby the tax benefit from such reversal effect shall be calculated by applying the then applicable corporate income Tax rate on the aggregate amount by which the Tax base is reduced or the Tax loss is increased because of the reversal effect; or</w:t>
      </w:r>
    </w:p>
    <w:p>
      <w:pPr>
        <w:spacing w:after="0" w:line="235" w:lineRule="exact"/>
        <w:rPr>
          <w:sz w:val="20"/>
          <w:szCs w:val="20"/>
          <w:color w:val="auto"/>
        </w:rPr>
      </w:pPr>
    </w:p>
    <w:p>
      <w:pPr>
        <w:ind w:left="1292" w:right="20" w:hanging="812"/>
        <w:spacing w:after="0" w:line="252" w:lineRule="auto"/>
        <w:tabs>
          <w:tab w:leader="none" w:pos="129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such claim arises or is increased solely as a result of administrative practice (including, but not limited to, practice of any Governmental Authority) or rule of Law not in force at the Closing Date or the withdrawal after the Closing Date of any concession previously made by any relevant Governmental Authority or as a result of any change made or introduced on or after the Closing Date in any administrative practice (including, but not limited to, practice of any Governmental Authority) or rule of Law, whether or not such change or withdrawal purports to be effective retrospectively in whole or part, or any change in the rates of Taxes in force at the Closing Date or any imposition of any Taxes or any withdrawal of Relief, in each case not in effect at the Closing.</w:t>
      </w:r>
    </w:p>
    <w:p>
      <w:pPr>
        <w:spacing w:after="0" w:line="233" w:lineRule="exact"/>
        <w:rPr>
          <w:rFonts w:ascii="Arial" w:cs="Arial" w:eastAsia="Arial" w:hAnsi="Arial"/>
          <w:sz w:val="18"/>
          <w:szCs w:val="18"/>
          <w:color w:val="auto"/>
        </w:rPr>
      </w:pPr>
    </w:p>
    <w:p>
      <w:pPr>
        <w:ind w:left="652" w:right="20" w:hanging="652"/>
        <w:spacing w:after="0" w:line="253" w:lineRule="auto"/>
        <w:tabs>
          <w:tab w:leader="none" w:pos="6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a Compensating Party has paid (whether in cash or by set-off, as applicable) an amount in discharge of liability under Section 8.2, and the Compensated Party, any of his, her or its Affiliates or, in the case of the Buyer, the Company receives (whether by insurance, payment, discount, credit, Relief or otherwise) from any Person a sum that indemnifies or compensates the Compensated Party, any of his, her or its Affiliates or, in the case of the Buyer, the Company (in whole or in part) for the losses which are the subject matter of such Compensating Party's liability under Section 8.2, then the Compensated Party shall:</w:t>
      </w:r>
    </w:p>
    <w:p>
      <w:pPr>
        <w:spacing w:after="0" w:line="232" w:lineRule="exact"/>
        <w:rPr>
          <w:rFonts w:ascii="Arial" w:cs="Arial" w:eastAsia="Arial" w:hAnsi="Arial"/>
          <w:sz w:val="18"/>
          <w:szCs w:val="18"/>
          <w:color w:val="auto"/>
        </w:rPr>
      </w:pPr>
    </w:p>
    <w:p>
      <w:pPr>
        <w:ind w:left="1292" w:right="460" w:hanging="642"/>
        <w:spacing w:after="0" w:line="261" w:lineRule="auto"/>
        <w:tabs>
          <w:tab w:leader="none" w:pos="12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promptly notify the relevant Compensating Party of the fact and provide such information as the relevant Compensating Party may reasonably request;</w:t>
      </w:r>
    </w:p>
    <w:p>
      <w:pPr>
        <w:spacing w:after="0" w:line="224" w:lineRule="exact"/>
        <w:rPr>
          <w:rFonts w:ascii="Arial" w:cs="Arial" w:eastAsia="Arial" w:hAnsi="Arial"/>
          <w:sz w:val="18"/>
          <w:szCs w:val="18"/>
          <w:color w:val="auto"/>
        </w:rPr>
      </w:pPr>
    </w:p>
    <w:p>
      <w:pPr>
        <w:ind w:left="1292" w:right="380" w:hanging="682"/>
        <w:spacing w:after="0" w:line="261" w:lineRule="auto"/>
        <w:tabs>
          <w:tab w:leader="none" w:pos="12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take all commercially reasonable steps or proceedings as the relevant Compensating Party may request to enforce such right, at the expense of the relevant Compensating Party; and</w:t>
      </w:r>
    </w:p>
    <w:p>
      <w:pPr>
        <w:spacing w:after="0" w:line="224" w:lineRule="exact"/>
        <w:rPr>
          <w:rFonts w:ascii="Arial" w:cs="Arial" w:eastAsia="Arial" w:hAnsi="Arial"/>
          <w:sz w:val="18"/>
          <w:szCs w:val="18"/>
          <w:color w:val="auto"/>
        </w:rPr>
      </w:pPr>
    </w:p>
    <w:p>
      <w:pPr>
        <w:ind w:left="1292" w:right="140" w:hanging="722"/>
        <w:spacing w:after="0" w:line="254" w:lineRule="auto"/>
        <w:tabs>
          <w:tab w:leader="none" w:pos="129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pay to the relevant Compensating Party as soon as practicable after receipt an amount equal to the amount recovered from the third party or, if less, the amount previously paid by the Compensating Party to the Compensated Party in respect of the relevant claim, in each case net of Tax payable thereon and less any reasonable and documented third party costs of recovery.</w:t>
      </w:r>
    </w:p>
    <w:p>
      <w:pPr>
        <w:spacing w:after="0" w:line="230" w:lineRule="exact"/>
        <w:rPr>
          <w:rFonts w:ascii="Arial" w:cs="Arial" w:eastAsia="Arial" w:hAnsi="Arial"/>
          <w:sz w:val="18"/>
          <w:szCs w:val="18"/>
          <w:color w:val="auto"/>
        </w:rPr>
      </w:pPr>
    </w:p>
    <w:p>
      <w:pPr>
        <w:ind w:left="652" w:right="40" w:hanging="652"/>
        <w:spacing w:after="0" w:line="251" w:lineRule="auto"/>
        <w:tabs>
          <w:tab w:leader="none" w:pos="6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Compensating Party shall not have any liability to the Compensated Party under Section 8.2, unless (i) the amount of the claim or series of related claims made by the Compensated Party for indemnification thereunder exceeds CHF 200,000 (Swiss Francs two hundred thousand) (such claim or series of related claims, a </w:t>
      </w:r>
      <w:r>
        <w:rPr>
          <w:rFonts w:ascii="Arial" w:cs="Arial" w:eastAsia="Arial" w:hAnsi="Arial"/>
          <w:sz w:val="18"/>
          <w:szCs w:val="18"/>
          <w:b w:val="1"/>
          <w:bCs w:val="1"/>
          <w:color w:val="auto"/>
        </w:rPr>
        <w:t>Qualifying Claim</w:t>
      </w:r>
      <w:r>
        <w:rPr>
          <w:rFonts w:ascii="Arial" w:cs="Arial" w:eastAsia="Arial" w:hAnsi="Arial"/>
          <w:sz w:val="18"/>
          <w:szCs w:val="18"/>
          <w:color w:val="auto"/>
        </w:rPr>
        <w:t xml:space="preserve">), and (ii) the amount of the Compensating Party's obligation to indemnify the Compensated Party in respect of the relevant Qualifying Claim exceeds, or when aggregated with the amount of the total indemnification obligation of the Compensating Party in respect of all other Qualifying Claims will exceed, CHF 2,000,000 (Swiss Francs two million) (the </w:t>
      </w:r>
      <w:r>
        <w:rPr>
          <w:rFonts w:ascii="Arial" w:cs="Arial" w:eastAsia="Arial" w:hAnsi="Arial"/>
          <w:sz w:val="18"/>
          <w:szCs w:val="18"/>
          <w:b w:val="1"/>
          <w:bCs w:val="1"/>
          <w:color w:val="auto"/>
        </w:rPr>
        <w:t>Threshold Amount</w:t>
      </w:r>
      <w:r>
        <w:rPr>
          <w:rFonts w:ascii="Arial" w:cs="Arial" w:eastAsia="Arial" w:hAnsi="Arial"/>
          <w:sz w:val="18"/>
          <w:szCs w:val="18"/>
          <w:color w:val="auto"/>
        </w:rPr>
        <w:t>). If the Threshold Amount has been exceeded, the Compensating Party shall be liable to the Compensated Party for any Qualifying Claim of the Compensated Party, and not just the Damage in excess of the Threshold Amount. This Section 9.3(d) shall not apply to (i) any liability of the Sellers on the basis of a breach of any of the Fundamental Representations or any breach pursuant to Section 8.2(a)(ii), or (ii) any liability of the Buyer on the basis of a breach of any of the Buyer Representations.</w:t>
      </w:r>
    </w:p>
    <w:p>
      <w:pPr>
        <w:sectPr>
          <w:pgSz w:w="11900" w:h="16838" w:orient="portrait"/>
          <w:cols w:equalWidth="0" w:num="1">
            <w:col w:w="11232"/>
          </w:cols>
          <w:pgMar w:left="328" w:top="1435" w:right="339" w:bottom="1440" w:gutter="0" w:footer="0" w:header="0"/>
        </w:sectPr>
      </w:pPr>
    </w:p>
    <w:bookmarkStart w:id="160" w:name="page161"/>
    <w:bookmarkEnd w:id="160"/>
    <w:p>
      <w:pPr>
        <w:ind w:left="640" w:hanging="632"/>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maximum aggregate liability of any of the Sellers under or in connection with:</w:t>
      </w:r>
    </w:p>
    <w:p>
      <w:pPr>
        <w:spacing w:after="0" w:line="252" w:lineRule="exact"/>
        <w:rPr>
          <w:rFonts w:ascii="Arial" w:cs="Arial" w:eastAsia="Arial" w:hAnsi="Arial"/>
          <w:sz w:val="18"/>
          <w:szCs w:val="18"/>
          <w:color w:val="auto"/>
        </w:rPr>
      </w:pPr>
    </w:p>
    <w:p>
      <w:pPr>
        <w:ind w:left="1300" w:right="340" w:hanging="642"/>
        <w:spacing w:after="0" w:line="261"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breach of the Business Representations shall be limited to and not exceed an amount equal to such Seller's Liability Percentage of the Cap;</w:t>
      </w:r>
    </w:p>
    <w:p>
      <w:pPr>
        <w:spacing w:after="0" w:line="224" w:lineRule="exact"/>
        <w:rPr>
          <w:rFonts w:ascii="Arial" w:cs="Arial" w:eastAsia="Arial" w:hAnsi="Arial"/>
          <w:sz w:val="18"/>
          <w:szCs w:val="18"/>
          <w:color w:val="auto"/>
        </w:rPr>
      </w:pPr>
    </w:p>
    <w:p>
      <w:pPr>
        <w:ind w:left="1300" w:right="60" w:hanging="682"/>
        <w:spacing w:after="0" w:line="256"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breach of the Fundamental Representations or any breach pursuant to Section 8.2(a)(ii) shall be limited to, and not exceed, an amount equal to the amount of proceeds actually received by such Seller (including any amount set-off pursuant to Section 8.2(a)).</w:t>
      </w:r>
    </w:p>
    <w:p>
      <w:pPr>
        <w:spacing w:after="0" w:line="228" w:lineRule="exact"/>
        <w:rPr>
          <w:rFonts w:ascii="Arial" w:cs="Arial" w:eastAsia="Arial" w:hAnsi="Arial"/>
          <w:sz w:val="18"/>
          <w:szCs w:val="18"/>
          <w:color w:val="auto"/>
        </w:rPr>
      </w:pPr>
    </w:p>
    <w:p>
      <w:pPr>
        <w:ind w:left="660" w:right="20" w:hanging="652"/>
        <w:spacing w:after="0" w:line="261" w:lineRule="auto"/>
        <w:tabs>
          <w:tab w:leader="none" w:pos="65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limitations on liability hereunder, including without limitation under this Section 9.3 (except for Section 9.3(b)) shall apply:</w:t>
      </w:r>
    </w:p>
    <w:p>
      <w:pPr>
        <w:spacing w:after="0" w:line="206" w:lineRule="exact"/>
        <w:rPr>
          <w:rFonts w:ascii="Arial" w:cs="Arial" w:eastAsia="Arial" w:hAnsi="Arial"/>
          <w:sz w:val="18"/>
          <w:szCs w:val="18"/>
          <w:color w:val="auto"/>
        </w:rPr>
      </w:pPr>
    </w:p>
    <w:p>
      <w:pPr>
        <w:ind w:left="1300" w:hanging="642"/>
        <w:spacing w:after="0" w:line="282" w:lineRule="auto"/>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case of fraud (</w:t>
      </w:r>
      <w:r>
        <w:rPr>
          <w:rFonts w:ascii="Arial" w:cs="Arial" w:eastAsia="Arial" w:hAnsi="Arial"/>
          <w:sz w:val="18"/>
          <w:szCs w:val="18"/>
          <w:i w:val="1"/>
          <w:iCs w:val="1"/>
          <w:color w:val="auto"/>
        </w:rPr>
        <w:t>Betrug</w:t>
      </w:r>
      <w:r>
        <w:rPr>
          <w:rFonts w:ascii="Arial" w:cs="Arial" w:eastAsia="Arial" w:hAnsi="Arial"/>
          <w:sz w:val="18"/>
          <w:szCs w:val="18"/>
          <w:color w:val="auto"/>
        </w:rPr>
        <w:t>) or intentional deceit (</w:t>
      </w:r>
      <w:r>
        <w:rPr>
          <w:rFonts w:ascii="Arial" w:cs="Arial" w:eastAsia="Arial" w:hAnsi="Arial"/>
          <w:sz w:val="18"/>
          <w:szCs w:val="18"/>
          <w:i w:val="1"/>
          <w:iCs w:val="1"/>
          <w:color w:val="auto"/>
        </w:rPr>
        <w:t>absichtliche Täuschung</w:t>
      </w:r>
      <w:r>
        <w:rPr>
          <w:rFonts w:ascii="Arial" w:cs="Arial" w:eastAsia="Arial" w:hAnsi="Arial"/>
          <w:sz w:val="18"/>
          <w:szCs w:val="18"/>
          <w:color w:val="auto"/>
        </w:rPr>
        <w:t>, within the meaning of article 28 CO, article 192(3) CO and article 199 CO) by the Compensating Party;</w:t>
      </w:r>
    </w:p>
    <w:p>
      <w:pPr>
        <w:spacing w:after="0" w:line="184" w:lineRule="exact"/>
        <w:rPr>
          <w:rFonts w:ascii="Arial" w:cs="Arial" w:eastAsia="Arial" w:hAnsi="Arial"/>
          <w:sz w:val="18"/>
          <w:szCs w:val="18"/>
          <w:color w:val="auto"/>
        </w:rPr>
      </w:pPr>
    </w:p>
    <w:p>
      <w:pPr>
        <w:ind w:left="1300" w:hanging="682"/>
        <w:spacing w:after="0"/>
        <w:tabs>
          <w:tab w:leader="none" w:pos="13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to the compensation obligations of the Buyer under Section 8.1 and Section 8.2(b)(ii)</w:t>
      </w:r>
      <w:r>
        <w:rPr>
          <w:rFonts w:ascii="Arial" w:cs="Arial" w:eastAsia="Arial" w:hAnsi="Arial"/>
          <w:sz w:val="18"/>
          <w:szCs w:val="18"/>
          <w:b w:val="1"/>
          <w:bCs w:val="1"/>
          <w:color w:val="auto"/>
        </w:rPr>
        <w:t>.</w:t>
      </w:r>
    </w:p>
    <w:p>
      <w:pPr>
        <w:spacing w:after="0" w:line="274" w:lineRule="exact"/>
        <w:rPr>
          <w:rFonts w:ascii="Arial" w:cs="Arial" w:eastAsia="Arial" w:hAnsi="Arial"/>
          <w:sz w:val="18"/>
          <w:szCs w:val="18"/>
          <w:color w:val="auto"/>
        </w:rPr>
      </w:pPr>
    </w:p>
    <w:p>
      <w:pPr>
        <w:ind w:left="640" w:hanging="632"/>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limitations on the Compensating Party's liability pursuant to this Section 9.3 shall apply cumulatively.</w:t>
      </w:r>
    </w:p>
    <w:p>
      <w:pPr>
        <w:spacing w:after="0" w:line="252" w:lineRule="exact"/>
        <w:rPr>
          <w:rFonts w:ascii="Arial" w:cs="Arial" w:eastAsia="Arial" w:hAnsi="Arial"/>
          <w:sz w:val="18"/>
          <w:szCs w:val="18"/>
          <w:color w:val="auto"/>
        </w:rPr>
      </w:pPr>
    </w:p>
    <w:p>
      <w:pPr>
        <w:ind w:left="660" w:right="40" w:hanging="652"/>
        <w:spacing w:after="0" w:line="253" w:lineRule="auto"/>
        <w:tabs>
          <w:tab w:leader="none" w:pos="65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remedies under Section 8.2(a)(i) shall be in lieu of, and not in addition to, the remedies provided for under statutory Law or case Law. All remedies provided for under statutory Law or case Law, including the right to rescind this Agreement following the Closing, shall not apply to, and are hereby expressly excluded and waived by each Party with respect to, any such breach, to the extent permissible. In particular, and without limiting the generality of the foregoing, each Party explicitly waives his, her or its right of partial or entire contract rescission under article 24 and article 205 CO.</w:t>
      </w:r>
    </w:p>
    <w:p>
      <w:pPr>
        <w:spacing w:after="0" w:line="210" w:lineRule="exact"/>
        <w:rPr>
          <w:sz w:val="20"/>
          <w:szCs w:val="20"/>
          <w:color w:val="auto"/>
        </w:rPr>
      </w:pPr>
    </w:p>
    <w:p>
      <w:pPr>
        <w:ind w:left="640" w:hanging="632"/>
        <w:spacing w:after="0"/>
        <w:tabs>
          <w:tab w:leader="none" w:pos="6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 by the Sellers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Indemnities by the Sellers shall be governed by </w:t>
      </w:r>
      <w:r>
        <w:rPr>
          <w:rFonts w:ascii="Arial" w:cs="Arial" w:eastAsia="Arial" w:hAnsi="Arial"/>
          <w:sz w:val="18"/>
          <w:szCs w:val="18"/>
          <w:u w:val="single" w:color="auto"/>
          <w:color w:val="auto"/>
        </w:rPr>
        <w:t>Annex 10</w:t>
      </w:r>
      <w:r>
        <w:rPr>
          <w:rFonts w:ascii="Arial" w:cs="Arial" w:eastAsia="Arial" w:hAnsi="Arial"/>
          <w:sz w:val="18"/>
          <w:szCs w:val="18"/>
          <w:color w:val="auto"/>
        </w:rPr>
        <w:t>.</w:t>
      </w:r>
    </w:p>
    <w:p>
      <w:pPr>
        <w:spacing w:after="0" w:line="230" w:lineRule="exact"/>
        <w:rPr>
          <w:sz w:val="20"/>
          <w:szCs w:val="20"/>
          <w:color w:val="auto"/>
        </w:rPr>
      </w:pPr>
    </w:p>
    <w:p>
      <w:pPr>
        <w:ind w:right="8620" w:firstLine="8"/>
        <w:spacing w:after="0" w:line="544" w:lineRule="auto"/>
        <w:tabs>
          <w:tab w:leader="none" w:pos="641"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 11.1 Effect on Third Parties</w:t>
      </w:r>
    </w:p>
    <w:p>
      <w:pPr>
        <w:spacing w:after="0" w:line="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 Person other than the Parties shall have any rights or benefits under this Agreement, and nothing in this Agreement is intended to confer on any Person other than the Parties any rights, benefits or remedies, except that each Released Person shall have a direct claim against the Buyer under this Agreement for any right or benefit granted to it by Section 5.3.</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Notices</w:t>
      </w:r>
    </w:p>
    <w:p>
      <w:pPr>
        <w:spacing w:after="0" w:line="274" w:lineRule="exact"/>
        <w:rPr>
          <w:sz w:val="20"/>
          <w:szCs w:val="20"/>
          <w:color w:val="auto"/>
        </w:rPr>
      </w:pPr>
    </w:p>
    <w:p>
      <w:pPr>
        <w:ind w:left="660" w:hanging="652"/>
        <w:spacing w:after="0" w:line="256" w:lineRule="auto"/>
        <w:tabs>
          <w:tab w:leader="none" w:pos="65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notices or other communications to be given or made under or in connection with this Agreement shall be given or made in writing and delivered by hand or sent (postage prepaid) by registered, certified or express post (return receipt requested), courier or by electronic transmission in .pdf format or similar format to the following addresses:</w:t>
      </w:r>
    </w:p>
    <w:p>
      <w:pPr>
        <w:spacing w:after="0" w:line="237" w:lineRule="exact"/>
        <w:rPr>
          <w:sz w:val="20"/>
          <w:szCs w:val="20"/>
          <w:color w:val="auto"/>
        </w:rPr>
      </w:pPr>
    </w:p>
    <w:tbl>
      <w:tblPr>
        <w:tblLayout w:type="fixed"/>
        <w:tblInd w:w="950" w:type="dxa"/>
        <w:tblCellMar>
          <w:top w:w="0" w:type="dxa"/>
          <w:left w:w="0" w:type="dxa"/>
          <w:bottom w:w="0" w:type="dxa"/>
          <w:right w:w="0" w:type="dxa"/>
        </w:tblCellMar>
      </w:tblPr>
      <w:tr>
        <w:trPr>
          <w:trHeight w:val="243"/>
        </w:trPr>
        <w:tc>
          <w:tcPr>
            <w:tcW w:w="2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if to the Sellers:</w:t>
            </w:r>
          </w:p>
        </w:tc>
        <w:tc>
          <w:tcPr>
            <w:tcW w:w="6780" w:type="dxa"/>
            <w:vAlign w:val="bottom"/>
            <w:tcBorders>
              <w:top w:val="single" w:sz="8" w:color="auto"/>
              <w:right w:val="single" w:sz="8" w:color="auto"/>
            </w:tcBorders>
          </w:tcPr>
          <w:p>
            <w:pPr>
              <w:jc w:val="right"/>
              <w:ind w:right="6370"/>
              <w:spacing w:after="0"/>
              <w:rPr>
                <w:sz w:val="20"/>
                <w:szCs w:val="20"/>
                <w:color w:val="auto"/>
              </w:rPr>
            </w:pPr>
            <w:r>
              <w:rPr>
                <w:rFonts w:ascii="Arial" w:cs="Arial" w:eastAsia="Arial" w:hAnsi="Arial"/>
                <w:sz w:val="18"/>
                <w:szCs w:val="18"/>
                <w:color w:val="auto"/>
                <w:w w:val="96"/>
              </w:rPr>
              <w:t>[***]</w:t>
            </w:r>
          </w:p>
        </w:tc>
      </w:tr>
      <w:tr>
        <w:trPr>
          <w:trHeight w:val="567"/>
        </w:trPr>
        <w:tc>
          <w:tcPr>
            <w:tcW w:w="2280" w:type="dxa"/>
            <w:vAlign w:val="bottom"/>
            <w:tcBorders>
              <w:left w:val="single" w:sz="8" w:color="auto"/>
              <w:right w:val="single" w:sz="8" w:color="auto"/>
            </w:tcBorders>
          </w:tcPr>
          <w:p>
            <w:pPr>
              <w:spacing w:after="0"/>
              <w:rPr>
                <w:sz w:val="24"/>
                <w:szCs w:val="24"/>
                <w:color w:val="auto"/>
              </w:rPr>
            </w:pPr>
          </w:p>
        </w:tc>
        <w:tc>
          <w:tcPr>
            <w:tcW w:w="6780" w:type="dxa"/>
            <w:vAlign w:val="bottom"/>
            <w:tcBorders>
              <w:right w:val="single" w:sz="8" w:color="auto"/>
            </w:tcBorders>
          </w:tcPr>
          <w:p>
            <w:pPr>
              <w:spacing w:after="0"/>
              <w:rPr>
                <w:sz w:val="24"/>
                <w:szCs w:val="24"/>
                <w:color w:val="auto"/>
              </w:rPr>
            </w:pPr>
          </w:p>
        </w:tc>
      </w:tr>
    </w:tbl>
    <w:p>
      <w:pPr>
        <w:sectPr>
          <w:pgSz w:w="11900" w:h="16838" w:orient="portrait"/>
          <w:cols w:equalWidth="0" w:num="1">
            <w:col w:w="11200"/>
          </w:cols>
          <w:pgMar w:left="320" w:top="1435" w:right="37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929005</wp:posOffset>
            </wp:positionV>
            <wp:extent cx="5751830" cy="72434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5751830"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62" w:name="page163"/>
    <w:bookmarkEnd w:id="16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929005</wp:posOffset>
            </wp:positionV>
            <wp:extent cx="5751830" cy="7269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5751830" cy="7269480"/>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929005</wp:posOffset>
            </wp:positionV>
            <wp:extent cx="5751830" cy="72351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5751830" cy="7235190"/>
                    </a:xfrm>
                    <a:prstGeom prst="rect">
                      <a:avLst/>
                    </a:prstGeom>
                    <a:noFill/>
                  </pic:spPr>
                </pic:pic>
              </a:graphicData>
            </a:graphic>
          </wp:anchor>
        </w:drawing>
      </w:r>
    </w:p>
    <w:p>
      <w:pPr>
        <w:spacing w:after="0" w:line="22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929005</wp:posOffset>
            </wp:positionV>
            <wp:extent cx="5751830" cy="7200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5751830" cy="720090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with a copy (which</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shall not constitute</w:t>
            </w:r>
          </w:p>
        </w:tc>
        <w:tc>
          <w:tcPr>
            <w:tcW w:w="700" w:type="dxa"/>
            <w:vAlign w:val="bottom"/>
          </w:tcPr>
          <w:p>
            <w:pPr>
              <w:spacing w:after="0"/>
              <w:rPr>
                <w:sz w:val="22"/>
                <w:szCs w:val="22"/>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notice) to:</w:t>
            </w:r>
          </w:p>
        </w:tc>
        <w:tc>
          <w:tcPr>
            <w:tcW w:w="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Arial" w:cs="Arial" w:eastAsia="Arial" w:hAnsi="Arial"/>
                <w:sz w:val="18"/>
                <w:szCs w:val="18"/>
                <w:color w:val="auto"/>
              </w:rPr>
              <w:t>if to [***]:</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with a copy (which</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shall not constitute</w:t>
            </w:r>
          </w:p>
        </w:tc>
        <w:tc>
          <w:tcPr>
            <w:tcW w:w="700" w:type="dxa"/>
            <w:vAlign w:val="bottom"/>
          </w:tcPr>
          <w:p>
            <w:pPr>
              <w:spacing w:after="0"/>
              <w:rPr>
                <w:sz w:val="22"/>
                <w:szCs w:val="22"/>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notice) to:</w:t>
            </w:r>
          </w:p>
        </w:tc>
        <w:tc>
          <w:tcPr>
            <w:tcW w:w="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if to the Buyer: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with a copy (which</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1860" w:type="dxa"/>
            <w:vAlign w:val="bottom"/>
          </w:tcPr>
          <w:p>
            <w:pPr>
              <w:spacing w:after="0"/>
              <w:rPr>
                <w:sz w:val="20"/>
                <w:szCs w:val="20"/>
                <w:color w:val="auto"/>
              </w:rPr>
            </w:pPr>
            <w:r>
              <w:rPr>
                <w:rFonts w:ascii="Arial" w:cs="Arial" w:eastAsia="Arial" w:hAnsi="Arial"/>
                <w:sz w:val="18"/>
                <w:szCs w:val="18"/>
                <w:color w:val="auto"/>
              </w:rPr>
              <w:t>shall not constitute</w:t>
            </w:r>
          </w:p>
        </w:tc>
        <w:tc>
          <w:tcPr>
            <w:tcW w:w="700" w:type="dxa"/>
            <w:vAlign w:val="bottom"/>
          </w:tcPr>
          <w:p>
            <w:pPr>
              <w:spacing w:after="0"/>
              <w:rPr>
                <w:sz w:val="22"/>
                <w:szCs w:val="22"/>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notice) to:</w:t>
            </w:r>
          </w:p>
        </w:tc>
        <w:tc>
          <w:tcPr>
            <w:tcW w:w="7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65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159"/>
          </w:cols>
          <w:pgMar w:left="1300" w:top="1440" w:right="1440" w:bottom="1440" w:gutter="0" w:footer="0" w:header="0"/>
        </w:sectPr>
      </w:pPr>
    </w:p>
    <w:bookmarkStart w:id="165" w:name="page166"/>
    <w:bookmarkEnd w:id="165"/>
    <w:p>
      <w:pPr>
        <w:spacing w:after="0" w:line="238" w:lineRule="exact"/>
        <w:rPr>
          <w:sz w:val="20"/>
          <w:szCs w:val="20"/>
          <w:color w:val="auto"/>
        </w:rPr>
      </w:pPr>
    </w:p>
    <w:p>
      <w:pPr>
        <w:ind w:left="660" w:right="80" w:hanging="652"/>
        <w:spacing w:after="0" w:line="256" w:lineRule="auto"/>
        <w:tabs>
          <w:tab w:leader="none" w:pos="65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Notices delivered by hand shall be deemed delivered when actually delivered. Notices given by post or courier shall be deemed delivered when received. Notices given by electronic transmission shall be deemed to be delivered at the time such notices are sent to the relevant addresses above, if no delivery failure or error messages are received by the sender.</w:t>
      </w:r>
    </w:p>
    <w:p>
      <w:pPr>
        <w:spacing w:after="0" w:line="228" w:lineRule="exact"/>
        <w:rPr>
          <w:rFonts w:ascii="Arial" w:cs="Arial" w:eastAsia="Arial" w:hAnsi="Arial"/>
          <w:sz w:val="18"/>
          <w:szCs w:val="18"/>
          <w:color w:val="auto"/>
        </w:rPr>
      </w:pPr>
    </w:p>
    <w:p>
      <w:pPr>
        <w:ind w:left="660" w:right="400" w:hanging="652"/>
        <w:spacing w:after="0" w:line="256" w:lineRule="auto"/>
        <w:tabs>
          <w:tab w:leader="none" w:pos="65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Irrespective of the delivery or receipt of a notice, any notice given hereunder shall be deemed to have been timely given, if dispatched or sent prior to the expiry of a term or deadline set forth in this Agreement (if any), but the recipient shall be under no obligation to perform any act under this Agreement before it, he or she has received such notice.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b w:val="1"/>
          <w:bCs w:val="1"/>
          <w:color w:val="auto"/>
        </w:rPr>
        <w:t>Entire Agreement</w:t>
      </w:r>
    </w:p>
    <w:p>
      <w:pPr>
        <w:spacing w:after="0" w:line="27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Agreement, including the Annexes and any other documents referred to herein, constitutes the entire agreement and understanding among the Parties with respect to the subject matter hereof, and supersedes all prior oral or written agreements and understandings of the Parties relating to such subject matter, including the Term Sheet.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b w:val="1"/>
          <w:bCs w:val="1"/>
          <w:color w:val="auto"/>
        </w:rPr>
        <w:t>Amendments and Waivers</w:t>
      </w:r>
    </w:p>
    <w:p>
      <w:pPr>
        <w:spacing w:after="0" w:line="274" w:lineRule="exact"/>
        <w:rPr>
          <w:sz w:val="20"/>
          <w:szCs w:val="20"/>
          <w:color w:val="auto"/>
        </w:rPr>
      </w:pPr>
    </w:p>
    <w:p>
      <w:pPr>
        <w:ind w:left="640" w:hanging="632"/>
        <w:spacing w:after="0"/>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Agreement may only be modified or amended by a written document signed by the Parties.</w:t>
      </w:r>
    </w:p>
    <w:p>
      <w:pPr>
        <w:spacing w:after="0" w:line="252" w:lineRule="exact"/>
        <w:rPr>
          <w:rFonts w:ascii="Arial" w:cs="Arial" w:eastAsia="Arial" w:hAnsi="Arial"/>
          <w:sz w:val="18"/>
          <w:szCs w:val="18"/>
          <w:color w:val="auto"/>
        </w:rPr>
      </w:pPr>
    </w:p>
    <w:p>
      <w:pPr>
        <w:jc w:val="both"/>
        <w:ind w:left="660" w:right="20" w:hanging="652"/>
        <w:spacing w:after="0" w:line="256" w:lineRule="auto"/>
        <w:tabs>
          <w:tab w:leader="none" w:pos="65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waiver of any term or condition of this Agreement, waiver of any breach of any term or condition of this Agreement, or waiver of, or election whether or not to enforce, any right or remedy arising under this Agreement or at Law, must be in writing and signed by or on behalf of the Person granting the waiver, and no waiver or election shall be inferred from a Party’s conduct.</w:t>
      </w:r>
    </w:p>
    <w:p>
      <w:pPr>
        <w:spacing w:after="0" w:line="228" w:lineRule="exact"/>
        <w:rPr>
          <w:rFonts w:ascii="Arial" w:cs="Arial" w:eastAsia="Arial" w:hAnsi="Arial"/>
          <w:sz w:val="18"/>
          <w:szCs w:val="18"/>
          <w:color w:val="auto"/>
        </w:rPr>
      </w:pPr>
    </w:p>
    <w:p>
      <w:pPr>
        <w:ind w:left="660" w:right="420" w:hanging="652"/>
        <w:spacing w:after="0" w:line="261" w:lineRule="auto"/>
        <w:tabs>
          <w:tab w:leader="none" w:pos="65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waiver of a breach of any term or condition of this Agreement shall not be, or be deemed to be, a waiver of any subsequent breach.</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No Assignment</w:t>
      </w:r>
    </w:p>
    <w:p>
      <w:pPr>
        <w:spacing w:after="0" w:line="274"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The Parties shall not assign, hold on trust, transfer, charge or otherwise deal with this Agreement or any rights or obligations hereunder, including, but not limited to, by way of a business transfer (</w:t>
      </w:r>
      <w:r>
        <w:rPr>
          <w:rFonts w:ascii="Arial" w:cs="Arial" w:eastAsia="Arial" w:hAnsi="Arial"/>
          <w:sz w:val="18"/>
          <w:szCs w:val="18"/>
          <w:i w:val="1"/>
          <w:iCs w:val="1"/>
          <w:color w:val="auto"/>
        </w:rPr>
        <w:t>Vermögens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bertragung</w:t>
      </w:r>
      <w:r>
        <w:rPr>
          <w:rFonts w:ascii="Arial" w:cs="Arial" w:eastAsia="Arial" w:hAnsi="Arial"/>
          <w:sz w:val="18"/>
          <w:szCs w:val="18"/>
          <w:color w:val="auto"/>
        </w:rPr>
        <w:t>) or demerger (</w:t>
      </w:r>
      <w:r>
        <w:rPr>
          <w:rFonts w:ascii="Arial" w:cs="Arial" w:eastAsia="Arial" w:hAnsi="Arial"/>
          <w:sz w:val="18"/>
          <w:szCs w:val="18"/>
          <w:i w:val="1"/>
          <w:iCs w:val="1"/>
          <w:color w:val="auto"/>
        </w:rPr>
        <w:t>Abspaltung</w:t>
      </w:r>
      <w:r>
        <w:rPr>
          <w:rFonts w:ascii="Arial" w:cs="Arial" w:eastAsia="Arial" w:hAnsi="Arial"/>
          <w:sz w:val="18"/>
          <w:szCs w:val="18"/>
          <w:color w:val="auto"/>
        </w:rPr>
        <w:t>), to any third party nor grant, declare, create or dispose of any right or interest in it, without the prior written consent of the Sellers (if the assignment is proposed to be undertaken by the Buyer) or the Buyer (if the assignment is proposed to be undertaken by any of the Sellers); provided, however, that the Buyer and, following the Closing, any of the Sellers may assign this Agreement or any of its respective rights and obligations hereunder to any of its Affiliates as long as the assignor remains jointly and severally liable with the assignee for any obligations under this Agreement, and provided further that the Buyer may assign this Agreement or any of its respective rights and obligations hereunder in connection with (a) a transfer, sale, license, conveyance or disposition of the Sigi Patch Pump to any third party, (b) a spinoff, sale or other transfer of all or substantially all of the assets of any product line, business unit or operating segment to which the Sigi Patch Pump belongs or (c) the acquisition (whether by merger, consolidation, sale or otherwise) of the Buyer, as long as, in each case (1) the Buyer provides written notice to the Sellers of such assignment, (2) such assignee agrees to be or is, by operation of law or otherwise, bound by the terms and conditions of this Agreement, and (3) such assignee and its Affiliates are of comparable financial standing as the Buyer.</w:t>
      </w:r>
    </w:p>
    <w:p>
      <w:pPr>
        <w:sectPr>
          <w:pgSz w:w="11900" w:h="16838" w:orient="portrait"/>
          <w:cols w:equalWidth="0" w:num="1">
            <w:col w:w="11220"/>
          </w:cols>
          <w:pgMar w:left="320" w:top="1440" w:right="359" w:bottom="1440" w:gutter="0" w:footer="0" w:header="0"/>
        </w:sectPr>
      </w:pPr>
    </w:p>
    <w:bookmarkStart w:id="166" w:name="page167"/>
    <w:bookmarkEnd w:id="166"/>
    <w:p>
      <w:pPr>
        <w:spacing w:after="0"/>
        <w:tabs>
          <w:tab w:leader="none" w:pos="64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color w:val="auto"/>
        </w:rPr>
        <w:t>No Set-Off</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Except for any claim of the Buyer against the relevant Seller pursuant to this Agreement, the Buyer shall not be entitled to set off any of its claims it may have against any of the Sellers against, or otherwise withhold the proper payment of, any amount payable by the Buyer to any Seller under or pursuant to this Agreement.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Severability</w:t>
      </w:r>
    </w:p>
    <w:p>
      <w:pPr>
        <w:spacing w:after="0" w:line="2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Should any part or provision of this Agreement be held to be invalid or unenforceable by any competent arbitral tribunal, court, governmental or administrative authority having jurisdiction, the other provisions of this Agreement shall nonetheless remain valid. In this case, the Parties shall endeavor to negotiate a substitute provision that best reflects the economic intentions of the Parties without being unenforceable, and shall execute all agreements and documents required in this connection.</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b w:val="1"/>
          <w:bCs w:val="1"/>
          <w:color w:val="auto"/>
        </w:rPr>
        <w:t>Relationship between the Sellers and the Buyer</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 Seller shall be jointly and severally liable with any of the other Sellers for any of the obligations undertaken by any of the Sellers pursuant to this Agreement, including, without limitation, in connection with the adjustment pursuant to Section 2.3 or based on the indemnification obligations pursuant to Section 8. Each Seller's liability under this Agreement, including based on the indemnification obligations pursuant to Section 8, or otherwise shall be several (</w:t>
      </w:r>
      <w:r>
        <w:rPr>
          <w:rFonts w:ascii="Arial" w:cs="Arial" w:eastAsia="Arial" w:hAnsi="Arial"/>
          <w:sz w:val="18"/>
          <w:szCs w:val="18"/>
          <w:i w:val="1"/>
          <w:iCs w:val="1"/>
          <w:color w:val="auto"/>
        </w:rPr>
        <w:t>teilschuldnerisch</w:t>
      </w:r>
      <w:r>
        <w:rPr>
          <w:rFonts w:ascii="Arial" w:cs="Arial" w:eastAsia="Arial" w:hAnsi="Arial"/>
          <w:sz w:val="18"/>
          <w:szCs w:val="18"/>
          <w:color w:val="auto"/>
        </w:rPr>
        <w:t>), determined by reference to the Liability Percentage.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7"/>
          <w:szCs w:val="17"/>
          <w:b w:val="1"/>
          <w:bCs w:val="1"/>
          <w:color w:val="auto"/>
        </w:rPr>
        <w:t>Counterparts; Delivery by Electronic Transmission</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Agreement may be executed and delivered by each Party in separate counterparts, each of which when so executed and delivered shall be deemed an original and all of which taken together shall constitute one and the same Agreement. This Agreement and any other Transaction Document, and any amendments hereto or thereto, to the extent signed and delivered by means of electronic signature or e-signature (irrespective of whether the relevant electronic signature or e-signature has been issued by a provider recognized or accredited under applicable Law or not) or other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e-mail delivery in .pdf format or similar format), shall be treated in all manner and respects as an original contract and shall be considered to have the same binding legal effects as if it were the original signed version thereof delivered in person.</w:t>
      </w:r>
    </w:p>
    <w:p>
      <w:pPr>
        <w:spacing w:after="0" w:line="212" w:lineRule="exact"/>
        <w:rPr>
          <w:sz w:val="20"/>
          <w:szCs w:val="20"/>
          <w:color w:val="auto"/>
        </w:rPr>
      </w:pPr>
    </w:p>
    <w:p>
      <w:pPr>
        <w:ind w:right="7220" w:firstLine="8"/>
        <w:spacing w:after="0" w:line="544" w:lineRule="auto"/>
        <w:tabs>
          <w:tab w:leader="none" w:pos="641"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Dispute Resolution 12.1 Governing Law</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Agreement and any claim, controversy or dispute arising out of or related to this Agreement, any of the transactions contemplated hereby, the relationship of the Parties hereunder, or the interpretation and enforcement of the rights and duties of the Parties, whether arising in contract, tort or otherwise, shall be governed by and construed in accordance with the substantive Laws of Switzerland, excluding the UN Convention on Contracts for the International Sale of Goods, without giving effect to any choice of law or conflict of law provision or rule that would cause the application of the Laws of any jurisdiction other than Switzerland.</w:t>
      </w:r>
    </w:p>
    <w:p>
      <w:pPr>
        <w:sectPr>
          <w:pgSz w:w="11900" w:h="16838" w:orient="portrait"/>
          <w:cols w:equalWidth="0" w:num="1">
            <w:col w:w="11220"/>
          </w:cols>
          <w:pgMar w:left="320" w:top="1413" w:right="359" w:bottom="1440" w:gutter="0" w:footer="0" w:header="0"/>
        </w:sectPr>
      </w:pPr>
    </w:p>
    <w:bookmarkStart w:id="167" w:name="page168"/>
    <w:bookmarkEnd w:id="167"/>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Dispute Resolution</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dispute, controversy or claim arising out of, or in relation to, this Agreement, including the validity, invalidity, breach, or termination thereof, shall be resolved by arbitration in accordance with the Swiss Rules of International Arbitration of the Swiss Arbitration Centre in force on the date on which the notice of arbitration is submitted in accordance with those rules. The number of arbitrators shall be three. The seat of the arbitration shall be Zurich. The arbitration proceedings shall be conducted in English.</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on next page]</w:t>
      </w:r>
    </w:p>
    <w:p>
      <w:pPr>
        <w:sectPr>
          <w:pgSz w:w="11900" w:h="16838" w:orient="portrait"/>
          <w:cols w:equalWidth="0" w:num="1">
            <w:col w:w="11200"/>
          </w:cols>
          <w:pgMar w:left="320" w:top="1413" w:right="3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Executed as of the date written on the cover page to this Agreement.</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840" w:type="dxa"/>
            <w:vAlign w:val="bottom"/>
            <w:tcBorders>
              <w:top w:val="single" w:sz="8" w:color="auto"/>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right w:val="single" w:sz="8" w:color="auto"/>
            </w:tcBorders>
          </w:tcPr>
          <w:p>
            <w:pPr>
              <w:spacing w:after="0"/>
              <w:rPr>
                <w:sz w:val="21"/>
                <w:szCs w:val="21"/>
                <w:color w:val="auto"/>
              </w:rPr>
            </w:pPr>
          </w:p>
        </w:tc>
        <w:tc>
          <w:tcPr>
            <w:tcW w:w="4820" w:type="dxa"/>
            <w:vAlign w:val="bottom"/>
            <w:tcBorders>
              <w:top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4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4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0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0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9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99"/>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9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0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3"/>
        </w:trPr>
        <w:tc>
          <w:tcPr>
            <w:tcW w:w="4840" w:type="dxa"/>
            <w:vAlign w:val="bottom"/>
            <w:tcBorders>
              <w:left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5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50"/>
        </w:trPr>
        <w:tc>
          <w:tcPr>
            <w:tcW w:w="484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r>
      <w:tr>
        <w:trPr>
          <w:trHeight w:val="39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9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196"/>
        </w:trPr>
        <w:tc>
          <w:tcPr>
            <w:tcW w:w="4840" w:type="dxa"/>
            <w:vAlign w:val="bottom"/>
            <w:tcBorders>
              <w:left w:val="single" w:sz="8" w:color="auto"/>
              <w:bottom w:val="single" w:sz="8" w:color="auto"/>
              <w:right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4820" w:type="dxa"/>
            <w:vAlign w:val="bottom"/>
            <w:tcBorders>
              <w:bottom w:val="single" w:sz="8" w:color="auto"/>
              <w:right w:val="single" w:sz="8" w:color="auto"/>
            </w:tcBorders>
          </w:tcPr>
          <w:p>
            <w:pPr>
              <w:spacing w:after="0"/>
              <w:rPr>
                <w:sz w:val="17"/>
                <w:szCs w:val="17"/>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5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736"/>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39"/>
          </w:cols>
          <w:pgMar w:left="320" w:top="1435" w:right="1440"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840" w:type="dxa"/>
            <w:vAlign w:val="bottom"/>
            <w:tcBorders>
              <w:top w:val="single" w:sz="8" w:color="auto"/>
              <w:left w:val="single" w:sz="8" w:color="auto"/>
              <w:bottom w:val="single" w:sz="8" w:color="auto"/>
              <w:right w:val="single" w:sz="8" w:color="auto"/>
            </w:tcBorders>
          </w:tcPr>
          <w:p>
            <w:pPr>
              <w:spacing w:after="0"/>
              <w:rPr>
                <w:sz w:val="23"/>
                <w:szCs w:val="23"/>
                <w:color w:val="auto"/>
              </w:rPr>
            </w:pPr>
          </w:p>
        </w:tc>
        <w:tc>
          <w:tcPr>
            <w:tcW w:w="340" w:type="dxa"/>
            <w:vAlign w:val="bottom"/>
            <w:tcBorders>
              <w:top w:val="single" w:sz="8" w:color="auto"/>
              <w:bottom w:val="single" w:sz="8" w:color="auto"/>
              <w:right w:val="single" w:sz="8" w:color="auto"/>
            </w:tcBorders>
          </w:tcPr>
          <w:p>
            <w:pPr>
              <w:spacing w:after="0"/>
              <w:rPr>
                <w:sz w:val="23"/>
                <w:szCs w:val="23"/>
                <w:color w:val="auto"/>
              </w:rPr>
            </w:pPr>
          </w:p>
        </w:tc>
        <w:tc>
          <w:tcPr>
            <w:tcW w:w="4820" w:type="dxa"/>
            <w:vAlign w:val="bottom"/>
            <w:tcBorders>
              <w:top w:val="single" w:sz="8" w:color="auto"/>
              <w:bottom w:val="single" w:sz="8" w:color="auto"/>
              <w:right w:val="single" w:sz="8" w:color="auto"/>
            </w:tcBorders>
          </w:tcPr>
          <w:p>
            <w:pPr>
              <w:spacing w:after="0"/>
              <w:rPr>
                <w:sz w:val="23"/>
                <w:szCs w:val="23"/>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50"/>
        </w:trPr>
        <w:tc>
          <w:tcPr>
            <w:tcW w:w="484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r>
      <w:tr>
        <w:trPr>
          <w:trHeight w:val="358"/>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453"/>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91"/>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44"/>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45"/>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601"/>
        </w:trPr>
        <w:tc>
          <w:tcPr>
            <w:tcW w:w="4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36"/>
        </w:trPr>
        <w:tc>
          <w:tcPr>
            <w:tcW w:w="484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4820" w:type="dxa"/>
            <w:vAlign w:val="bottom"/>
            <w:tcBorders>
              <w:bottom w:val="single" w:sz="8" w:color="auto"/>
              <w:right w:val="single" w:sz="8" w:color="auto"/>
            </w:tcBorders>
          </w:tcPr>
          <w:p>
            <w:pPr>
              <w:spacing w:after="0"/>
              <w:rPr>
                <w:sz w:val="20"/>
                <w:szCs w:val="20"/>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90"/>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spacing w:after="0"/>
              <w:rPr>
                <w:sz w:val="19"/>
                <w:szCs w:val="19"/>
                <w:color w:val="auto"/>
              </w:rPr>
            </w:pP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345"/>
        </w:trPr>
        <w:tc>
          <w:tcPr>
            <w:tcW w:w="484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820" w:type="dxa"/>
            <w:vAlign w:val="bottom"/>
            <w:tcBorders>
              <w:bottom w:val="single" w:sz="8" w:color="auto"/>
              <w:right w:val="single" w:sz="8" w:color="auto"/>
            </w:tcBorders>
          </w:tcPr>
          <w:p>
            <w:pPr>
              <w:spacing w:after="0"/>
              <w:rPr>
                <w:sz w:val="24"/>
                <w:szCs w:val="24"/>
                <w:color w:val="auto"/>
              </w:rPr>
            </w:pPr>
          </w:p>
        </w:tc>
      </w:tr>
      <w:tr>
        <w:trPr>
          <w:trHeight w:val="223"/>
        </w:trPr>
        <w:tc>
          <w:tcPr>
            <w:tcW w:w="4840" w:type="dxa"/>
            <w:vAlign w:val="bottom"/>
            <w:tcBorders>
              <w:left w:val="single" w:sz="8" w:color="auto"/>
              <w:right w:val="single" w:sz="8" w:color="auto"/>
            </w:tcBorders>
          </w:tcPr>
          <w:p>
            <w:pPr>
              <w:jc w:val="right"/>
              <w:ind w:right="441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right"/>
              <w:ind w:right="4410"/>
              <w:spacing w:after="0"/>
              <w:rPr>
                <w:sz w:val="20"/>
                <w:szCs w:val="20"/>
                <w:color w:val="auto"/>
              </w:rPr>
            </w:pPr>
            <w:r>
              <w:rPr>
                <w:rFonts w:ascii="Arial" w:cs="Arial" w:eastAsia="Arial" w:hAnsi="Arial"/>
                <w:sz w:val="18"/>
                <w:szCs w:val="18"/>
                <w:color w:val="auto"/>
                <w:w w:val="96"/>
              </w:rPr>
              <w:t>[***]</w:t>
            </w:r>
          </w:p>
        </w:tc>
      </w:tr>
      <w:tr>
        <w:trPr>
          <w:trHeight w:val="27"/>
        </w:trPr>
        <w:tc>
          <w:tcPr>
            <w:tcW w:w="484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139"/>
          </w:cols>
          <w:pgMar w:left="320" w:top="1440"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1"/>
          <w:szCs w:val="21"/>
          <w:b w:val="1"/>
          <w:bCs w:val="1"/>
          <w:color w:val="auto"/>
        </w:rPr>
        <w:t>Annex B - Individual Holdings of Sellers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1" w:name="page172"/>
    <w:bookmarkEnd w:id="171"/>
    <w:p>
      <w:pPr>
        <w:jc w:val="center"/>
        <w:spacing w:after="0"/>
        <w:rPr>
          <w:sz w:val="20"/>
          <w:szCs w:val="20"/>
          <w:color w:val="auto"/>
        </w:rPr>
      </w:pPr>
      <w:r>
        <w:rPr>
          <w:rFonts w:ascii="Arial" w:cs="Arial" w:eastAsia="Arial" w:hAnsi="Arial"/>
          <w:sz w:val="21"/>
          <w:szCs w:val="21"/>
          <w:b w:val="1"/>
          <w:bCs w:val="1"/>
          <w:color w:val="auto"/>
        </w:rPr>
        <w:t>Annex 1 - Definitions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2" w:name="page173"/>
    <w:bookmarkEnd w:id="172"/>
    <w:p>
      <w:pPr>
        <w:jc w:val="center"/>
        <w:spacing w:after="0"/>
        <w:rPr>
          <w:sz w:val="20"/>
          <w:szCs w:val="20"/>
          <w:color w:val="auto"/>
        </w:rPr>
      </w:pPr>
      <w:r>
        <w:rPr>
          <w:rFonts w:ascii="Arial" w:cs="Arial" w:eastAsia="Arial" w:hAnsi="Arial"/>
          <w:sz w:val="21"/>
          <w:szCs w:val="21"/>
          <w:b w:val="1"/>
          <w:bCs w:val="1"/>
          <w:color w:val="auto"/>
        </w:rPr>
        <w:t>Annex 2.5 - Earn-out</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1"/>
          <w:szCs w:val="21"/>
          <w:b w:val="1"/>
          <w:bCs w:val="1"/>
          <w:color w:val="auto"/>
        </w:rPr>
        <w:t>Schedule 2.5(a) - Development List</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4" w:name="page175"/>
    <w:bookmarkEnd w:id="174"/>
    <w:p>
      <w:pPr>
        <w:jc w:val="center"/>
        <w:ind w:right="19"/>
        <w:spacing w:after="0"/>
        <w:rPr>
          <w:sz w:val="20"/>
          <w:szCs w:val="20"/>
          <w:color w:val="auto"/>
        </w:rPr>
      </w:pPr>
      <w:r>
        <w:rPr>
          <w:rFonts w:ascii="Arial" w:cs="Arial" w:eastAsia="Arial" w:hAnsi="Arial"/>
          <w:sz w:val="21"/>
          <w:szCs w:val="21"/>
          <w:b w:val="1"/>
          <w:bCs w:val="1"/>
          <w:color w:val="auto"/>
        </w:rPr>
        <w:t>Annex 2.5.2(a) - Form of Quarterly Reports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5" w:name="page176"/>
    <w:bookmarkEnd w:id="175"/>
    <w:p>
      <w:pPr>
        <w:jc w:val="center"/>
        <w:spacing w:after="0"/>
        <w:rPr>
          <w:sz w:val="20"/>
          <w:szCs w:val="20"/>
          <w:color w:val="auto"/>
        </w:rPr>
      </w:pPr>
      <w:r>
        <w:rPr>
          <w:rFonts w:ascii="Arial" w:cs="Arial" w:eastAsia="Arial" w:hAnsi="Arial"/>
          <w:sz w:val="21"/>
          <w:szCs w:val="21"/>
          <w:b w:val="1"/>
          <w:bCs w:val="1"/>
          <w:color w:val="auto"/>
        </w:rPr>
        <w:t>Annex 3.4 - Form of Closing Memorandum</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6" w:name="page177"/>
    <w:bookmarkEnd w:id="176"/>
    <w:p>
      <w:pPr>
        <w:jc w:val="center"/>
        <w:ind w:right="19"/>
        <w:spacing w:after="0"/>
        <w:rPr>
          <w:sz w:val="20"/>
          <w:szCs w:val="20"/>
          <w:color w:val="auto"/>
        </w:rPr>
      </w:pPr>
      <w:r>
        <w:rPr>
          <w:rFonts w:ascii="Arial" w:cs="Arial" w:eastAsia="Arial" w:hAnsi="Arial"/>
          <w:sz w:val="21"/>
          <w:szCs w:val="21"/>
          <w:b w:val="1"/>
          <w:bCs w:val="1"/>
          <w:color w:val="auto"/>
        </w:rPr>
        <w:t>Annex 4.2.2(d) - Form of Employment Agreement with Key Persons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7" w:name="page178"/>
    <w:bookmarkEnd w:id="177"/>
    <w:p>
      <w:pPr>
        <w:jc w:val="center"/>
        <w:ind w:right="19"/>
        <w:spacing w:after="0"/>
        <w:rPr>
          <w:sz w:val="20"/>
          <w:szCs w:val="20"/>
          <w:color w:val="auto"/>
        </w:rPr>
      </w:pPr>
      <w:r>
        <w:rPr>
          <w:rFonts w:ascii="Arial" w:cs="Arial" w:eastAsia="Arial" w:hAnsi="Arial"/>
          <w:sz w:val="21"/>
          <w:szCs w:val="21"/>
          <w:b w:val="1"/>
          <w:bCs w:val="1"/>
          <w:color w:val="auto"/>
        </w:rPr>
        <w:t>Annex 7.1.4 - Fundamental Intellectual Property Rights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21"/>
          <w:szCs w:val="21"/>
          <w:b w:val="1"/>
          <w:bCs w:val="1"/>
          <w:color w:val="auto"/>
        </w:rPr>
        <w:t>Annex 7.2.4 - Owned Intellectual Property Rights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79" w:name="page180"/>
    <w:bookmarkEnd w:id="179"/>
    <w:p>
      <w:pPr>
        <w:jc w:val="center"/>
        <w:ind w:right="19"/>
        <w:spacing w:after="0"/>
        <w:rPr>
          <w:sz w:val="20"/>
          <w:szCs w:val="20"/>
          <w:color w:val="auto"/>
        </w:rPr>
      </w:pPr>
      <w:r>
        <w:rPr>
          <w:rFonts w:ascii="Arial" w:cs="Arial" w:eastAsia="Arial" w:hAnsi="Arial"/>
          <w:sz w:val="21"/>
          <w:szCs w:val="21"/>
          <w:b w:val="1"/>
          <w:bCs w:val="1"/>
          <w:color w:val="auto"/>
        </w:rPr>
        <w:t>Annex 7.2.18 - Bank Accounts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80" w:name="page181"/>
    <w:bookmarkEnd w:id="180"/>
    <w:p>
      <w:pPr>
        <w:jc w:val="center"/>
        <w:ind w:right="19"/>
        <w:spacing w:after="0"/>
        <w:rPr>
          <w:sz w:val="20"/>
          <w:szCs w:val="20"/>
          <w:color w:val="auto"/>
        </w:rPr>
      </w:pPr>
      <w:r>
        <w:rPr>
          <w:rFonts w:ascii="Arial" w:cs="Arial" w:eastAsia="Arial" w:hAnsi="Arial"/>
          <w:sz w:val="21"/>
          <w:szCs w:val="21"/>
          <w:b w:val="1"/>
          <w:bCs w:val="1"/>
          <w:color w:val="auto"/>
        </w:rPr>
        <w:t>Annex 9.3(a)(ii) - Index of Data Room Documents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21"/>
          <w:szCs w:val="21"/>
          <w:b w:val="1"/>
          <w:bCs w:val="1"/>
          <w:color w:val="auto"/>
        </w:rPr>
        <w:t>Annex 10 - Indemnities by the Sellers</w:t>
      </w:r>
    </w:p>
    <w:p>
      <w:pPr>
        <w:sectPr>
          <w:pgSz w:w="11900" w:h="16838" w:orient="portrait"/>
          <w:cols w:equalWidth="0" w:num="1">
            <w:col w:w="9019"/>
          </w:cols>
          <w:pgMar w:left="1440" w:top="1417" w:right="1440"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17" w:right="1440"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60" w:type="dxa"/>
            <w:vAlign w:val="bottom"/>
            <w:gridSpan w:val="2"/>
          </w:tcPr>
          <w:p>
            <w:pPr>
              <w:ind w:left="540"/>
              <w:spacing w:after="0"/>
              <w:rPr>
                <w:sz w:val="20"/>
                <w:szCs w:val="20"/>
                <w:color w:val="auto"/>
              </w:rPr>
            </w:pPr>
            <w:r>
              <w:rPr>
                <w:rFonts w:ascii="Arial" w:cs="Arial" w:eastAsia="Arial" w:hAnsi="Arial"/>
                <w:sz w:val="22"/>
                <w:szCs w:val="22"/>
                <w:b w:val="1"/>
                <w:bCs w:val="1"/>
                <w:color w:val="auto"/>
              </w:rPr>
              <w:t>SUBSIDIARIES OF THE REGISTRANT</w:t>
            </w:r>
          </w:p>
        </w:tc>
      </w:tr>
      <w:tr>
        <w:trPr>
          <w:trHeight w:val="6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Name of Entity</w:t>
            </w: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State/Country of Organization</w:t>
            </w:r>
          </w:p>
        </w:tc>
      </w:tr>
      <w:tr>
        <w:trPr>
          <w:trHeight w:val="249"/>
        </w:trPr>
        <w:tc>
          <w:tcPr>
            <w:tcW w:w="3120" w:type="dxa"/>
            <w:vAlign w:val="bottom"/>
            <w:gridSpan w:val="2"/>
          </w:tcPr>
          <w:p>
            <w:pPr>
              <w:spacing w:after="0"/>
              <w:rPr>
                <w:sz w:val="20"/>
                <w:szCs w:val="20"/>
                <w:color w:val="auto"/>
              </w:rPr>
            </w:pPr>
            <w:r>
              <w:rPr>
                <w:rFonts w:ascii="Arial" w:cs="Arial" w:eastAsia="Arial" w:hAnsi="Arial"/>
                <w:sz w:val="18"/>
                <w:szCs w:val="18"/>
                <w:color w:val="auto"/>
              </w:rPr>
              <w:t>AMF Medical SA</w:t>
            </w:r>
          </w:p>
        </w:tc>
        <w:tc>
          <w:tcPr>
            <w:tcW w:w="250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Capillary Biomedical, LLC</w:t>
            </w:r>
          </w:p>
        </w:tc>
        <w:tc>
          <w:tcPr>
            <w:tcW w:w="25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Sugarmate, LLC</w:t>
            </w:r>
          </w:p>
        </w:tc>
        <w:tc>
          <w:tcPr>
            <w:tcW w:w="25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Tandem Diabetes Care Canada, Inc.</w:t>
            </w:r>
          </w:p>
        </w:tc>
        <w:tc>
          <w:tcPr>
            <w:tcW w:w="250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Canada</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Tandem Diabetes Care Europe B.V.</w:t>
            </w:r>
          </w:p>
        </w:tc>
        <w:tc>
          <w:tcPr>
            <w:tcW w:w="25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Netherlands</w:t>
            </w:r>
          </w:p>
        </w:tc>
      </w:tr>
    </w:tbl>
    <w:p>
      <w:pPr>
        <w:sectPr>
          <w:pgSz w:w="11900" w:h="16838" w:orient="portrait"/>
          <w:cols w:equalWidth="0" w:num="1">
            <w:col w:w="11220"/>
          </w:cols>
          <w:pgMar w:left="340" w:top="132"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860" w:firstLine="2858"/>
        <w:spacing w:after="0" w:line="529"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spacing w:after="0" w:line="1" w:lineRule="exact"/>
        <w:rPr>
          <w:sz w:val="20"/>
          <w:szCs w:val="20"/>
          <w:color w:val="auto"/>
        </w:rPr>
      </w:pPr>
    </w:p>
    <w:p>
      <w:pPr>
        <w:ind w:left="320" w:hanging="312"/>
        <w:spacing w:after="0"/>
        <w:tabs>
          <w:tab w:leader="none" w:pos="3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S-3 No. 333-222143) of Tandem Diabetes Care, Inc.,</w:t>
      </w:r>
    </w:p>
    <w:p>
      <w:pPr>
        <w:spacing w:after="0" w:line="165" w:lineRule="exact"/>
        <w:rPr>
          <w:rFonts w:ascii="Arial" w:cs="Arial" w:eastAsia="Arial" w:hAnsi="Arial"/>
          <w:sz w:val="22"/>
          <w:szCs w:val="22"/>
          <w:color w:val="auto"/>
        </w:rPr>
      </w:pPr>
    </w:p>
    <w:p>
      <w:pPr>
        <w:ind w:right="42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333-232944) pertaining to the 2013 Stock Incentive Plan of Tandem Diabetes Care Inc.,</w:t>
      </w:r>
    </w:p>
    <w:p>
      <w:pPr>
        <w:spacing w:after="0" w:line="120" w:lineRule="exact"/>
        <w:rPr>
          <w:rFonts w:ascii="Arial" w:cs="Arial" w:eastAsia="Arial" w:hAnsi="Arial"/>
          <w:sz w:val="22"/>
          <w:szCs w:val="22"/>
          <w:color w:val="auto"/>
        </w:rPr>
      </w:pPr>
    </w:p>
    <w:p>
      <w:pPr>
        <w:ind w:right="28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333-226915) pertaining to the 2013 Stock Incentive Plan, and 2013 Employee Stock Purchase Plan of Tandem Diabetes Care Inc.,</w:t>
      </w:r>
    </w:p>
    <w:p>
      <w:pPr>
        <w:spacing w:after="0" w:line="134" w:lineRule="exact"/>
        <w:rPr>
          <w:rFonts w:ascii="Arial" w:cs="Arial" w:eastAsia="Arial" w:hAnsi="Arial"/>
          <w:sz w:val="22"/>
          <w:szCs w:val="22"/>
          <w:color w:val="auto"/>
        </w:rPr>
      </w:pPr>
    </w:p>
    <w:p>
      <w:pPr>
        <w:ind w:right="22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333-192406) pertaining to the 2006 Stock Incentive Plan, 2013 Stock Incentive Plan, and 2013 Employee Stock Purchase Plan of Tandem Diabetes Care Inc.,</w:t>
      </w:r>
    </w:p>
    <w:p>
      <w:pPr>
        <w:spacing w:after="0" w:line="120"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333-202254) pertaining to the 2013 Stock Incentive Plan and 2013 Employee Stock Purchase Plan of Tandem Diabetes Care, Inc.,</w:t>
      </w:r>
    </w:p>
    <w:p>
      <w:pPr>
        <w:spacing w:after="0" w:line="120"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333-209685) pertaining to the 2013 Stock Incentive Plan and 2013 Employee Stock Purchase Plan of Tandem Diabetes Care, Inc.,</w:t>
      </w:r>
    </w:p>
    <w:p>
      <w:pPr>
        <w:spacing w:after="0" w:line="134"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333-223377) pertaining to the 2013 Stock Incentive Plan and 2013 Employee Stock Purchase Plan of Tandem Diabetes Care, Inc., and</w:t>
      </w:r>
    </w:p>
    <w:p>
      <w:pPr>
        <w:spacing w:after="0" w:line="120" w:lineRule="exact"/>
        <w:rPr>
          <w:rFonts w:ascii="Arial" w:cs="Arial" w:eastAsia="Arial" w:hAnsi="Arial"/>
          <w:sz w:val="22"/>
          <w:szCs w:val="22"/>
          <w:color w:val="auto"/>
        </w:rPr>
      </w:pPr>
    </w:p>
    <w:p>
      <w:pPr>
        <w:ind w:right="340" w:firstLine="8"/>
        <w:spacing w:after="0" w:line="263" w:lineRule="auto"/>
        <w:tabs>
          <w:tab w:leader="none" w:pos="30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Registration Statement (Form S-8 No. 333-216529) pertaining to the 2013 Stock Incentive Plan and 2013 Employee Stock Purchase Plan of Tandem Diabetes Care, Inc;</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of our reports dated February 22, 2023, with respect to the consolidated financial statements of Tandem Diabetes Care, Inc. and the effectiveness of internal control over financial reporting of Tandem Diabetes Care, Inc., included in this Annual Report (Form 10-K) of Tandem Diabetes Care, Inc.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/s/Ernst &amp; Young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February 22, 2023</w:t>
      </w:r>
    </w:p>
    <w:p>
      <w:pPr>
        <w:sectPr>
          <w:pgSz w:w="11900" w:h="16838" w:orient="portrait"/>
          <w:cols w:equalWidth="0" w:num="1">
            <w:col w:w="11240"/>
          </w:cols>
          <w:pgMar w:left="320" w:top="126"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185"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Tandem Diabetes Care, Inc.</w:t>
      </w:r>
    </w:p>
    <w:p>
      <w:pPr>
        <w:spacing w:after="0" w:line="77" w:lineRule="exact"/>
        <w:rPr>
          <w:sz w:val="20"/>
          <w:szCs w:val="20"/>
          <w:color w:val="auto"/>
        </w:rPr>
      </w:pPr>
    </w:p>
    <w:p>
      <w:pPr>
        <w:ind w:left="6360"/>
        <w:spacing w:after="0"/>
        <w:tabs>
          <w:tab w:leader="none" w:pos="68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F. Sheridan</w:t>
      </w:r>
    </w:p>
    <w:p>
      <w:pPr>
        <w:ind w:left="684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2023</w:t>
      </w:r>
    </w:p>
    <w:p>
      <w:pPr>
        <w:sectPr>
          <w:pgSz w:w="11900" w:h="16838" w:orient="portrait"/>
          <w:cols w:equalWidth="0" w:num="1">
            <w:col w:w="11240"/>
          </w:cols>
          <w:pgMar w:left="320" w:top="891"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185" w:lineRule="exact"/>
        <w:rPr>
          <w:sz w:val="20"/>
          <w:szCs w:val="20"/>
          <w:color w:val="auto"/>
        </w:rPr>
      </w:pPr>
    </w:p>
    <w:p>
      <w:pPr>
        <w:ind w:left="180" w:hanging="172"/>
        <w:spacing w:after="0"/>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184"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right="20" w:firstLine="818"/>
        <w:spacing w:after="0" w:line="263" w:lineRule="auto"/>
        <w:tabs>
          <w:tab w:leader="none" w:pos="99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40" w:firstLine="818"/>
        <w:spacing w:after="0" w:line="263" w:lineRule="auto"/>
        <w:tabs>
          <w:tab w:leader="none" w:pos="10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540" w:firstLine="818"/>
        <w:spacing w:after="0" w:line="342" w:lineRule="auto"/>
        <w:tabs>
          <w:tab w:leader="none" w:pos="99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right="20" w:firstLine="818"/>
        <w:spacing w:after="0" w:line="263" w:lineRule="auto"/>
        <w:tabs>
          <w:tab w:leader="none" w:pos="10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right="760" w:firstLine="818"/>
        <w:spacing w:after="0" w:line="308" w:lineRule="auto"/>
        <w:tabs>
          <w:tab w:leader="none" w:pos="99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440" w:firstLine="818"/>
        <w:spacing w:after="0" w:line="277" w:lineRule="auto"/>
        <w:tabs>
          <w:tab w:leader="none" w:pos="10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Tandem Diabetes Care, Inc.</w:t>
      </w:r>
    </w:p>
    <w:p>
      <w:pPr>
        <w:spacing w:after="0" w:line="23" w:lineRule="exact"/>
        <w:rPr>
          <w:sz w:val="20"/>
          <w:szCs w:val="20"/>
          <w:color w:val="auto"/>
        </w:rPr>
      </w:pPr>
    </w:p>
    <w:p>
      <w:pPr>
        <w:ind w:left="6380"/>
        <w:spacing w:after="0"/>
        <w:tabs>
          <w:tab w:leader="none" w:pos="6820" w:val="left"/>
        </w:tabs>
        <w:rPr>
          <w:sz w:val="20"/>
          <w:szCs w:val="20"/>
          <w:color w:val="auto"/>
        </w:rPr>
      </w:pPr>
      <w:r>
        <w:rPr>
          <w:rFonts w:ascii="Arial" w:cs="Arial" w:eastAsia="Arial" w:hAnsi="Arial"/>
          <w:sz w:val="18"/>
          <w:szCs w:val="18"/>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auto"/>
        </w:rPr>
        <w:t>Leigh A. Vosseller</w:t>
      </w:r>
    </w:p>
    <w:p>
      <w:pPr>
        <w:ind w:left="684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40"/>
        <w:spacing w:after="0"/>
        <w:rPr>
          <w:sz w:val="20"/>
          <w:szCs w:val="20"/>
          <w:color w:val="auto"/>
        </w:rPr>
      </w:pPr>
      <w:r>
        <w:rPr>
          <w:rFonts w:ascii="Arial" w:cs="Arial" w:eastAsia="Arial" w:hAnsi="Arial"/>
          <w:sz w:val="18"/>
          <w:szCs w:val="18"/>
          <w:color w:val="auto"/>
        </w:rPr>
        <w:t>Treasurer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22, 2023</w:t>
      </w:r>
    </w:p>
    <w:p>
      <w:pPr>
        <w:sectPr>
          <w:pgSz w:w="11900" w:h="16838" w:orient="portrait"/>
          <w:cols w:equalWidth="0" w:num="1">
            <w:col w:w="11240"/>
          </w:cols>
          <w:pgMar w:left="320" w:top="89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jc w:val="both"/>
        <w:ind w:right="40" w:firstLine="810"/>
        <w:spacing w:after="0" w:line="311" w:lineRule="auto"/>
        <w:rPr>
          <w:sz w:val="20"/>
          <w:szCs w:val="20"/>
          <w:color w:val="auto"/>
        </w:rPr>
      </w:pPr>
      <w:r>
        <w:rPr>
          <w:rFonts w:ascii="Arial" w:cs="Arial" w:eastAsia="Arial" w:hAnsi="Arial"/>
          <w:sz w:val="16"/>
          <w:szCs w:val="16"/>
          <w:color w:val="auto"/>
        </w:rPr>
        <w:t>In connection with the Annual Report on Form 10-K of Tandem Diabetes Care, Inc. (the “Company”) for the year ended December 31, 2022,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F. Sheridan</w:t>
      </w:r>
    </w:p>
    <w:p>
      <w:pPr>
        <w:ind w:left="6860"/>
        <w:spacing w:after="0"/>
        <w:rPr>
          <w:sz w:val="20"/>
          <w:szCs w:val="20"/>
          <w:color w:val="auto"/>
        </w:rPr>
      </w:pPr>
      <w:r>
        <w:rPr>
          <w:rFonts w:ascii="Arial" w:cs="Arial" w:eastAsia="Arial" w:hAnsi="Arial"/>
          <w:sz w:val="18"/>
          <w:szCs w:val="18"/>
          <w:color w:val="auto"/>
        </w:rPr>
        <w:t>President, Chief Executive Officer and Director</w:t>
      </w:r>
    </w:p>
    <w:p>
      <w:pPr>
        <w:spacing w:after="0" w:line="277"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184" w:lineRule="exact"/>
        <w:rPr>
          <w:sz w:val="20"/>
          <w:szCs w:val="20"/>
          <w:color w:val="auto"/>
        </w:rPr>
      </w:pPr>
    </w:p>
    <w:p>
      <w:pPr>
        <w:ind w:right="40" w:firstLine="810"/>
        <w:spacing w:after="0" w:line="311" w:lineRule="auto"/>
        <w:rPr>
          <w:sz w:val="20"/>
          <w:szCs w:val="20"/>
          <w:color w:val="auto"/>
        </w:rPr>
      </w:pPr>
      <w:r>
        <w:rPr>
          <w:rFonts w:ascii="Arial" w:cs="Arial" w:eastAsia="Arial" w:hAnsi="Arial"/>
          <w:sz w:val="16"/>
          <w:szCs w:val="16"/>
          <w:color w:val="auto"/>
        </w:rPr>
        <w:t>In connection with the Annual Report on Form 10-K of Tandem Diabetes Care, Inc. (the “Company”) for the year ended December 31, 2022,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08" w:lineRule="exact"/>
        <w:rPr>
          <w:sz w:val="20"/>
          <w:szCs w:val="20"/>
          <w:color w:val="auto"/>
        </w:rPr>
      </w:pPr>
    </w:p>
    <w:p>
      <w:pPr>
        <w:ind w:left="1000" w:hanging="182"/>
        <w:spacing w:after="0"/>
        <w:tabs>
          <w:tab w:leader="none" w:pos="10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6" w:lineRule="exact"/>
        <w:rPr>
          <w:rFonts w:ascii="Arial" w:cs="Arial" w:eastAsia="Arial" w:hAnsi="Arial"/>
          <w:sz w:val="17"/>
          <w:szCs w:val="17"/>
          <w:color w:val="auto"/>
        </w:rPr>
      </w:pPr>
    </w:p>
    <w:p>
      <w:pPr>
        <w:ind w:right="580" w:firstLine="818"/>
        <w:spacing w:after="0" w:line="277" w:lineRule="auto"/>
        <w:tabs>
          <w:tab w:leader="none" w:pos="9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89" w:lineRule="exact"/>
        <w:rPr>
          <w:sz w:val="20"/>
          <w:szCs w:val="20"/>
          <w:color w:val="auto"/>
        </w:rPr>
      </w:pPr>
    </w:p>
    <w:p>
      <w:pPr>
        <w:ind w:left="20"/>
        <w:spacing w:after="0"/>
        <w:tabs>
          <w:tab w:leader="none" w:pos="6840" w:val="left"/>
        </w:tabs>
        <w:rPr>
          <w:sz w:val="20"/>
          <w:szCs w:val="20"/>
          <w:color w:val="auto"/>
        </w:rPr>
      </w:pPr>
      <w:r>
        <w:rPr>
          <w:rFonts w:ascii="Arial" w:cs="Arial" w:eastAsia="Arial" w:hAnsi="Arial"/>
          <w:sz w:val="18"/>
          <w:szCs w:val="18"/>
          <w:color w:val="auto"/>
        </w:rPr>
        <w:t>Date: February 22, 2023</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774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Leigh A. Vosseller</w:t>
      </w:r>
    </w:p>
    <w:p>
      <w:pPr>
        <w:ind w:left="6860"/>
        <w:spacing w:after="0" w:line="219" w:lineRule="auto"/>
        <w:rPr>
          <w:sz w:val="20"/>
          <w:szCs w:val="20"/>
          <w:color w:val="auto"/>
        </w:rPr>
      </w:pPr>
      <w:r>
        <w:rPr>
          <w:rFonts w:ascii="Arial" w:cs="Arial" w:eastAsia="Arial" w:hAnsi="Arial"/>
          <w:sz w:val="18"/>
          <w:szCs w:val="18"/>
          <w:color w:val="auto"/>
        </w:rPr>
        <w:t>Executive Vice President, Chief Financial Officer and</w:t>
      </w:r>
    </w:p>
    <w:p>
      <w:pPr>
        <w:ind w:left="6860"/>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1)"/>
      <w:numFmt w:val="decimal"/>
      <w:start w:val="1"/>
    </w:lvl>
  </w:abstractNum>
  <w:abstractNum w:abstractNumId="54">
    <w:nsid w:val="69E373"/>
    <w:multiLevelType w:val="hybridMultilevel"/>
    <w:lvl w:ilvl="0">
      <w:lvlJc w:val="left"/>
      <w:lvlText w:val="(%1)"/>
      <w:numFmt w:val="decimal"/>
      <w:start w:val="1"/>
    </w:lvl>
  </w:abstractNum>
  <w:abstractNum w:abstractNumId="55">
    <w:nsid w:val="2C27173B"/>
    <w:multiLevelType w:val="hybridMultilevel"/>
    <w:lvl w:ilvl="0">
      <w:lvlJc w:val="left"/>
      <w:lvlText w:val="(%1)"/>
      <w:numFmt w:val="decimal"/>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1)"/>
      <w:numFmt w:val="decimal"/>
      <w:start w:val="1"/>
    </w:lvl>
  </w:abstractNum>
  <w:abstractNum w:abstractNumId="58">
    <w:nsid w:val="1DF029D3"/>
    <w:multiLevelType w:val="hybridMultilevel"/>
    <w:lvl w:ilvl="0">
      <w:lvlJc w:val="left"/>
      <w:lvlText w:val="%1."/>
      <w:numFmt w:val="decimal"/>
      <w:start w:val="2"/>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1."/>
      <w:numFmt w:val="upperLetter"/>
      <w:start w:val="1"/>
    </w:lvl>
  </w:abstractNum>
  <w:abstractNum w:abstractNumId="63">
    <w:nsid w:val="5B25ACE2"/>
    <w:multiLevelType w:val="hybridMultilevel"/>
    <w:lvl w:ilvl="0">
      <w:lvlJc w:val="left"/>
      <w:lvlText w:val="%1."/>
      <w:numFmt w:val="decimal"/>
      <w:start w:val="1"/>
    </w:lvl>
  </w:abstractNum>
  <w:abstractNum w:abstractNumId="64">
    <w:nsid w:val="175DFCF0"/>
    <w:multiLevelType w:val="hybridMultilevel"/>
    <w:lvl w:ilvl="0">
      <w:lvlJc w:val="left"/>
      <w:lvlText w:val="%1."/>
      <w:numFmt w:val="decimal"/>
      <w:start w:val="2"/>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lowerLetter"/>
      <w:start w:val="1"/>
    </w:lvl>
    <w:lvl w:ilvl="1">
      <w:lvlJc w:val="left"/>
      <w:lvlText w:val="(%2)"/>
      <w:numFmt w:val="lowerRoman"/>
      <w:start w:val="1"/>
    </w:lvl>
  </w:abstractNum>
  <w:abstractNum w:abstractNumId="67">
    <w:nsid w:val="34FD6B4F"/>
    <w:multiLevelType w:val="hybridMultilevel"/>
    <w:lvl w:ilvl="0">
      <w:lvlJc w:val="left"/>
      <w:lvlText w:val="(%1)"/>
      <w:numFmt w:val="lowerLetter"/>
      <w:start w:val="2"/>
    </w:lvl>
  </w:abstractNum>
  <w:abstractNum w:abstractNumId="68">
    <w:nsid w:val="5915FF32"/>
    <w:multiLevelType w:val="hybridMultilevel"/>
    <w:lvl w:ilvl="0">
      <w:lvlJc w:val="left"/>
      <w:lvlText w:val="(%1)"/>
      <w:numFmt w:val="lowerLetter"/>
      <w:start w:val="3"/>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lowerLetter"/>
      <w:start w:val="4"/>
    </w:lvl>
    <w:lvl w:ilvl="1">
      <w:lvlJc w:val="left"/>
      <w:lvlText w:val="(%2)"/>
      <w:numFmt w:val="lowerRoman"/>
      <w:start w:val="1"/>
    </w:lvl>
  </w:abstractNum>
  <w:abstractNum w:abstractNumId="72">
    <w:nsid w:val="17A1B582"/>
    <w:multiLevelType w:val="hybridMultilevel"/>
    <w:lvl w:ilvl="0">
      <w:lvlJc w:val="left"/>
      <w:lvlText w:val="(%1)"/>
      <w:numFmt w:val="lowerLetter"/>
      <w:start w:val="8"/>
    </w:lvl>
    <w:lvl w:ilvl="1">
      <w:lvlJc w:val="left"/>
      <w:lvlText w:val="(%2)"/>
      <w:numFmt w:val="lowerLetter"/>
      <w:start w:val="9"/>
    </w:lvl>
  </w:abstractNum>
  <w:abstractNum w:abstractNumId="73">
    <w:nsid w:val="4DF72E4E"/>
    <w:multiLevelType w:val="hybridMultilevel"/>
    <w:lvl w:ilvl="0">
      <w:lvlJc w:val="left"/>
      <w:lvlText w:val="%1"/>
      <w:numFmt w:val="lowerLetter"/>
      <w:start w:val="1"/>
    </w:lvl>
    <w:lvl w:ilvl="1">
      <w:lvlJc w:val="left"/>
      <w:lvlText w:val="(%2)"/>
      <w:numFmt w:val="lowerRoman"/>
      <w:start w:val="2"/>
    </w:lvl>
  </w:abstractNum>
  <w:abstractNum w:abstractNumId="74">
    <w:nsid w:val="5046B5A9"/>
    <w:multiLevelType w:val="hybridMultilevel"/>
    <w:lvl w:ilvl="0">
      <w:lvlJc w:val="left"/>
      <w:lvlText w:val="(%1)"/>
      <w:numFmt w:val="lowerLetter"/>
      <w:start w:val="10"/>
    </w:lvl>
    <w:lvl w:ilvl="1">
      <w:lvlJc w:val="left"/>
      <w:lvlText w:val="%2"/>
      <w:numFmt w:val="lowerRoman"/>
      <w:start w:val="1"/>
    </w:lvl>
  </w:abstractNum>
  <w:abstractNum w:abstractNumId="75">
    <w:nsid w:val="5D888A08"/>
    <w:multiLevelType w:val="hybridMultilevel"/>
    <w:lvl w:ilvl="0">
      <w:lvlJc w:val="left"/>
      <w:lvlText w:val="(%1)"/>
      <w:numFmt w:val="lowerLetter"/>
      <w:start w:val="1"/>
    </w:lvl>
    <w:lvl w:ilvl="1">
      <w:lvlJc w:val="left"/>
      <w:lvlText w:val="(%2)"/>
      <w:numFmt w:val="lowerRoman"/>
      <w:start w:val="1"/>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2"/>
    </w:lvl>
    <w:lvl w:ilvl="1">
      <w:lvlJc w:val="left"/>
      <w:lvlText w:val="(%2)"/>
      <w:numFmt w:val="lowerRoman"/>
      <w:start w:val="1"/>
    </w:lvl>
  </w:abstractNum>
  <w:abstractNum w:abstractNumId="78">
    <w:nsid w:val="19E21BB2"/>
    <w:multiLevelType w:val="hybridMultilevel"/>
    <w:lvl w:ilvl="0">
      <w:lvlJc w:val="left"/>
      <w:lvlText w:val="(%1)"/>
      <w:numFmt w:val="lowerLetter"/>
      <w:start w:val="1"/>
    </w:lvl>
  </w:abstractNum>
  <w:abstractNum w:abstractNumId="79">
    <w:nsid w:val="75E0858A"/>
    <w:multiLevelType w:val="hybridMultilevel"/>
    <w:lvl w:ilvl="0">
      <w:lvlJc w:val="left"/>
      <w:lvlText w:val="(%1)"/>
      <w:numFmt w:val="lowerLetter"/>
      <w:start w:val="2"/>
    </w:lvl>
  </w:abstractNum>
  <w:abstractNum w:abstractNumId="80">
    <w:nsid w:val="57A61A29"/>
    <w:multiLevelType w:val="hybridMultilevel"/>
    <w:lvl w:ilvl="0">
      <w:lvlJc w:val="left"/>
      <w:lvlText w:val="(%1)"/>
      <w:numFmt w:val="lowerLetter"/>
      <w:start w:val="1"/>
    </w:lvl>
    <w:lvl w:ilvl="1">
      <w:lvlJc w:val="left"/>
      <w:lvlText w:val="(%2)"/>
      <w:numFmt w:val="lowerRoman"/>
      <w:start w:val="1"/>
    </w:lvl>
  </w:abstractNum>
  <w:abstractNum w:abstractNumId="81">
    <w:nsid w:val="5399C654"/>
    <w:multiLevelType w:val="hybridMultilevel"/>
    <w:lvl w:ilvl="0">
      <w:lvlJc w:val="left"/>
      <w:lvlText w:val="%1"/>
      <w:numFmt w:val="lowerLetter"/>
      <w:start w:val="1"/>
    </w:lvl>
    <w:lvl w:ilvl="1">
      <w:lvlJc w:val="left"/>
      <w:lvlText w:val="(%2)"/>
      <w:numFmt w:val="lowerLetter"/>
      <w:start w:val="61"/>
    </w:lvl>
  </w:abstractNum>
  <w:abstractNum w:abstractNumId="82">
    <w:nsid w:val="20EE1348"/>
    <w:multiLevelType w:val="hybridMultilevel"/>
    <w:lvl w:ilvl="0">
      <w:lvlJc w:val="left"/>
      <w:lvlText w:val="(%1)"/>
      <w:numFmt w:val="lowerLetter"/>
      <w:start w:val="2"/>
    </w:lvl>
    <w:lvl w:ilvl="1">
      <w:lvlJc w:val="left"/>
      <w:lvlText w:val="%2"/>
      <w:numFmt w:val="lowerLetter"/>
      <w:start w:val="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Letter"/>
      <w:start w:val="2"/>
    </w:lvl>
  </w:abstractNum>
  <w:abstractNum w:abstractNumId="91">
    <w:nsid w:val="49D0FEAC"/>
    <w:multiLevelType w:val="hybridMultilevel"/>
    <w:lvl w:ilvl="0">
      <w:lvlJc w:val="left"/>
      <w:lvlText w:val="(%1)"/>
      <w:numFmt w:val="lowerLetter"/>
      <w:start w:val="1"/>
    </w:lvl>
    <w:lvl w:ilvl="1">
      <w:lvlJc w:val="left"/>
      <w:lvlText w:val="(%2)"/>
      <w:numFmt w:val="lowerRoman"/>
      <w:start w:val="1"/>
    </w:lvl>
  </w:abstractNum>
  <w:abstractNum w:abstractNumId="92">
    <w:nsid w:val="4BEE5A5B"/>
    <w:multiLevelType w:val="hybridMultilevel"/>
    <w:lvl w:ilvl="0">
      <w:lvlJc w:val="left"/>
      <w:lvlText w:val="%1"/>
      <w:numFmt w:val="lowerLetter"/>
      <w:start w:val="1"/>
    </w:lvl>
    <w:lvl w:ilvl="1">
      <w:lvlJc w:val="left"/>
      <w:lvlText w:val="(%2)"/>
      <w:numFmt w:val="lowerRoman"/>
      <w:start w:val="2"/>
    </w:lvl>
  </w:abstractNum>
  <w:abstractNum w:abstractNumId="93">
    <w:nsid w:val="5551B9F3"/>
    <w:multiLevelType w:val="hybridMultilevel"/>
    <w:lvl w:ilvl="0">
      <w:lvlJc w:val="left"/>
      <w:lvlText w:val="(%1)"/>
      <w:numFmt w:val="lowerLetter"/>
      <w:start w:val="2"/>
    </w:lvl>
    <w:lvl w:ilvl="1">
      <w:lvlJc w:val="left"/>
      <w:lvlText w:val="%2"/>
      <w:numFmt w:val="lowerRoman"/>
      <w:start w:val="1"/>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lowerLetter"/>
      <w:start w:val="5"/>
    </w:lvl>
    <w:lvl w:ilvl="1">
      <w:lvlJc w:val="left"/>
      <w:lvlText w:val="(%2)"/>
      <w:numFmt w:val="lowerRoman"/>
      <w:start w:val="1"/>
    </w:lvl>
  </w:abstractNum>
  <w:abstractNum w:abstractNumId="96">
    <w:nsid w:val="24E99DD7"/>
    <w:multiLevelType w:val="hybridMultilevel"/>
    <w:lvl w:ilvl="0">
      <w:lvlJc w:val="left"/>
      <w:lvlText w:val="(%1)"/>
      <w:numFmt w:val="lowerLetter"/>
      <w:start w:val="11"/>
    </w:lvl>
  </w:abstractNum>
  <w:abstractNum w:abstractNumId="97">
    <w:nsid w:val="2A31B62D"/>
    <w:multiLevelType w:val="hybridMultilevel"/>
    <w:lvl w:ilvl="0">
      <w:lvlJc w:val="left"/>
      <w:lvlText w:val="%1."/>
      <w:numFmt w:val="decimal"/>
      <w:start w:val="3"/>
    </w:lvl>
  </w:abstractNum>
  <w:abstractNum w:abstractNumId="98">
    <w:nsid w:val="1849C29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lowerLetter"/>
      <w:start w:val="2"/>
    </w:lvl>
    <w:lvl w:ilvl="1">
      <w:lvlJc w:val="left"/>
      <w:lvlText w:val="(%2)"/>
      <w:numFmt w:val="lowerRoman"/>
      <w:start w:val="1"/>
    </w:lvl>
  </w:abstractNum>
  <w:abstractNum w:abstractNumId="101">
    <w:nsid w:val="69E7F3E5"/>
    <w:multiLevelType w:val="hybridMultilevel"/>
    <w:lvl w:ilvl="0">
      <w:lvlJc w:val="left"/>
      <w:lvlText w:val="(%1)"/>
      <w:numFmt w:val="lowerRoman"/>
      <w:start w:val="13"/>
    </w:lvl>
  </w:abstractNum>
  <w:abstractNum w:abstractNumId="102">
    <w:nsid w:val="2A6DE806"/>
    <w:multiLevelType w:val="hybridMultilevel"/>
    <w:lvl w:ilvl="0">
      <w:lvlJc w:val="left"/>
      <w:lvlText w:val="(%1)"/>
      <w:numFmt w:val="lowerRoman"/>
      <w:start w:val="29"/>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2"/>
    </w:lvl>
  </w:abstractNum>
  <w:abstractNum w:abstractNumId="105">
    <w:nsid w:val="7AB49DAF"/>
    <w:multiLevelType w:val="hybridMultilevel"/>
    <w:lvl w:ilvl="0">
      <w:lvlJc w:val="left"/>
      <w:lvlText w:val="%1."/>
      <w:numFmt w:val="decimal"/>
      <w:start w:val="4"/>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1"/>
    </w:lvl>
  </w:abstractNum>
  <w:abstractNum w:abstractNumId="108">
    <w:nsid w:val="597B4D84"/>
    <w:multiLevelType w:val="hybridMultilevel"/>
    <w:lvl w:ilvl="0">
      <w:lvlJc w:val="left"/>
      <w:lvlText w:val="(%1)"/>
      <w:numFmt w:val="lowerLetter"/>
      <w:start w:val="1"/>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1"/>
    </w:lvl>
    <w:lvl w:ilvl="1">
      <w:lvlJc w:val="left"/>
      <w:lvlText w:val="(%2)"/>
      <w:numFmt w:val="lowerRoman"/>
      <w:start w:val="1"/>
    </w:lvl>
  </w:abstractNum>
  <w:abstractNum w:abstractNumId="111">
    <w:nsid w:val="312167AD"/>
    <w:multiLevelType w:val="hybridMultilevel"/>
    <w:lvl w:ilvl="0">
      <w:lvlJc w:val="left"/>
      <w:lvlText w:val="(%1)"/>
      <w:numFmt w:val="lowerLetter"/>
      <w:start w:val="2"/>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3"/>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decimal"/>
      <w:start w:val="5"/>
    </w:lvl>
  </w:abstractNum>
  <w:abstractNum w:abstractNumId="116">
    <w:nsid w:val="1A0DDE32"/>
    <w:multiLevelType w:val="hybridMultilevel"/>
    <w:lvl w:ilvl="0">
      <w:lvlJc w:val="left"/>
      <w:lvlText w:val="(%1)"/>
      <w:numFmt w:val="lowerLetter"/>
      <w:start w:val="1"/>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3"/>
    </w:lvl>
  </w:abstractNum>
  <w:abstractNum w:abstractNumId="120">
    <w:nsid w:val="73D4D3C4"/>
    <w:multiLevelType w:val="hybridMultilevel"/>
    <w:lvl w:ilvl="0">
      <w:lvlJc w:val="left"/>
      <w:lvlText w:val="(%1)"/>
      <w:numFmt w:val="lowerLetter"/>
      <w:start w:val="1"/>
    </w:lvl>
    <w:lvl w:ilvl="1">
      <w:lvlJc w:val="left"/>
      <w:lvlText w:val="(%2)"/>
      <w:numFmt w:val="lowerRoman"/>
      <w:start w:val="1"/>
    </w:lvl>
  </w:abstractNum>
  <w:abstractNum w:abstractNumId="121">
    <w:nsid w:val="746F2E30"/>
    <w:multiLevelType w:val="hybridMultilevel"/>
    <w:lvl w:ilvl="0">
      <w:lvlJc w:val="left"/>
      <w:lvlText w:val="%1"/>
      <w:numFmt w:val="decimal"/>
      <w:start w:val="1"/>
    </w:lvl>
    <w:lvl w:ilvl="1">
      <w:lvlJc w:val="left"/>
      <w:lvlText w:val="(%2)"/>
      <w:numFmt w:val="lowerRoman"/>
      <w:start w:val="3"/>
    </w:lvl>
  </w:abstractNum>
  <w:abstractNum w:abstractNumId="122">
    <w:nsid w:val="6FDE8AF6"/>
    <w:multiLevelType w:val="hybridMultilevel"/>
    <w:lvl w:ilvl="0">
      <w:lvlJc w:val="left"/>
      <w:lvlText w:val="%1."/>
      <w:numFmt w:val="decimal"/>
      <w:start w:val="6"/>
    </w:lvl>
    <w:lvl w:ilvl="1">
      <w:lvlJc w:val="left"/>
      <w:lvlText w:val="%2"/>
      <w:numFmt w:val="lowerRoman"/>
      <w:start w:val="1"/>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decimal"/>
      <w:start w:val="7"/>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1)"/>
      <w:numFmt w:val="lowerLetter"/>
      <w:start w:val="4"/>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3"/>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7"/>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1"/>
    </w:lvl>
  </w:abstractNum>
  <w:abstractNum w:abstractNumId="135">
    <w:nsid w:val="5D205E20"/>
    <w:multiLevelType w:val="hybridMultilevel"/>
    <w:lvl w:ilvl="0">
      <w:lvlJc w:val="left"/>
      <w:lvlText w:val="(%1)"/>
      <w:numFmt w:val="lowerLetter"/>
      <w:start w:val="2"/>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1"/>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1"/>
    </w:lvl>
  </w:abstractNum>
  <w:abstractNum w:abstractNumId="140">
    <w:nsid w:val="5CB44A05"/>
    <w:multiLevelType w:val="hybridMultilevel"/>
    <w:lvl w:ilvl="0">
      <w:lvlJc w:val="left"/>
      <w:lvlText w:val="(%1)"/>
      <w:numFmt w:val="lowerLetter"/>
      <w:start w:val="1"/>
    </w:lvl>
  </w:abstractNum>
  <w:abstractNum w:abstractNumId="141">
    <w:nsid w:val="16CF80F1"/>
    <w:multiLevelType w:val="hybridMultilevel"/>
    <w:lvl w:ilvl="0">
      <w:lvlJc w:val="left"/>
      <w:lvlText w:val="(%1)"/>
      <w:numFmt w:val="lowerLetter"/>
      <w:start w:val="3"/>
    </w:lvl>
  </w:abstractNum>
  <w:abstractNum w:abstractNumId="142">
    <w:nsid w:val="1C695DEC"/>
    <w:multiLevelType w:val="hybridMultilevel"/>
    <w:lvl w:ilvl="0">
      <w:lvlJc w:val="left"/>
      <w:lvlText w:val="(%1)"/>
      <w:numFmt w:val="lowerLetter"/>
      <w:start w:val="1"/>
    </w:lvl>
    <w:lvl w:ilvl="1">
      <w:lvlJc w:val="left"/>
      <w:lvlText w:val="(%2)"/>
      <w:numFmt w:val="lowerRoman"/>
      <w:start w:val="1"/>
    </w:lvl>
  </w:abstractNum>
  <w:abstractNum w:abstractNumId="143">
    <w:nsid w:val="3FCFAED9"/>
    <w:multiLevelType w:val="hybridMultilevel"/>
    <w:lvl w:ilvl="0">
      <w:lvlJc w:val="left"/>
      <w:lvlText w:val="%1"/>
      <w:numFmt w:val="lowerLetter"/>
      <w:start w:val="1"/>
    </w:lvl>
    <w:lvl w:ilvl="1">
      <w:lvlJc w:val="left"/>
      <w:lvlText w:val="(%2)"/>
      <w:numFmt w:val="lowerRoman"/>
      <w:start w:val="8"/>
    </w:lvl>
  </w:abstractNum>
  <w:abstractNum w:abstractNumId="144">
    <w:nsid w:val="F856867"/>
    <w:multiLevelType w:val="hybridMultilevel"/>
    <w:lvl w:ilvl="0">
      <w:lvlJc w:val="left"/>
      <w:lvlText w:val="(%1)"/>
      <w:numFmt w:val="lowerLetter"/>
      <w:start w:val="2"/>
    </w:lvl>
    <w:lvl w:ilvl="1">
      <w:lvlJc w:val="left"/>
      <w:lvlText w:val="%2"/>
      <w:numFmt w:val="lowerRoman"/>
      <w:start w:val="1"/>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Letter"/>
      <w:start w:val="1"/>
    </w:lvl>
    <w:lvl w:ilvl="1">
      <w:lvlJc w:val="left"/>
      <w:lvlText w:val="(%2)"/>
      <w:numFmt w:val="lowerRoman"/>
      <w:start w:val="1"/>
    </w:lvl>
  </w:abstractNum>
  <w:abstractNum w:abstractNumId="148">
    <w:nsid w:val="77485850"/>
    <w:multiLevelType w:val="hybridMultilevel"/>
    <w:lvl w:ilvl="0">
      <w:lvlJc w:val="left"/>
      <w:lvlText w:val="(%1)"/>
      <w:numFmt w:val="lowerLetter"/>
      <w:start w:val="2"/>
    </w:lvl>
    <w:lvl w:ilvl="1">
      <w:lvlJc w:val="left"/>
      <w:lvlText w:val="%2"/>
      <w:numFmt w:val="lowerRoman"/>
      <w:start w:val="1"/>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2"/>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5"/>
    </w:lvl>
  </w:abstractNum>
  <w:abstractNum w:abstractNumId="154">
    <w:nsid w:val="2AE05A34"/>
    <w:multiLevelType w:val="hybridMultilevel"/>
    <w:lvl w:ilvl="0">
      <w:lvlJc w:val="left"/>
      <w:lvlText w:val="(%1)"/>
      <w:numFmt w:val="lowerLetter"/>
      <w:start w:val="1"/>
    </w:lvl>
    <w:lvl w:ilvl="1">
      <w:lvlJc w:val="left"/>
      <w:lvlText w:val="(%2)"/>
      <w:numFmt w:val="lowerRoman"/>
      <w:start w:val="1"/>
    </w:lvl>
  </w:abstractNum>
  <w:abstractNum w:abstractNumId="155">
    <w:nsid w:val="32794FF7"/>
    <w:multiLevelType w:val="hybridMultilevel"/>
    <w:lvl w:ilvl="0">
      <w:lvlJc w:val="left"/>
      <w:lvlText w:val="%1."/>
      <w:numFmt w:val="decimal"/>
      <w:start w:val="8"/>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lowerLetter"/>
      <w:start w:val="3"/>
    </w:lvl>
  </w:abstractNum>
  <w:abstractNum w:abstractNumId="158">
    <w:nsid w:val="2123D5F2"/>
    <w:multiLevelType w:val="hybridMultilevel"/>
    <w:lvl w:ilvl="0">
      <w:lvlJc w:val="left"/>
      <w:lvlText w:val="(%1)"/>
      <w:numFmt w:val="lowerLetter"/>
      <w:start w:val="1"/>
    </w:lvl>
    <w:lvl w:ilvl="1">
      <w:lvlJc w:val="left"/>
      <w:lvlText w:val="(%2)"/>
      <w:numFmt w:val="lowerRoman"/>
      <w:start w:val="1"/>
    </w:lvl>
  </w:abstractNum>
  <w:abstractNum w:abstractNumId="159">
    <w:nsid w:val="135B8110"/>
    <w:multiLevelType w:val="hybridMultilevel"/>
    <w:lvl w:ilvl="0">
      <w:lvlJc w:val="left"/>
      <w:lvlText w:val="(%1)"/>
      <w:numFmt w:val="lowerLetter"/>
      <w:start w:val="2"/>
    </w:lvl>
    <w:lvl w:ilvl="1">
      <w:lvlJc w:val="left"/>
      <w:lvlText w:val="(%2)"/>
      <w:numFmt w:val="lowerRoman"/>
      <w:start w:val="1"/>
    </w:lvl>
  </w:abstractNum>
  <w:abstractNum w:abstractNumId="160">
    <w:nsid w:val="94927A8"/>
    <w:multiLevelType w:val="hybridMultilevel"/>
    <w:lvl w:ilvl="0">
      <w:lvlJc w:val="left"/>
      <w:lvlText w:val="%1."/>
      <w:numFmt w:val="decimal"/>
      <w:start w:val="9"/>
    </w:lvl>
  </w:abstractNum>
  <w:abstractNum w:abstractNumId="161">
    <w:nsid w:val="DCDF8F6"/>
    <w:multiLevelType w:val="hybridMultilevel"/>
    <w:lvl w:ilvl="0">
      <w:lvlJc w:val="left"/>
      <w:lvlText w:val="(%1)"/>
      <w:numFmt w:val="lowerLetter"/>
      <w:start w:val="1"/>
    </w:lvl>
    <w:lvl w:ilvl="1">
      <w:lvlJc w:val="left"/>
      <w:lvlText w:val="(%2)"/>
      <w:numFmt w:val="lowerRoman"/>
      <w:start w:val="1"/>
    </w:lvl>
  </w:abstractNum>
  <w:abstractNum w:abstractNumId="162">
    <w:nsid w:val="52D7B105"/>
    <w:multiLevelType w:val="hybridMultilevel"/>
    <w:lvl w:ilvl="0">
      <w:lvlJc w:val="left"/>
      <w:lvlText w:val="(%1)"/>
      <w:numFmt w:val="lowerLetter"/>
      <w:start w:val="1"/>
    </w:lvl>
    <w:lvl w:ilvl="1">
      <w:lvlJc w:val="left"/>
      <w:lvlText w:val="(%2)"/>
      <w:numFmt w:val="lowerRoman"/>
      <w:start w:val="1"/>
    </w:lvl>
  </w:abstractNum>
  <w:abstractNum w:abstractNumId="163">
    <w:nsid w:val="2E8A6394"/>
    <w:multiLevelType w:val="hybridMultilevel"/>
    <w:lvl w:ilvl="0">
      <w:lvlJc w:val="left"/>
      <w:lvlText w:val="(%1)"/>
      <w:numFmt w:val="lowerLetter"/>
      <w:start w:val="1"/>
    </w:lvl>
  </w:abstractNum>
  <w:abstractNum w:abstractNumId="164">
    <w:nsid w:val="24E60401"/>
    <w:multiLevelType w:val="hybridMultilevel"/>
    <w:lvl w:ilvl="0">
      <w:lvlJc w:val="left"/>
      <w:lvlText w:val="(%1)"/>
      <w:numFmt w:val="lowerLetter"/>
      <w:start w:val="1"/>
    </w:lvl>
  </w:abstractNum>
  <w:abstractNum w:abstractNumId="165">
    <w:nsid w:val="2A6AD9BE"/>
    <w:multiLevelType w:val="hybridMultilevel"/>
    <w:lvl w:ilvl="0">
      <w:lvlJc w:val="left"/>
      <w:lvlText w:val="(%1)"/>
      <w:numFmt w:val="lowerRoman"/>
      <w:start w:val="1"/>
    </w:lvl>
  </w:abstractNum>
  <w:abstractNum w:abstractNumId="166">
    <w:nsid w:val="BAAC1B4"/>
    <w:multiLevelType w:val="hybridMultilevel"/>
    <w:lvl w:ilvl="0">
      <w:lvlJc w:val="left"/>
      <w:lvlText w:val="(%1)"/>
      <w:numFmt w:val="lowerLetter"/>
      <w:start w:val="2"/>
    </w:lvl>
    <w:lvl w:ilvl="1">
      <w:lvlJc w:val="left"/>
      <w:lvlText w:val="(%2)"/>
      <w:numFmt w:val="lowerRoman"/>
      <w:start w:val="1"/>
    </w:lvl>
  </w:abstractNum>
  <w:abstractNum w:abstractNumId="167">
    <w:nsid w:val="36B2ACBC"/>
    <w:multiLevelType w:val="hybridMultilevel"/>
    <w:lvl w:ilvl="0">
      <w:lvlJc w:val="left"/>
      <w:lvlText w:val="%1"/>
      <w:numFmt w:val="lowerLetter"/>
      <w:start w:val="1"/>
    </w:lvl>
    <w:lvl w:ilvl="1">
      <w:lvlJc w:val="left"/>
      <w:lvlText w:val="(%2)"/>
      <w:numFmt w:val="lowerRoman"/>
      <w:start w:val="8"/>
    </w:lvl>
  </w:abstractNum>
  <w:abstractNum w:abstractNumId="168">
    <w:nsid w:val="779D8544"/>
    <w:multiLevelType w:val="hybridMultilevel"/>
    <w:lvl w:ilvl="0">
      <w:lvlJc w:val="left"/>
      <w:lvlText w:val="(%1)"/>
      <w:numFmt w:val="lowerLetter"/>
      <w:start w:val="3"/>
    </w:lvl>
    <w:lvl w:ilvl="1">
      <w:lvlJc w:val="left"/>
      <w:lvlText w:val="(%2)"/>
      <w:numFmt w:val="lowerRoman"/>
      <w:start w:val="1"/>
    </w:lvl>
  </w:abstractNum>
  <w:abstractNum w:abstractNumId="169">
    <w:nsid w:val="4AB26E78"/>
    <w:multiLevelType w:val="hybridMultilevel"/>
    <w:lvl w:ilvl="0">
      <w:lvlJc w:val="left"/>
      <w:lvlText w:val="(%1)"/>
      <w:numFmt w:val="lowerLetter"/>
      <w:start w:val="5"/>
    </w:lvl>
    <w:lvl w:ilvl="1">
      <w:lvlJc w:val="left"/>
      <w:lvlText w:val="(%2)"/>
      <w:numFmt w:val="lowerRoman"/>
      <w:start w:val="1"/>
    </w:lvl>
  </w:abstractNum>
  <w:abstractNum w:abstractNumId="170">
    <w:nsid w:val="21FAA2FA"/>
    <w:multiLevelType w:val="hybridMultilevel"/>
    <w:lvl w:ilvl="0">
      <w:lvlJc w:val="left"/>
      <w:lvlText w:val="%1."/>
      <w:numFmt w:val="decimal"/>
      <w:start w:val="10"/>
    </w:lvl>
  </w:abstractNum>
  <w:abstractNum w:abstractNumId="171">
    <w:nsid w:val="5451CF49"/>
    <w:multiLevelType w:val="hybridMultilevel"/>
    <w:lvl w:ilvl="0">
      <w:lvlJc w:val="left"/>
      <w:lvlText w:val="%1."/>
      <w:numFmt w:val="decimal"/>
      <w:start w:val="11"/>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Letter"/>
      <w:start w:val="2"/>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decimal"/>
      <w:start w:val="12"/>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73"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144" Type="http://schemas.openxmlformats.org/officeDocument/2006/relationships/hyperlink" Target="http://www.sec.gov/Archives/edgar/data/1438133/000156459018026264/tndm-ex31_14.htm" TargetMode="External"/><Relationship Id="rId145" Type="http://schemas.openxmlformats.org/officeDocument/2006/relationships/hyperlink" Target="https://www.sec.gov/Archives/edgar/data/1438133/000143813321000015/ex32bylaws-10xkexfebruary2.htm" TargetMode="External"/><Relationship Id="rId146" Type="http://schemas.openxmlformats.org/officeDocument/2006/relationships/hyperlink" Target="https://www.sec.gov/Archives/edgar/data/1438133/000143813320000014/tndm-20191231xex47.htm" TargetMode="External"/><Relationship Id="rId147" Type="http://schemas.openxmlformats.org/officeDocument/2006/relationships/hyperlink" Target="http://www.sec.gov/Archives/edgar/data/1438133/000119312513423605/d576419dex41.htm" TargetMode="External"/><Relationship Id="rId148" Type="http://schemas.openxmlformats.org/officeDocument/2006/relationships/hyperlink" Target="http://www.sec.gov/Archives/edgar/data/1438133/000119312513392967/d576419dex42.htm" TargetMode="External"/><Relationship Id="rId149" Type="http://schemas.openxmlformats.org/officeDocument/2006/relationships/hyperlink" Target="http://www.sec.gov/Archives/edgar/data/1438133/000119312517074757/d355394dex43.htm" TargetMode="External"/><Relationship Id="rId150" Type="http://schemas.openxmlformats.org/officeDocument/2006/relationships/hyperlink" Target="https://www.sec.gov/Archives/edgar/data/1438133/000143813320000054/ex41indenture.htm" TargetMode="External"/><Relationship Id="rId151" Type="http://schemas.openxmlformats.org/officeDocument/2006/relationships/hyperlink" Target="http://www.sec.gov/Archives/edgar/data/1438133/000119312513392967/d576419dex103.htm" TargetMode="External"/><Relationship Id="rId152" Type="http://schemas.openxmlformats.org/officeDocument/2006/relationships/hyperlink" Target="http://www.sec.gov/Archives/edgar/data/1438133/000119312513392967/d576419dex104.htm" TargetMode="External"/><Relationship Id="rId153" Type="http://schemas.openxmlformats.org/officeDocument/2006/relationships/hyperlink" Target="http://www.sec.gov/Archives/edgar/data/1438133/000119312513392967/d576419dex105.htm" TargetMode="External"/><Relationship Id="rId156" Type="http://schemas.openxmlformats.org/officeDocument/2006/relationships/hyperlink" Target="https://www.sec.gov/Archives/edgar/data/1438133/000156459018009319/tndm-def14a_20180614.htm" TargetMode="External"/><Relationship Id="rId157" Type="http://schemas.openxmlformats.org/officeDocument/2006/relationships/hyperlink" Target="https://www.sec.gov/Archives/edgar/data/1438133/000143813320000114/ex102amended2013stockp.htm" TargetMode="External"/><Relationship Id="rId158" Type="http://schemas.openxmlformats.org/officeDocument/2006/relationships/hyperlink" Target="https://www.sec.gov/Archives/edgar/data/1438133/000143813320000114/ex101formofagreementrsu.htm" TargetMode="External"/><Relationship Id="rId159" Type="http://schemas.openxmlformats.org/officeDocument/2006/relationships/hyperlink" Target="http://www.sec.gov/Archives/edgar/data/1438133/000119312513423605/d576419dex107.htm" TargetMode="External"/><Relationship Id="rId160" Type="http://schemas.openxmlformats.org/officeDocument/2006/relationships/hyperlink" Target="http://www.sec.gov/Archives/edgar/data/1438133/000119312513423605/d576419dex108.htm" TargetMode="External"/><Relationship Id="rId161" Type="http://schemas.openxmlformats.org/officeDocument/2006/relationships/hyperlink" Target="http://www.sec.gov/Archives/edgar/data/1438133/000156459018009319/tndm-def14a_20180614.htm#APPENDIX_C" TargetMode="External"/><Relationship Id="rId162" Type="http://schemas.openxmlformats.org/officeDocument/2006/relationships/hyperlink" Target="https://www.sec.gov/Archives/edgar/data/1438133/000143813322000060/exhibit101-2022bonusplan.htm" TargetMode="External"/><Relationship Id="rId163" Type="http://schemas.openxmlformats.org/officeDocument/2006/relationships/hyperlink" Target="http://www.sec.gov/Archives/edgar/data/1438133/000119312513392967/d576419dex1012.htm" TargetMode="External"/><Relationship Id="rId164" Type="http://schemas.openxmlformats.org/officeDocument/2006/relationships/hyperlink" Target="http://www.sec.gov/Archives/edgar/data/1438133/000119312513392967/d576419dex1013.htm" TargetMode="External"/><Relationship Id="rId165" Type="http://schemas.openxmlformats.org/officeDocument/2006/relationships/hyperlink" Target="http://www.sec.gov/Archives/edgar/data/1438133/000156459016012160/tndm-ex101_6.htm" TargetMode="External"/><Relationship Id="rId166" Type="http://schemas.openxmlformats.org/officeDocument/2006/relationships/hyperlink" Target="http://www.sec.gov/Archives/edgar/data/1438133/000156459016012160/tndm-ex102_29.htm" TargetMode="External"/><Relationship Id="rId167" Type="http://schemas.openxmlformats.org/officeDocument/2006/relationships/hyperlink" Target="https://www.sec.gov/Archives/edgar/data/1438133/000119312513435460/d576419dex1017.htm" TargetMode="External"/><Relationship Id="rId168" Type="http://schemas.openxmlformats.org/officeDocument/2006/relationships/hyperlink" Target="http://www.sec.gov/Archives/edgar/data/1438133/000119312513435460/d576419dex1018.htm" TargetMode="External"/><Relationship Id="rId169" Type="http://schemas.openxmlformats.org/officeDocument/2006/relationships/hyperlink" Target="http://www.sec.gov/Archives/edgar/data/1438133/000119312513435460/d576419dex1019.htm" TargetMode="External"/><Relationship Id="rId170" Type="http://schemas.openxmlformats.org/officeDocument/2006/relationships/hyperlink" Target="http://www.sec.gov/Archives/edgar/data/1438133/000095012318000216/tndm-ex1025_89.htm" TargetMode="External"/><Relationship Id="rId171" Type="http://schemas.openxmlformats.org/officeDocument/2006/relationships/hyperlink" Target="http://www.sec.gov/Archives/edgar/data/1438133/000119312513392967/d576419dex1011.htm" TargetMode="External"/><Relationship Id="rId172" Type="http://schemas.openxmlformats.org/officeDocument/2006/relationships/hyperlink" Target="http://www.sec.gov/Archives/edgar/data/1438133/000119312513435460/d576419dex1020.htm" TargetMode="External"/><Relationship Id="rId174" Type="http://schemas.openxmlformats.org/officeDocument/2006/relationships/hyperlink" Target="http://www.sec.gov/Archives/edgar/data/1438133/000156459018028978/tndm-ex105_14.htm" TargetMode="External"/><Relationship Id="rId175" Type="http://schemas.openxmlformats.org/officeDocument/2006/relationships/hyperlink" Target="https://www.sec.gov/Archives/edgar/data/1438133/000143813321000015/ex1024dexcom-tandemxdevelo.htm" TargetMode="External"/><Relationship Id="rId176" Type="http://schemas.openxmlformats.org/officeDocument/2006/relationships/hyperlink" Target="https://www.sec.gov/Archives/edgar/data/1438133/000143813321000015/ex1025dexcom-tandemxcommer.htm" TargetMode="External"/><Relationship Id="rId177" Type="http://schemas.openxmlformats.org/officeDocument/2006/relationships/hyperlink" Target="http://www.sec.gov/Archives/edgar/data/1438133/000119312513435460/d576419dex101.htm" TargetMode="External"/><Relationship Id="rId178" Type="http://schemas.openxmlformats.org/officeDocument/2006/relationships/hyperlink" Target="http://www.sec.gov/Archives/edgar/data/1438133/000156459018000052/tndm-ex102_7.htm" TargetMode="External"/><Relationship Id="rId179" Type="http://schemas.openxmlformats.org/officeDocument/2006/relationships/hyperlink" Target="http://www.sec.gov/Archives/edgar/data/1438133/000119312513435460/d576419dex1021.htm" TargetMode="External"/><Relationship Id="rId180" Type="http://schemas.openxmlformats.org/officeDocument/2006/relationships/hyperlink" Target="http://www.sec.gov/Archives/edgar/data/1438133/000156459018000052/tndm-ex101_8.htm" TargetMode="External"/><Relationship Id="rId181" Type="http://schemas.openxmlformats.org/officeDocument/2006/relationships/hyperlink" Target="https://www.sec.gov/Archives/edgar/data/1438133/000143813320000155/exhibit101-leaseamendm.htm" TargetMode="External"/><Relationship Id="rId182" Type="http://schemas.openxmlformats.org/officeDocument/2006/relationships/hyperlink" Target="https://www.sec.gov/Archives/edgar/data/1438133/000143813320000155/exhibit102-leaseamendm.htm" TargetMode="External"/><Relationship Id="rId183" Type="http://schemas.openxmlformats.org/officeDocument/2006/relationships/hyperlink" Target="https://www.sec.gov/Archives/edgar/data/1438133/000143813320000040/tndm-dxcmagmtx20200331.htm" TargetMode="External"/><Relationship Id="rId184" Type="http://schemas.openxmlformats.org/officeDocument/2006/relationships/hyperlink" Target="https://www.sec.gov/Archives/edgar/data/1438133/000143813322000021/exhibit1035agreementbetwee.htm" TargetMode="External"/><Relationship Id="rId185" Type="http://schemas.openxmlformats.org/officeDocument/2006/relationships/hyperlink" Target="https://www.sec.gov/Archives/edgar/data/1438133/000143813321000195/exhibit101-highblufflease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2023-02-22T15:24:12Z</dcterms:created>
  <dcterms:modified xsi:type="dcterms:W3CDTF">2023-02-22T15:24:12Z</dcterms:modified>
</cp:coreProperties>
</file>