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198755</wp:posOffset>
            </wp:positionH>
            <wp:positionV relativeFrom="page">
              <wp:posOffset>586740</wp:posOffset>
            </wp:positionV>
            <wp:extent cx="71513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1370" cy="635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606425</wp:posOffset>
            </wp:positionV>
            <wp:extent cx="71513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1370" cy="635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5" w:lineRule="exact"/>
        <w:rPr>
          <w:sz w:val="24"/>
          <w:szCs w:val="24"/>
          <w:color w:val="auto"/>
        </w:rPr>
      </w:pPr>
    </w:p>
    <w:p>
      <w:pPr>
        <w:ind w:left="37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w:t>
      </w:r>
    </w:p>
    <w:p>
      <w:pPr>
        <w:spacing w:after="0" w:line="67" w:lineRule="exact"/>
        <w:rPr>
          <w:sz w:val="24"/>
          <w:szCs w:val="24"/>
          <w:color w:val="auto"/>
        </w:rPr>
      </w:pPr>
    </w:p>
    <w:tbl>
      <w:tblPr>
        <w:tblLayout w:type="fixed"/>
        <w:tblInd w:w="160" w:type="dxa"/>
        <w:tblCellMar>
          <w:top w:w="0" w:type="dxa"/>
          <w:left w:w="0" w:type="dxa"/>
          <w:bottom w:w="0" w:type="dxa"/>
          <w:right w:w="0" w:type="dxa"/>
        </w:tblCellMar>
      </w:tblPr>
      <w:tr>
        <w:trPr>
          <w:trHeight w:val="259"/>
        </w:trPr>
        <w:tc>
          <w:tcPr>
            <w:tcW w:w="4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9460" w:type="dxa"/>
            <w:vAlign w:val="bottom"/>
            <w:gridSpan w:val="9"/>
          </w:tcPr>
          <w:p>
            <w:pPr>
              <w:ind w:left="1060"/>
              <w:spacing w:after="0"/>
              <w:rPr>
                <w:sz w:val="20"/>
                <w:szCs w:val="20"/>
                <w:color w:val="auto"/>
              </w:rPr>
            </w:pPr>
            <w:r>
              <w:rPr>
                <w:rFonts w:ascii="Arial" w:cs="Arial" w:eastAsia="Arial" w:hAnsi="Arial"/>
                <w:sz w:val="17"/>
                <w:szCs w:val="17"/>
                <w:b w:val="1"/>
                <w:bCs w:val="1"/>
                <w:color w:val="auto"/>
                <w:w w:val="95"/>
              </w:rPr>
              <w:t>QUARTERLY REPORT PURSUANT TO SECTION 13 OR 15(d) OF THE SECURITIES EXCHANGE ACT OF 1934</w:t>
            </w:r>
          </w:p>
        </w:tc>
      </w:tr>
      <w:tr>
        <w:trPr>
          <w:trHeight w:val="220"/>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120" w:type="dxa"/>
            <w:vAlign w:val="bottom"/>
            <w:gridSpan w:val="6"/>
          </w:tcPr>
          <w:p>
            <w:pPr>
              <w:jc w:val="center"/>
              <w:ind w:right="2760"/>
              <w:spacing w:after="0"/>
              <w:rPr>
                <w:sz w:val="20"/>
                <w:szCs w:val="20"/>
                <w:color w:val="auto"/>
              </w:rPr>
            </w:pPr>
            <w:r>
              <w:rPr>
                <w:rFonts w:ascii="Arial" w:cs="Arial" w:eastAsia="Arial" w:hAnsi="Arial"/>
                <w:sz w:val="14"/>
                <w:szCs w:val="14"/>
                <w:b w:val="1"/>
                <w:bCs w:val="1"/>
                <w:color w:val="auto"/>
                <w:w w:val="89"/>
              </w:rPr>
              <w:t>For the Quarterly Period Ended June 30, 2022</w:t>
            </w:r>
          </w:p>
        </w:tc>
      </w:tr>
      <w:tr>
        <w:trPr>
          <w:trHeight w:val="217"/>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5"/>
              </w:rPr>
              <w:t>OR</w:t>
            </w: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17"/>
        </w:trPr>
        <w:tc>
          <w:tcPr>
            <w:tcW w:w="4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9460" w:type="dxa"/>
            <w:vAlign w:val="bottom"/>
            <w:gridSpan w:val="9"/>
          </w:tcPr>
          <w:p>
            <w:pPr>
              <w:ind w:left="1060"/>
              <w:spacing w:after="0"/>
              <w:rPr>
                <w:sz w:val="20"/>
                <w:szCs w:val="20"/>
                <w:color w:val="auto"/>
              </w:rPr>
            </w:pPr>
            <w:r>
              <w:rPr>
                <w:rFonts w:ascii="Arial" w:cs="Arial" w:eastAsia="Arial" w:hAnsi="Arial"/>
                <w:sz w:val="17"/>
                <w:szCs w:val="17"/>
                <w:b w:val="1"/>
                <w:bCs w:val="1"/>
                <w:color w:val="auto"/>
                <w:w w:val="96"/>
              </w:rPr>
              <w:t>TRANSITION REPORT PURSUANT TO SECTION 13 OR 15(d) OF THE SECURITIES EXCHANGE ACT OF 1934</w:t>
            </w:r>
          </w:p>
        </w:tc>
      </w:tr>
      <w:tr>
        <w:trPr>
          <w:trHeight w:val="209"/>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gridSpan w:val="3"/>
          </w:tcPr>
          <w:p>
            <w:pPr>
              <w:ind w:left="180"/>
              <w:spacing w:after="0"/>
              <w:rPr>
                <w:sz w:val="20"/>
                <w:szCs w:val="20"/>
                <w:color w:val="auto"/>
              </w:rPr>
            </w:pPr>
            <w:r>
              <w:rPr>
                <w:rFonts w:ascii="Arial" w:cs="Arial" w:eastAsia="Arial" w:hAnsi="Arial"/>
                <w:sz w:val="14"/>
                <w:szCs w:val="14"/>
                <w:b w:val="1"/>
                <w:bCs w:val="1"/>
                <w:color w:val="auto"/>
              </w:rPr>
              <w:t>For the Transition Period from</w:t>
            </w:r>
          </w:p>
        </w:tc>
        <w:tc>
          <w:tcPr>
            <w:tcW w:w="3820" w:type="dxa"/>
            <w:vAlign w:val="bottom"/>
            <w:gridSpan w:val="3"/>
          </w:tcPr>
          <w:p>
            <w:pPr>
              <w:ind w:left="180"/>
              <w:spacing w:after="0"/>
              <w:rPr>
                <w:sz w:val="20"/>
                <w:szCs w:val="20"/>
                <w:color w:val="auto"/>
              </w:rPr>
            </w:pPr>
            <w:r>
              <w:rPr>
                <w:rFonts w:ascii="Arial" w:cs="Arial" w:eastAsia="Arial" w:hAnsi="Arial"/>
                <w:sz w:val="14"/>
                <w:szCs w:val="14"/>
                <w:b w:val="1"/>
                <w:bCs w:val="1"/>
                <w:color w:val="auto"/>
              </w:rPr>
              <w:t>to</w:t>
            </w:r>
          </w:p>
        </w:tc>
      </w:tr>
      <w:tr>
        <w:trPr>
          <w:trHeight w:val="227"/>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120" w:type="dxa"/>
            <w:vAlign w:val="bottom"/>
            <w:gridSpan w:val="6"/>
          </w:tcPr>
          <w:p>
            <w:pPr>
              <w:jc w:val="center"/>
              <w:ind w:right="2740"/>
              <w:spacing w:after="0"/>
              <w:rPr>
                <w:sz w:val="20"/>
                <w:szCs w:val="20"/>
                <w:color w:val="auto"/>
              </w:rPr>
            </w:pPr>
            <w:r>
              <w:rPr>
                <w:rFonts w:ascii="Arial" w:cs="Arial" w:eastAsia="Arial" w:hAnsi="Arial"/>
                <w:sz w:val="14"/>
                <w:szCs w:val="14"/>
                <w:b w:val="1"/>
                <w:bCs w:val="1"/>
                <w:color w:val="auto"/>
                <w:w w:val="89"/>
              </w:rPr>
              <w:t>Commission File Number 001-36189</w:t>
            </w:r>
          </w:p>
        </w:tc>
      </w:tr>
      <w:tr>
        <w:trPr>
          <w:trHeight w:val="149"/>
        </w:trPr>
        <w:tc>
          <w:tcPr>
            <w:tcW w:w="460" w:type="dxa"/>
            <w:vAlign w:val="bottom"/>
          </w:tcPr>
          <w:p>
            <w:pPr>
              <w:spacing w:after="0"/>
              <w:rPr>
                <w:sz w:val="12"/>
                <w:szCs w:val="12"/>
                <w:color w:val="auto"/>
              </w:rPr>
            </w:pPr>
          </w:p>
        </w:tc>
        <w:tc>
          <w:tcPr>
            <w:tcW w:w="7160" w:type="dxa"/>
            <w:vAlign w:val="bottom"/>
            <w:gridSpan w:val="7"/>
          </w:tcPr>
          <w:p>
            <w:pPr>
              <w:jc w:val="center"/>
              <w:ind w:left="2817"/>
              <w:spacing w:after="0"/>
              <w:rPr>
                <w:sz w:val="20"/>
                <w:szCs w:val="20"/>
                <w:color w:val="auto"/>
              </w:rPr>
            </w:pPr>
            <w:r>
              <w:rPr>
                <w:rFonts w:ascii="Arial" w:cs="Arial" w:eastAsia="Arial" w:hAnsi="Arial"/>
                <w:sz w:val="8"/>
                <w:szCs w:val="8"/>
                <w:b w:val="1"/>
                <w:bCs w:val="1"/>
                <w:color w:val="auto"/>
                <w:w w:val="92"/>
              </w:rPr>
              <w:t>_____________________________________________________________________________________________</w:t>
            </w:r>
          </w:p>
        </w:tc>
        <w:tc>
          <w:tcPr>
            <w:tcW w:w="18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363"/>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20" w:type="dxa"/>
            <w:vAlign w:val="bottom"/>
            <w:gridSpan w:val="6"/>
          </w:tcPr>
          <w:p>
            <w:pPr>
              <w:jc w:val="center"/>
              <w:ind w:right="2740"/>
              <w:spacing w:after="0"/>
              <w:rPr>
                <w:sz w:val="20"/>
                <w:szCs w:val="20"/>
                <w:color w:val="auto"/>
              </w:rPr>
            </w:pPr>
            <w:r>
              <w:rPr>
                <w:rFonts w:ascii="Arial" w:cs="Arial" w:eastAsia="Arial" w:hAnsi="Arial"/>
                <w:sz w:val="27"/>
                <w:szCs w:val="27"/>
                <w:b w:val="1"/>
                <w:bCs w:val="1"/>
                <w:color w:val="auto"/>
                <w:w w:val="92"/>
              </w:rPr>
              <w:t>Tandem Diabetes Care, Inc.</w:t>
            </w:r>
          </w:p>
        </w:tc>
      </w:tr>
      <w:tr>
        <w:trPr>
          <w:trHeight w:val="178"/>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120" w:type="dxa"/>
            <w:vAlign w:val="bottom"/>
            <w:gridSpan w:val="6"/>
          </w:tcPr>
          <w:p>
            <w:pPr>
              <w:jc w:val="center"/>
              <w:ind w:right="2760"/>
              <w:spacing w:after="0"/>
              <w:rPr>
                <w:sz w:val="20"/>
                <w:szCs w:val="20"/>
                <w:color w:val="auto"/>
              </w:rPr>
            </w:pPr>
            <w:r>
              <w:rPr>
                <w:rFonts w:ascii="Arial" w:cs="Arial" w:eastAsia="Arial" w:hAnsi="Arial"/>
                <w:sz w:val="14"/>
                <w:szCs w:val="14"/>
                <w:b w:val="1"/>
                <w:bCs w:val="1"/>
                <w:color w:val="auto"/>
                <w:w w:val="88"/>
              </w:rPr>
              <w:t>(Exact name of registrant as specified in its charter)</w:t>
            </w:r>
          </w:p>
        </w:tc>
      </w:tr>
      <w:tr>
        <w:trPr>
          <w:trHeight w:val="159"/>
        </w:trPr>
        <w:tc>
          <w:tcPr>
            <w:tcW w:w="460" w:type="dxa"/>
            <w:vAlign w:val="bottom"/>
          </w:tcPr>
          <w:p>
            <w:pPr>
              <w:spacing w:after="0"/>
              <w:rPr>
                <w:sz w:val="13"/>
                <w:szCs w:val="13"/>
                <w:color w:val="auto"/>
              </w:rPr>
            </w:pPr>
          </w:p>
        </w:tc>
        <w:tc>
          <w:tcPr>
            <w:tcW w:w="7160" w:type="dxa"/>
            <w:vAlign w:val="bottom"/>
            <w:gridSpan w:val="7"/>
          </w:tcPr>
          <w:p>
            <w:pPr>
              <w:jc w:val="center"/>
              <w:ind w:left="2817"/>
              <w:spacing w:after="0"/>
              <w:rPr>
                <w:sz w:val="20"/>
                <w:szCs w:val="20"/>
                <w:color w:val="auto"/>
              </w:rPr>
            </w:pPr>
            <w:r>
              <w:rPr>
                <w:rFonts w:ascii="Arial" w:cs="Arial" w:eastAsia="Arial" w:hAnsi="Arial"/>
                <w:sz w:val="8"/>
                <w:szCs w:val="8"/>
                <w:b w:val="1"/>
                <w:bCs w:val="1"/>
                <w:color w:val="auto"/>
                <w:w w:val="92"/>
              </w:rPr>
              <w:t>_____________________________________________________________________________________________</w:t>
            </w:r>
          </w:p>
        </w:tc>
        <w:tc>
          <w:tcPr>
            <w:tcW w:w="18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48"/>
        </w:trPr>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jc w:val="center"/>
              <w:ind w:right="451"/>
              <w:spacing w:after="0"/>
              <w:rPr>
                <w:sz w:val="20"/>
                <w:szCs w:val="20"/>
                <w:color w:val="auto"/>
              </w:rPr>
            </w:pPr>
            <w:r>
              <w:rPr>
                <w:rFonts w:ascii="Arial" w:cs="Arial" w:eastAsia="Arial" w:hAnsi="Arial"/>
                <w:sz w:val="14"/>
                <w:szCs w:val="14"/>
                <w:b w:val="1"/>
                <w:bCs w:val="1"/>
                <w:color w:val="auto"/>
                <w:w w:val="91"/>
              </w:rPr>
              <w:t>Delaware</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20-4327508</w:t>
            </w:r>
          </w:p>
        </w:tc>
        <w:tc>
          <w:tcPr>
            <w:tcW w:w="420" w:type="dxa"/>
            <w:vAlign w:val="bottom"/>
          </w:tcPr>
          <w:p>
            <w:pPr>
              <w:spacing w:after="0"/>
              <w:rPr>
                <w:sz w:val="21"/>
                <w:szCs w:val="21"/>
                <w:color w:val="auto"/>
              </w:rPr>
            </w:pPr>
          </w:p>
        </w:tc>
      </w:tr>
      <w:tr>
        <w:trPr>
          <w:trHeight w:val="110"/>
        </w:trPr>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0" w:type="dxa"/>
            <w:vAlign w:val="bottom"/>
            <w:gridSpan w:val="2"/>
          </w:tcPr>
          <w:p>
            <w:pPr>
              <w:jc w:val="center"/>
              <w:ind w:left="300"/>
              <w:spacing w:after="0" w:line="110" w:lineRule="exact"/>
              <w:rPr>
                <w:sz w:val="20"/>
                <w:szCs w:val="20"/>
                <w:color w:val="auto"/>
              </w:rPr>
            </w:pPr>
            <w:r>
              <w:rPr>
                <w:rFonts w:ascii="Arial" w:cs="Arial" w:eastAsia="Arial" w:hAnsi="Arial"/>
                <w:sz w:val="11"/>
                <w:szCs w:val="11"/>
                <w:b w:val="1"/>
                <w:bCs w:val="1"/>
                <w:color w:val="auto"/>
                <w:w w:val="90"/>
              </w:rPr>
              <w:t>(State or other jurisdiction of</w:t>
            </w: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300" w:type="dxa"/>
            <w:vAlign w:val="bottom"/>
            <w:gridSpan w:val="2"/>
          </w:tcPr>
          <w:p>
            <w:pPr>
              <w:jc w:val="center"/>
              <w:ind w:left="282"/>
              <w:spacing w:after="0" w:line="110" w:lineRule="exact"/>
              <w:rPr>
                <w:sz w:val="20"/>
                <w:szCs w:val="20"/>
                <w:color w:val="auto"/>
              </w:rPr>
            </w:pPr>
            <w:r>
              <w:rPr>
                <w:rFonts w:ascii="Arial" w:cs="Arial" w:eastAsia="Arial" w:hAnsi="Arial"/>
                <w:sz w:val="11"/>
                <w:szCs w:val="11"/>
                <w:b w:val="1"/>
                <w:bCs w:val="1"/>
                <w:color w:val="auto"/>
                <w:w w:val="94"/>
              </w:rPr>
              <w:t>(I.R.S. Employer</w:t>
            </w:r>
          </w:p>
        </w:tc>
      </w:tr>
      <w:tr>
        <w:trPr>
          <w:trHeight w:val="140"/>
        </w:trPr>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gridSpan w:val="2"/>
          </w:tcPr>
          <w:p>
            <w:pPr>
              <w:jc w:val="center"/>
              <w:ind w:left="300"/>
              <w:spacing w:after="0"/>
              <w:rPr>
                <w:sz w:val="20"/>
                <w:szCs w:val="20"/>
                <w:color w:val="auto"/>
              </w:rPr>
            </w:pPr>
            <w:r>
              <w:rPr>
                <w:rFonts w:ascii="Arial" w:cs="Arial" w:eastAsia="Arial" w:hAnsi="Arial"/>
                <w:sz w:val="11"/>
                <w:szCs w:val="11"/>
                <w:b w:val="1"/>
                <w:bCs w:val="1"/>
                <w:color w:val="auto"/>
                <w:w w:val="91"/>
              </w:rPr>
              <w:t>incorporation or organization)</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gridSpan w:val="2"/>
          </w:tcPr>
          <w:p>
            <w:pPr>
              <w:jc w:val="center"/>
              <w:ind w:left="262"/>
              <w:spacing w:after="0"/>
              <w:rPr>
                <w:sz w:val="20"/>
                <w:szCs w:val="20"/>
                <w:color w:val="auto"/>
              </w:rPr>
            </w:pPr>
            <w:r>
              <w:rPr>
                <w:rFonts w:ascii="Arial" w:cs="Arial" w:eastAsia="Arial" w:hAnsi="Arial"/>
                <w:sz w:val="11"/>
                <w:szCs w:val="11"/>
                <w:b w:val="1"/>
                <w:bCs w:val="1"/>
                <w:color w:val="auto"/>
                <w:w w:val="92"/>
              </w:rPr>
              <w:t>Identification No.)</w:t>
            </w:r>
          </w:p>
        </w:tc>
      </w:tr>
      <w:tr>
        <w:trPr>
          <w:trHeight w:val="173"/>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0" w:type="dxa"/>
            <w:vAlign w:val="bottom"/>
            <w:gridSpan w:val="2"/>
          </w:tcPr>
          <w:p>
            <w:pPr>
              <w:jc w:val="center"/>
              <w:ind w:left="300"/>
              <w:spacing w:after="0"/>
              <w:rPr>
                <w:sz w:val="20"/>
                <w:szCs w:val="20"/>
                <w:color w:val="auto"/>
              </w:rPr>
            </w:pPr>
            <w:r>
              <w:rPr>
                <w:rFonts w:ascii="Arial" w:cs="Arial" w:eastAsia="Arial" w:hAnsi="Arial"/>
                <w:sz w:val="14"/>
                <w:szCs w:val="14"/>
                <w:b w:val="1"/>
                <w:bCs w:val="1"/>
                <w:color w:val="auto"/>
                <w:w w:val="85"/>
              </w:rPr>
              <w:t>11075 Roselle Street</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92121</w:t>
            </w:r>
          </w:p>
        </w:tc>
        <w:tc>
          <w:tcPr>
            <w:tcW w:w="42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0" w:type="dxa"/>
            <w:vAlign w:val="bottom"/>
            <w:gridSpan w:val="2"/>
          </w:tcPr>
          <w:p>
            <w:pPr>
              <w:ind w:left="720"/>
              <w:spacing w:after="0"/>
              <w:rPr>
                <w:sz w:val="20"/>
                <w:szCs w:val="20"/>
                <w:color w:val="auto"/>
              </w:rPr>
            </w:pPr>
            <w:r>
              <w:rPr>
                <w:rFonts w:ascii="Arial" w:cs="Arial" w:eastAsia="Arial" w:hAnsi="Arial"/>
                <w:sz w:val="14"/>
                <w:szCs w:val="14"/>
                <w:b w:val="1"/>
                <w:bCs w:val="1"/>
                <w:color w:val="auto"/>
              </w:rPr>
              <w:t>San Diego, California</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gridSpan w:val="2"/>
          </w:tcPr>
          <w:p>
            <w:pPr>
              <w:jc w:val="center"/>
              <w:ind w:left="262"/>
              <w:spacing w:after="0"/>
              <w:rPr>
                <w:sz w:val="20"/>
                <w:szCs w:val="20"/>
                <w:color w:val="auto"/>
              </w:rPr>
            </w:pPr>
            <w:r>
              <w:rPr>
                <w:rFonts w:ascii="Arial" w:cs="Arial" w:eastAsia="Arial" w:hAnsi="Arial"/>
                <w:sz w:val="11"/>
                <w:szCs w:val="11"/>
                <w:b w:val="1"/>
                <w:bCs w:val="1"/>
                <w:color w:val="auto"/>
                <w:w w:val="91"/>
              </w:rPr>
              <w:t>(Zip Code)</w:t>
            </w:r>
          </w:p>
        </w:tc>
      </w:tr>
      <w:tr>
        <w:trPr>
          <w:trHeight w:val="142"/>
        </w:trPr>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gridSpan w:val="2"/>
          </w:tcPr>
          <w:p>
            <w:pPr>
              <w:jc w:val="center"/>
              <w:ind w:left="30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29"/>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gridSpan w:val="3"/>
          </w:tcPr>
          <w:p>
            <w:pPr>
              <w:jc w:val="center"/>
              <w:ind w:left="1007"/>
              <w:spacing w:after="0"/>
              <w:rPr>
                <w:sz w:val="20"/>
                <w:szCs w:val="20"/>
                <w:color w:val="auto"/>
              </w:rPr>
            </w:pPr>
            <w:r>
              <w:rPr>
                <w:rFonts w:ascii="Arial" w:cs="Arial" w:eastAsia="Arial" w:hAnsi="Arial"/>
                <w:sz w:val="14"/>
                <w:szCs w:val="14"/>
                <w:b w:val="1"/>
                <w:bCs w:val="1"/>
                <w:color w:val="auto"/>
                <w:w w:val="89"/>
              </w:rPr>
              <w:t>(858) 366-6900</w:t>
            </w:r>
          </w:p>
        </w:tc>
        <w:tc>
          <w:tcPr>
            <w:tcW w:w="1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42"/>
        </w:trPr>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120" w:type="dxa"/>
            <w:vAlign w:val="bottom"/>
            <w:gridSpan w:val="6"/>
          </w:tcPr>
          <w:p>
            <w:pPr>
              <w:jc w:val="center"/>
              <w:ind w:right="2760"/>
              <w:spacing w:after="0"/>
              <w:rPr>
                <w:sz w:val="20"/>
                <w:szCs w:val="20"/>
                <w:color w:val="auto"/>
              </w:rPr>
            </w:pPr>
            <w:r>
              <w:rPr>
                <w:rFonts w:ascii="Arial" w:cs="Arial" w:eastAsia="Arial" w:hAnsi="Arial"/>
                <w:sz w:val="11"/>
                <w:szCs w:val="11"/>
                <w:b w:val="1"/>
                <w:bCs w:val="1"/>
                <w:color w:val="auto"/>
                <w:w w:val="88"/>
              </w:rPr>
              <w:t>(Registrant’s telephone number, including area code)</w:t>
            </w:r>
          </w:p>
        </w:tc>
      </w:tr>
      <w:tr>
        <w:trPr>
          <w:trHeight w:val="348"/>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20" w:type="dxa"/>
            <w:vAlign w:val="bottom"/>
            <w:gridSpan w:val="6"/>
          </w:tcPr>
          <w:p>
            <w:pPr>
              <w:jc w:val="center"/>
              <w:ind w:right="2760"/>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r>
      <w:tr>
        <w:trPr>
          <w:trHeight w:val="208"/>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gridSpan w:val="2"/>
          </w:tcPr>
          <w:p>
            <w:pPr>
              <w:jc w:val="center"/>
              <w:ind w:right="1251"/>
              <w:spacing w:after="0"/>
              <w:rPr>
                <w:sz w:val="20"/>
                <w:szCs w:val="20"/>
                <w:color w:val="auto"/>
              </w:rPr>
            </w:pPr>
            <w:r>
              <w:rPr>
                <w:rFonts w:ascii="Arial" w:cs="Arial" w:eastAsia="Arial" w:hAnsi="Arial"/>
                <w:sz w:val="11"/>
                <w:szCs w:val="11"/>
                <w:b w:val="1"/>
                <w:bCs w:val="1"/>
                <w:color w:val="auto"/>
                <w:w w:val="89"/>
              </w:rPr>
              <w:t>Title of Each Class</w:t>
            </w:r>
          </w:p>
        </w:tc>
        <w:tc>
          <w:tcPr>
            <w:tcW w:w="230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91"/>
              </w:rPr>
              <w:t>Trading Symbol(s)</w:t>
            </w:r>
          </w:p>
        </w:tc>
        <w:tc>
          <w:tcPr>
            <w:tcW w:w="1520" w:type="dxa"/>
            <w:vAlign w:val="bottom"/>
          </w:tcPr>
          <w:p>
            <w:pPr>
              <w:spacing w:after="0"/>
              <w:rPr>
                <w:sz w:val="18"/>
                <w:szCs w:val="18"/>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Name of Exchange on Which Registered</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460" w:type="dxa"/>
            <w:vAlign w:val="bottom"/>
          </w:tcPr>
          <w:p>
            <w:pPr>
              <w:spacing w:after="0"/>
              <w:rPr>
                <w:sz w:val="16"/>
                <w:szCs w:val="16"/>
                <w:color w:val="auto"/>
              </w:rPr>
            </w:pPr>
          </w:p>
        </w:tc>
        <w:tc>
          <w:tcPr>
            <w:tcW w:w="334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88"/>
              </w:rPr>
              <w:t>Common Stock, par value $0.001 per share</w:t>
            </w:r>
          </w:p>
        </w:tc>
        <w:tc>
          <w:tcPr>
            <w:tcW w:w="880" w:type="dxa"/>
            <w:vAlign w:val="bottom"/>
          </w:tcPr>
          <w:p>
            <w:pPr>
              <w:spacing w:after="0"/>
              <w:rPr>
                <w:sz w:val="16"/>
                <w:szCs w:val="16"/>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TNDM</w:t>
            </w:r>
          </w:p>
        </w:tc>
        <w:tc>
          <w:tcPr>
            <w:tcW w:w="1520" w:type="dxa"/>
            <w:vAlign w:val="bottom"/>
          </w:tcPr>
          <w:p>
            <w:pPr>
              <w:spacing w:after="0"/>
              <w:rPr>
                <w:sz w:val="16"/>
                <w:szCs w:val="16"/>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Nasdaq Global Market</w:t>
            </w:r>
          </w:p>
        </w:tc>
      </w:tr>
    </w:tbl>
    <w:p>
      <w:pPr>
        <w:spacing w:after="0" w:line="54" w:lineRule="exact"/>
        <w:rPr>
          <w:sz w:val="24"/>
          <w:szCs w:val="24"/>
          <w:color w:val="auto"/>
        </w:rPr>
      </w:pPr>
    </w:p>
    <w:p>
      <w:pPr>
        <w:ind w:left="372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w:t>
      </w:r>
    </w:p>
    <w:p>
      <w:pPr>
        <w:spacing w:after="0" w:line="5" w:lineRule="exact"/>
        <w:rPr>
          <w:sz w:val="24"/>
          <w:szCs w:val="24"/>
          <w:color w:val="auto"/>
        </w:rPr>
      </w:pPr>
    </w:p>
    <w:p>
      <w:pPr>
        <w:ind w:right="80"/>
        <w:spacing w:after="0" w:line="12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1" w:lineRule="exact"/>
        <w:rPr>
          <w:sz w:val="24"/>
          <w:szCs w:val="24"/>
          <w:color w:val="auto"/>
        </w:rPr>
      </w:pPr>
    </w:p>
    <w:p>
      <w:pPr>
        <w:ind w:right="160"/>
        <w:spacing w:after="0" w:line="12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240"/>
        <w:spacing w:after="0" w:line="241"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144"/>
        </w:trPr>
        <w:tc>
          <w:tcPr>
            <w:tcW w:w="25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840" w:type="dxa"/>
            <w:vAlign w:val="bottom"/>
          </w:tcPr>
          <w:p>
            <w:pPr>
              <w:ind w:left="1500"/>
              <w:spacing w:after="0"/>
              <w:rPr>
                <w:sz w:val="20"/>
                <w:szCs w:val="20"/>
                <w:color w:val="auto"/>
              </w:rPr>
            </w:pPr>
            <w:r>
              <w:rPr>
                <w:rFonts w:ascii="Arial" w:cs="Arial" w:eastAsia="Arial" w:hAnsi="Arial"/>
                <w:sz w:val="11"/>
                <w:szCs w:val="11"/>
                <w:color w:val="auto"/>
              </w:rPr>
              <w:t>x</w:t>
            </w:r>
          </w:p>
        </w:tc>
        <w:tc>
          <w:tcPr>
            <w:tcW w:w="3860" w:type="dxa"/>
            <w:vAlign w:val="bottom"/>
          </w:tcPr>
          <w:p>
            <w:pPr>
              <w:ind w:left="1240"/>
              <w:spacing w:after="0"/>
              <w:rPr>
                <w:sz w:val="20"/>
                <w:szCs w:val="20"/>
                <w:color w:val="auto"/>
              </w:rPr>
            </w:pPr>
            <w:r>
              <w:rPr>
                <w:rFonts w:ascii="Arial" w:cs="Arial" w:eastAsia="Arial" w:hAnsi="Arial"/>
                <w:sz w:val="11"/>
                <w:szCs w:val="11"/>
                <w:color w:val="auto"/>
              </w:rPr>
              <w:t>Accelerated filer</w:t>
            </w:r>
          </w:p>
        </w:tc>
        <w:tc>
          <w:tcPr>
            <w:tcW w:w="1500" w:type="dxa"/>
            <w:vAlign w:val="bottom"/>
          </w:tcPr>
          <w:p>
            <w:pPr>
              <w:ind w:left="1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4"/>
        </w:trPr>
        <w:tc>
          <w:tcPr>
            <w:tcW w:w="2500" w:type="dxa"/>
            <w:vAlign w:val="bottom"/>
          </w:tcPr>
          <w:p>
            <w:pPr>
              <w:spacing w:after="0"/>
              <w:rPr>
                <w:sz w:val="20"/>
                <w:szCs w:val="20"/>
                <w:color w:val="auto"/>
              </w:rPr>
            </w:pPr>
            <w:r>
              <w:rPr>
                <w:rFonts w:ascii="Arial" w:cs="Arial" w:eastAsia="Arial" w:hAnsi="Arial"/>
                <w:sz w:val="11"/>
                <w:szCs w:val="11"/>
                <w:color w:val="auto"/>
              </w:rPr>
              <w:t>Non-accelerated filer</w:t>
            </w:r>
          </w:p>
        </w:tc>
        <w:tc>
          <w:tcPr>
            <w:tcW w:w="2840" w:type="dxa"/>
            <w:vAlign w:val="bottom"/>
          </w:tcPr>
          <w:p>
            <w:pPr>
              <w:ind w:left="1500"/>
              <w:spacing w:after="0" w:line="111" w:lineRule="exact"/>
              <w:rPr>
                <w:sz w:val="20"/>
                <w:szCs w:val="20"/>
                <w:color w:val="auto"/>
              </w:rPr>
            </w:pPr>
            <w:r>
              <w:rPr>
                <w:rFonts w:ascii="MS PGothic" w:cs="MS PGothic" w:eastAsia="MS PGothic" w:hAnsi="MS PGothic"/>
                <w:sz w:val="11"/>
                <w:szCs w:val="11"/>
                <w:color w:val="auto"/>
              </w:rPr>
              <w:t>☐</w:t>
            </w:r>
          </w:p>
        </w:tc>
        <w:tc>
          <w:tcPr>
            <w:tcW w:w="3860" w:type="dxa"/>
            <w:vAlign w:val="bottom"/>
          </w:tcPr>
          <w:p>
            <w:pPr>
              <w:ind w:left="1240"/>
              <w:spacing w:after="0"/>
              <w:rPr>
                <w:sz w:val="20"/>
                <w:szCs w:val="20"/>
                <w:color w:val="auto"/>
              </w:rPr>
            </w:pPr>
            <w:r>
              <w:rPr>
                <w:rFonts w:ascii="Arial" w:cs="Arial" w:eastAsia="Arial" w:hAnsi="Arial"/>
                <w:sz w:val="11"/>
                <w:szCs w:val="11"/>
                <w:color w:val="auto"/>
              </w:rPr>
              <w:t>Smaller reporting company</w:t>
            </w:r>
          </w:p>
        </w:tc>
        <w:tc>
          <w:tcPr>
            <w:tcW w:w="1500" w:type="dxa"/>
            <w:vAlign w:val="bottom"/>
          </w:tcPr>
          <w:p>
            <w:pPr>
              <w:ind w:left="1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2"/>
        </w:trPr>
        <w:tc>
          <w:tcPr>
            <w:tcW w:w="2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60" w:type="dxa"/>
            <w:vAlign w:val="bottom"/>
          </w:tcPr>
          <w:p>
            <w:pPr>
              <w:ind w:left="1240"/>
              <w:spacing w:after="0"/>
              <w:rPr>
                <w:sz w:val="20"/>
                <w:szCs w:val="20"/>
                <w:color w:val="auto"/>
              </w:rPr>
            </w:pPr>
            <w:r>
              <w:rPr>
                <w:rFonts w:ascii="Arial" w:cs="Arial" w:eastAsia="Arial" w:hAnsi="Arial"/>
                <w:sz w:val="11"/>
                <w:szCs w:val="11"/>
                <w:color w:val="auto"/>
              </w:rPr>
              <w:t>Emerging growth company</w:t>
            </w:r>
          </w:p>
        </w:tc>
        <w:tc>
          <w:tcPr>
            <w:tcW w:w="1500" w:type="dxa"/>
            <w:vAlign w:val="bottom"/>
          </w:tcPr>
          <w:p>
            <w:pPr>
              <w:ind w:left="14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84" w:lineRule="exact"/>
        <w:rPr>
          <w:sz w:val="24"/>
          <w:szCs w:val="24"/>
          <w:color w:val="auto"/>
        </w:rPr>
      </w:pPr>
    </w:p>
    <w:p>
      <w:pPr>
        <w:spacing w:after="0" w:line="127" w:lineRule="exact"/>
        <w:tabs>
          <w:tab w:leader="none" w:pos="5080" w:val="left"/>
          <w:tab w:leader="none" w:pos="5500" w:val="left"/>
        </w:tabs>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50" w:lineRule="exact"/>
        <w:rPr>
          <w:sz w:val="24"/>
          <w:szCs w:val="24"/>
          <w:color w:val="auto"/>
        </w:rPr>
      </w:pPr>
    </w:p>
    <w:p>
      <w:pPr>
        <w:ind w:left="620"/>
        <w:spacing w:after="0"/>
        <w:rPr>
          <w:sz w:val="20"/>
          <w:szCs w:val="20"/>
          <w:color w:val="auto"/>
        </w:rPr>
      </w:pPr>
      <w:r>
        <w:rPr>
          <w:rFonts w:ascii="Arial" w:cs="Arial" w:eastAsia="Arial" w:hAnsi="Arial"/>
          <w:sz w:val="11"/>
          <w:szCs w:val="11"/>
          <w:color w:val="auto"/>
        </w:rPr>
        <w:t>As of July 29, 2022, there were 64,221,212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550545</wp:posOffset>
            </wp:positionV>
            <wp:extent cx="71901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65405</wp:posOffset>
            </wp:positionV>
            <wp:extent cx="71513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6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85090</wp:posOffset>
            </wp:positionV>
            <wp:extent cx="71513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6350"/>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680" w:type="dxa"/>
            <w:vAlign w:val="bottom"/>
          </w:tcPr>
          <w:p>
            <w:pPr>
              <w:spacing w:after="0"/>
              <w:rPr>
                <w:sz w:val="15"/>
                <w:szCs w:val="15"/>
                <w:color w:val="auto"/>
              </w:rPr>
            </w:pPr>
          </w:p>
        </w:tc>
        <w:tc>
          <w:tcPr>
            <w:tcW w:w="10060" w:type="dxa"/>
            <w:vAlign w:val="bottom"/>
          </w:tcPr>
          <w:p>
            <w:pPr>
              <w:ind w:left="4220"/>
              <w:spacing w:after="0"/>
              <w:rPr>
                <w:sz w:val="20"/>
                <w:szCs w:val="20"/>
                <w:color w:val="auto"/>
              </w:rPr>
            </w:pPr>
            <w:r>
              <w:rPr>
                <w:rFonts w:ascii="Arial" w:cs="Arial" w:eastAsia="Arial" w:hAnsi="Arial"/>
                <w:sz w:val="14"/>
                <w:szCs w:val="14"/>
                <w:b w:val="1"/>
                <w:bCs w:val="1"/>
                <w:color w:val="auto"/>
              </w:rPr>
              <w:t>TABLE OF CONTENTS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4"/>
        </w:trPr>
        <w:tc>
          <w:tcPr>
            <w:tcW w:w="680" w:type="dxa"/>
            <w:vAlign w:val="bottom"/>
          </w:tcPr>
          <w:p>
            <w:pPr>
              <w:spacing w:after="0"/>
              <w:rPr>
                <w:sz w:val="8"/>
                <w:szCs w:val="8"/>
                <w:color w:val="auto"/>
              </w:rPr>
            </w:pPr>
          </w:p>
        </w:tc>
        <w:tc>
          <w:tcPr>
            <w:tcW w:w="10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55"/>
        </w:trPr>
        <w:tc>
          <w:tcPr>
            <w:tcW w:w="680" w:type="dxa"/>
            <w:vAlign w:val="bottom"/>
            <w:tcBorders>
              <w:bottom w:val="single" w:sz="8" w:color="CCEEFF"/>
            </w:tcBorders>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Part I</w:t>
            </w:r>
          </w:p>
        </w:tc>
        <w:tc>
          <w:tcPr>
            <w:tcW w:w="10060" w:type="dxa"/>
            <w:vAlign w:val="bottom"/>
            <w:tcBorders>
              <w:bottom w:val="single" w:sz="8" w:color="CCEEFF"/>
            </w:tcBorders>
            <w:shd w:val="clear" w:color="auto" w:fill="CCEEFF"/>
          </w:tcPr>
          <w:p>
            <w:pPr>
              <w:ind w:left="220"/>
              <w:spacing w:after="0" w:line="145" w:lineRule="exact"/>
              <w:rPr>
                <w:sz w:val="20"/>
                <w:szCs w:val="20"/>
                <w:color w:val="auto"/>
              </w:rPr>
            </w:pPr>
            <w:r>
              <w:rPr>
                <w:rFonts w:ascii="Arial" w:cs="Arial" w:eastAsia="Arial" w:hAnsi="Arial"/>
                <w:sz w:val="14"/>
                <w:szCs w:val="14"/>
                <w:color w:val="auto"/>
              </w:rPr>
              <w:t>Financial Information</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45" w:lineRule="exact"/>
              <w:rPr>
                <w:rFonts w:ascii="Arial" w:cs="Arial" w:eastAsia="Arial" w:hAnsi="Arial"/>
                <w:sz w:val="14"/>
                <w:szCs w:val="14"/>
                <w:color w:val="0000FF"/>
              </w:rPr>
            </w:pPr>
            <w:hyperlink w:anchor="page2">
              <w:r>
                <w:rPr>
                  <w:rFonts w:ascii="Arial" w:cs="Arial" w:eastAsia="Arial" w:hAnsi="Arial"/>
                  <w:sz w:val="14"/>
                  <w:szCs w:val="14"/>
                  <w:color w:val="0000FF"/>
                </w:rPr>
                <w:t>1</w:t>
              </w:r>
            </w:hyperlink>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ind w:left="20"/>
              <w:spacing w:after="0" w:line="145" w:lineRule="exact"/>
              <w:rPr>
                <w:sz w:val="20"/>
                <w:szCs w:val="20"/>
                <w:color w:val="auto"/>
              </w:rPr>
            </w:pPr>
            <w:r>
              <w:rPr>
                <w:rFonts w:ascii="Arial" w:cs="Arial" w:eastAsia="Arial" w:hAnsi="Arial"/>
                <w:sz w:val="14"/>
                <w:szCs w:val="14"/>
                <w:color w:val="auto"/>
              </w:rPr>
              <w:t>Item 1</w:t>
            </w: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Financial Statements</w:t>
            </w:r>
          </w:p>
        </w:tc>
        <w:tc>
          <w:tcPr>
            <w:tcW w:w="2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5" w:lineRule="exact"/>
              <w:rPr>
                <w:rFonts w:ascii="Arial" w:cs="Arial" w:eastAsia="Arial" w:hAnsi="Arial"/>
                <w:sz w:val="14"/>
                <w:szCs w:val="14"/>
                <w:color w:val="0000FF"/>
              </w:rPr>
            </w:pPr>
            <w:hyperlink w:anchor="page3">
              <w:r>
                <w:rPr>
                  <w:rFonts w:ascii="Arial" w:cs="Arial" w:eastAsia="Arial" w:hAnsi="Arial"/>
                  <w:sz w:val="14"/>
                  <w:szCs w:val="14"/>
                  <w:color w:val="0000FF"/>
                </w:rPr>
                <w:t>1</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spacing w:after="0"/>
              <w:rPr>
                <w:sz w:val="13"/>
                <w:szCs w:val="13"/>
                <w:color w:val="auto"/>
              </w:rPr>
            </w:pP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Condensed Consolidated Balance Sheets at June 30, 2022 (Unaudited) and December 31, 2021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50" w:lineRule="exact"/>
              <w:rPr>
                <w:rFonts w:ascii="Arial" w:cs="Arial" w:eastAsia="Arial" w:hAnsi="Arial"/>
                <w:sz w:val="14"/>
                <w:szCs w:val="14"/>
                <w:color w:val="0000FF"/>
              </w:rPr>
            </w:pPr>
            <w:hyperlink w:anchor="page3">
              <w:r>
                <w:rPr>
                  <w:rFonts w:ascii="Arial" w:cs="Arial" w:eastAsia="Arial" w:hAnsi="Arial"/>
                  <w:sz w:val="14"/>
                  <w:szCs w:val="14"/>
                  <w:color w:val="0000FF"/>
                </w:rPr>
                <w:t>1</w:t>
              </w:r>
            </w:hyperlink>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spacing w:after="0"/>
              <w:rPr>
                <w:sz w:val="13"/>
                <w:szCs w:val="13"/>
                <w:color w:val="auto"/>
              </w:rPr>
            </w:pP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w w:val="97"/>
              </w:rPr>
              <w:t>Condensed Consolidated Statements of Operations and Comprehensive Income (Loss) for the Three and Six Months Ended June 30, 2022 and 2021 (Unaudited)</w:t>
            </w:r>
          </w:p>
        </w:tc>
        <w:tc>
          <w:tcPr>
            <w:tcW w:w="2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5" w:lineRule="exact"/>
              <w:rPr>
                <w:rFonts w:ascii="Arial" w:cs="Arial" w:eastAsia="Arial" w:hAnsi="Arial"/>
                <w:sz w:val="14"/>
                <w:szCs w:val="14"/>
                <w:color w:val="0000FF"/>
              </w:rPr>
            </w:pPr>
            <w:hyperlink w:anchor="page3">
              <w:r>
                <w:rPr>
                  <w:rFonts w:ascii="Arial" w:cs="Arial" w:eastAsia="Arial" w:hAnsi="Arial"/>
                  <w:sz w:val="14"/>
                  <w:szCs w:val="14"/>
                  <w:color w:val="0000FF"/>
                </w:rPr>
                <w:t>2</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spacing w:after="0"/>
              <w:rPr>
                <w:sz w:val="13"/>
                <w:szCs w:val="13"/>
                <w:color w:val="auto"/>
              </w:rPr>
            </w:pP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Condensed Consolidated Statements of Stockholders’ Equity for the Three and Six Months Ended June 30, 2022 and 2021 (Unaudited)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50" w:lineRule="exact"/>
              <w:rPr>
                <w:rFonts w:ascii="Arial" w:cs="Arial" w:eastAsia="Arial" w:hAnsi="Arial"/>
                <w:sz w:val="14"/>
                <w:szCs w:val="14"/>
                <w:color w:val="0000FF"/>
              </w:rPr>
            </w:pPr>
            <w:hyperlink w:anchor="page4">
              <w:r>
                <w:rPr>
                  <w:rFonts w:ascii="Arial" w:cs="Arial" w:eastAsia="Arial" w:hAnsi="Arial"/>
                  <w:sz w:val="14"/>
                  <w:szCs w:val="14"/>
                  <w:color w:val="0000FF"/>
                </w:rPr>
                <w:t>3</w:t>
              </w:r>
            </w:hyperlink>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spacing w:after="0"/>
              <w:rPr>
                <w:sz w:val="13"/>
                <w:szCs w:val="13"/>
                <w:color w:val="auto"/>
              </w:rPr>
            </w:pP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Condensed Consolidated Statements of Cash Flows for the Six Months Ended June 30, 2022 and 2021 (Unaudited)</w:t>
            </w:r>
          </w:p>
        </w:tc>
        <w:tc>
          <w:tcPr>
            <w:tcW w:w="2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5" w:lineRule="exact"/>
              <w:rPr>
                <w:rFonts w:ascii="Arial" w:cs="Arial" w:eastAsia="Arial" w:hAnsi="Arial"/>
                <w:sz w:val="14"/>
                <w:szCs w:val="14"/>
                <w:color w:val="0000FF"/>
              </w:rPr>
            </w:pPr>
            <w:hyperlink w:anchor="page6">
              <w:r>
                <w:rPr>
                  <w:rFonts w:ascii="Arial" w:cs="Arial" w:eastAsia="Arial" w:hAnsi="Arial"/>
                  <w:sz w:val="14"/>
                  <w:szCs w:val="14"/>
                  <w:color w:val="0000FF"/>
                </w:rPr>
                <w:t>5</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spacing w:after="0"/>
              <w:rPr>
                <w:sz w:val="13"/>
                <w:szCs w:val="13"/>
                <w:color w:val="auto"/>
              </w:rPr>
            </w:pP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Notes to Unaudited Condensed Consolidated Financial Statements</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50" w:lineRule="exact"/>
              <w:rPr>
                <w:rFonts w:ascii="Arial" w:cs="Arial" w:eastAsia="Arial" w:hAnsi="Arial"/>
                <w:sz w:val="14"/>
                <w:szCs w:val="14"/>
                <w:color w:val="0000FF"/>
              </w:rPr>
            </w:pPr>
            <w:hyperlink w:anchor="page8">
              <w:r>
                <w:rPr>
                  <w:rFonts w:ascii="Arial" w:cs="Arial" w:eastAsia="Arial" w:hAnsi="Arial"/>
                  <w:sz w:val="14"/>
                  <w:szCs w:val="14"/>
                  <w:color w:val="0000FF"/>
                </w:rPr>
                <w:t>6</w:t>
              </w:r>
            </w:hyperlink>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ind w:left="20"/>
              <w:spacing w:after="0" w:line="145" w:lineRule="exact"/>
              <w:rPr>
                <w:sz w:val="20"/>
                <w:szCs w:val="20"/>
                <w:color w:val="auto"/>
              </w:rPr>
            </w:pPr>
            <w:r>
              <w:rPr>
                <w:rFonts w:ascii="Arial" w:cs="Arial" w:eastAsia="Arial" w:hAnsi="Arial"/>
                <w:sz w:val="14"/>
                <w:szCs w:val="14"/>
                <w:color w:val="auto"/>
              </w:rPr>
              <w:t>Item 2</w:t>
            </w: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120" w:type="dxa"/>
            <w:vAlign w:val="bottom"/>
            <w:tcBorders>
              <w:bottom w:val="single" w:sz="8" w:color="0000FF"/>
            </w:tcBorders>
            <w:gridSpan w:val="3"/>
          </w:tcPr>
          <w:p>
            <w:pPr>
              <w:jc w:val="center"/>
              <w:spacing w:after="0" w:line="14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24</w:t>
              </w:r>
            </w:hyperlink>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Item 3</w:t>
            </w: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Quantitative and Qualitative Disclosures About Market Risk</w:t>
            </w:r>
          </w:p>
        </w:tc>
        <w:tc>
          <w:tcPr>
            <w:tcW w:w="120" w:type="dxa"/>
            <w:vAlign w:val="bottom"/>
            <w:tcBorders>
              <w:bottom w:val="single" w:sz="8" w:color="0000FF"/>
            </w:tcBorders>
            <w:gridSpan w:val="3"/>
            <w:shd w:val="clear" w:color="auto" w:fill="CCEEFF"/>
          </w:tcPr>
          <w:p>
            <w:pPr>
              <w:jc w:val="center"/>
              <w:spacing w:after="0" w:line="150" w:lineRule="exact"/>
              <w:rPr>
                <w:rFonts w:ascii="Arial" w:cs="Arial" w:eastAsia="Arial" w:hAnsi="Arial"/>
                <w:sz w:val="14"/>
                <w:szCs w:val="14"/>
                <w:color w:val="0000FF"/>
                <w:w w:val="76"/>
              </w:rPr>
            </w:pPr>
            <w:hyperlink w:anchor="page42">
              <w:r>
                <w:rPr>
                  <w:rFonts w:ascii="Arial" w:cs="Arial" w:eastAsia="Arial" w:hAnsi="Arial"/>
                  <w:sz w:val="14"/>
                  <w:szCs w:val="14"/>
                  <w:color w:val="0000FF"/>
                  <w:w w:val="76"/>
                </w:rPr>
                <w:t>41</w:t>
              </w:r>
            </w:hyperlink>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ind w:left="20"/>
              <w:spacing w:after="0" w:line="145" w:lineRule="exact"/>
              <w:rPr>
                <w:sz w:val="20"/>
                <w:szCs w:val="20"/>
                <w:color w:val="auto"/>
              </w:rPr>
            </w:pPr>
            <w:r>
              <w:rPr>
                <w:rFonts w:ascii="Arial" w:cs="Arial" w:eastAsia="Arial" w:hAnsi="Arial"/>
                <w:sz w:val="14"/>
                <w:szCs w:val="14"/>
                <w:color w:val="auto"/>
              </w:rPr>
              <w:t>Item 4</w:t>
            </w: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Controls and Procedures</w:t>
            </w:r>
          </w:p>
        </w:tc>
        <w:tc>
          <w:tcPr>
            <w:tcW w:w="120" w:type="dxa"/>
            <w:vAlign w:val="bottom"/>
            <w:tcBorders>
              <w:bottom w:val="single" w:sz="8" w:color="0000FF"/>
            </w:tcBorders>
            <w:gridSpan w:val="3"/>
          </w:tcPr>
          <w:p>
            <w:pPr>
              <w:jc w:val="center"/>
              <w:spacing w:after="0" w:line="145" w:lineRule="exact"/>
              <w:rPr>
                <w:rFonts w:ascii="Arial" w:cs="Arial" w:eastAsia="Arial" w:hAnsi="Arial"/>
                <w:sz w:val="14"/>
                <w:szCs w:val="14"/>
                <w:color w:val="0000FF"/>
                <w:w w:val="76"/>
              </w:rPr>
            </w:pPr>
            <w:hyperlink w:anchor="page43">
              <w:r>
                <w:rPr>
                  <w:rFonts w:ascii="Arial" w:cs="Arial" w:eastAsia="Arial" w:hAnsi="Arial"/>
                  <w:sz w:val="14"/>
                  <w:szCs w:val="14"/>
                  <w:color w:val="0000FF"/>
                  <w:w w:val="76"/>
                </w:rPr>
                <w:t>41</w:t>
              </w:r>
            </w:hyperlink>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2"/>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50"/>
        </w:trPr>
        <w:tc>
          <w:tcPr>
            <w:tcW w:w="68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Part II</w:t>
            </w: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Other Information</w:t>
            </w:r>
          </w:p>
        </w:tc>
        <w:tc>
          <w:tcPr>
            <w:tcW w:w="120" w:type="dxa"/>
            <w:vAlign w:val="bottom"/>
            <w:tcBorders>
              <w:bottom w:val="single" w:sz="8" w:color="0000FF"/>
            </w:tcBorders>
            <w:gridSpan w:val="3"/>
          </w:tcPr>
          <w:p>
            <w:pPr>
              <w:jc w:val="center"/>
              <w:spacing w:after="0" w:line="145" w:lineRule="exact"/>
              <w:rPr>
                <w:rFonts w:ascii="Arial" w:cs="Arial" w:eastAsia="Arial" w:hAnsi="Arial"/>
                <w:sz w:val="14"/>
                <w:szCs w:val="14"/>
                <w:color w:val="0000FF"/>
                <w:w w:val="76"/>
              </w:rPr>
            </w:pPr>
            <w:hyperlink w:anchor="page44">
              <w:r>
                <w:rPr>
                  <w:rFonts w:ascii="Arial" w:cs="Arial" w:eastAsia="Arial" w:hAnsi="Arial"/>
                  <w:sz w:val="14"/>
                  <w:szCs w:val="14"/>
                  <w:color w:val="0000FF"/>
                  <w:w w:val="76"/>
                </w:rPr>
                <w:t>43</w:t>
              </w:r>
            </w:hyperlink>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Item 1</w:t>
            </w: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Legal Proceedings</w:t>
            </w:r>
          </w:p>
        </w:tc>
        <w:tc>
          <w:tcPr>
            <w:tcW w:w="120" w:type="dxa"/>
            <w:vAlign w:val="bottom"/>
            <w:tcBorders>
              <w:bottom w:val="single" w:sz="8" w:color="0000FF"/>
            </w:tcBorders>
            <w:gridSpan w:val="3"/>
            <w:shd w:val="clear" w:color="auto" w:fill="CCEEFF"/>
          </w:tcPr>
          <w:p>
            <w:pPr>
              <w:jc w:val="center"/>
              <w:spacing w:after="0" w:line="150" w:lineRule="exact"/>
              <w:rPr>
                <w:rFonts w:ascii="Arial" w:cs="Arial" w:eastAsia="Arial" w:hAnsi="Arial"/>
                <w:sz w:val="14"/>
                <w:szCs w:val="14"/>
                <w:color w:val="0000FF"/>
                <w:w w:val="76"/>
              </w:rPr>
            </w:pPr>
            <w:hyperlink w:anchor="page45">
              <w:r>
                <w:rPr>
                  <w:rFonts w:ascii="Arial" w:cs="Arial" w:eastAsia="Arial" w:hAnsi="Arial"/>
                  <w:sz w:val="14"/>
                  <w:szCs w:val="14"/>
                  <w:color w:val="0000FF"/>
                  <w:w w:val="76"/>
                </w:rPr>
                <w:t>43</w:t>
              </w:r>
            </w:hyperlink>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680" w:type="dxa"/>
            <w:vAlign w:val="bottom"/>
          </w:tcPr>
          <w:p>
            <w:pPr>
              <w:ind w:left="20"/>
              <w:spacing w:after="0" w:line="145" w:lineRule="exact"/>
              <w:rPr>
                <w:sz w:val="20"/>
                <w:szCs w:val="20"/>
                <w:color w:val="auto"/>
              </w:rPr>
            </w:pPr>
            <w:r>
              <w:rPr>
                <w:rFonts w:ascii="Arial" w:cs="Arial" w:eastAsia="Arial" w:hAnsi="Arial"/>
                <w:sz w:val="14"/>
                <w:szCs w:val="14"/>
                <w:color w:val="auto"/>
              </w:rPr>
              <w:t>Item 1A</w:t>
            </w:r>
          </w:p>
        </w:tc>
        <w:tc>
          <w:tcPr>
            <w:tcW w:w="10060" w:type="dxa"/>
            <w:vAlign w:val="bottom"/>
          </w:tcPr>
          <w:p>
            <w:pPr>
              <w:ind w:left="220"/>
              <w:spacing w:after="0" w:line="145" w:lineRule="exact"/>
              <w:rPr>
                <w:sz w:val="20"/>
                <w:szCs w:val="20"/>
                <w:color w:val="auto"/>
              </w:rPr>
            </w:pPr>
            <w:r>
              <w:rPr>
                <w:rFonts w:ascii="Arial" w:cs="Arial" w:eastAsia="Arial" w:hAnsi="Arial"/>
                <w:sz w:val="14"/>
                <w:szCs w:val="14"/>
                <w:color w:val="auto"/>
              </w:rPr>
              <w:t>Risk Factors</w:t>
            </w:r>
          </w:p>
        </w:tc>
        <w:tc>
          <w:tcPr>
            <w:tcW w:w="120" w:type="dxa"/>
            <w:vAlign w:val="bottom"/>
            <w:tcBorders>
              <w:bottom w:val="single" w:sz="8" w:color="0000FF"/>
            </w:tcBorders>
            <w:gridSpan w:val="3"/>
          </w:tcPr>
          <w:p>
            <w:pPr>
              <w:jc w:val="center"/>
              <w:spacing w:after="0" w:line="145" w:lineRule="exact"/>
              <w:rPr>
                <w:rFonts w:ascii="Arial" w:cs="Arial" w:eastAsia="Arial" w:hAnsi="Arial"/>
                <w:sz w:val="14"/>
                <w:szCs w:val="14"/>
                <w:color w:val="0000FF"/>
                <w:w w:val="76"/>
              </w:rPr>
            </w:pPr>
            <w:hyperlink w:anchor="page45">
              <w:r>
                <w:rPr>
                  <w:rFonts w:ascii="Arial" w:cs="Arial" w:eastAsia="Arial" w:hAnsi="Arial"/>
                  <w:sz w:val="14"/>
                  <w:szCs w:val="14"/>
                  <w:color w:val="0000FF"/>
                  <w:w w:val="76"/>
                </w:rPr>
                <w:t>43</w:t>
              </w:r>
            </w:hyperlink>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68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Item 6</w:t>
            </w:r>
          </w:p>
        </w:tc>
        <w:tc>
          <w:tcPr>
            <w:tcW w:w="10060" w:type="dxa"/>
            <w:vAlign w:val="bottom"/>
            <w:tcBorders>
              <w:bottom w:val="single" w:sz="8" w:color="CCEEFF"/>
            </w:tcBorders>
            <w:shd w:val="clear" w:color="auto" w:fill="CCEEFF"/>
          </w:tcPr>
          <w:p>
            <w:pPr>
              <w:ind w:left="220"/>
              <w:spacing w:after="0" w:line="150" w:lineRule="exact"/>
              <w:rPr>
                <w:sz w:val="20"/>
                <w:szCs w:val="20"/>
                <w:color w:val="auto"/>
              </w:rPr>
            </w:pPr>
            <w:r>
              <w:rPr>
                <w:rFonts w:ascii="Arial" w:cs="Arial" w:eastAsia="Arial" w:hAnsi="Arial"/>
                <w:sz w:val="14"/>
                <w:szCs w:val="14"/>
                <w:color w:val="auto"/>
              </w:rPr>
              <w:t>Exhibits</w:t>
            </w:r>
          </w:p>
        </w:tc>
        <w:tc>
          <w:tcPr>
            <w:tcW w:w="120" w:type="dxa"/>
            <w:vAlign w:val="bottom"/>
            <w:tcBorders>
              <w:bottom w:val="single" w:sz="8" w:color="0000FF"/>
            </w:tcBorders>
            <w:gridSpan w:val="3"/>
            <w:shd w:val="clear" w:color="auto" w:fill="CCEEFF"/>
          </w:tcPr>
          <w:p>
            <w:pPr>
              <w:jc w:val="center"/>
              <w:spacing w:after="0" w:line="150" w:lineRule="exact"/>
              <w:rPr>
                <w:rFonts w:ascii="Arial" w:cs="Arial" w:eastAsia="Arial" w:hAnsi="Arial"/>
                <w:sz w:val="14"/>
                <w:szCs w:val="14"/>
                <w:color w:val="0000FF"/>
                <w:w w:val="76"/>
              </w:rPr>
            </w:pPr>
            <w:hyperlink w:anchor="page81">
              <w:r>
                <w:rPr>
                  <w:rFonts w:ascii="Arial" w:cs="Arial" w:eastAsia="Arial" w:hAnsi="Arial"/>
                  <w:sz w:val="14"/>
                  <w:szCs w:val="14"/>
                  <w:color w:val="0000FF"/>
                  <w:w w:val="76"/>
                </w:rPr>
                <w:t>80</w:t>
              </w:r>
            </w:hyperlink>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455"/>
        </w:trPr>
        <w:tc>
          <w:tcPr>
            <w:tcW w:w="6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7600" w:type="dxa"/>
            <w:vAlign w:val="bottom"/>
          </w:tcPr>
          <w:p>
            <w:pPr>
              <w:jc w:val="center"/>
              <w:ind w:left="2591"/>
              <w:spacing w:after="0"/>
              <w:rPr>
                <w:sz w:val="20"/>
                <w:szCs w:val="20"/>
                <w:color w:val="auto"/>
              </w:rPr>
            </w:pPr>
            <w:r>
              <w:rPr>
                <w:rFonts w:ascii="Arial" w:cs="Arial" w:eastAsia="Arial" w:hAnsi="Arial"/>
                <w:sz w:val="14"/>
                <w:szCs w:val="14"/>
                <w:b w:val="1"/>
                <w:bCs w:val="1"/>
                <w:color w:val="auto"/>
              </w:rPr>
              <w:t>PART I. FINANCIAL INFORMATION</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600" w:type="dxa"/>
            <w:vAlign w:val="bottom"/>
          </w:tcPr>
          <w:p>
            <w:pPr>
              <w:ind w:left="100"/>
              <w:spacing w:after="0"/>
              <w:rPr>
                <w:sz w:val="20"/>
                <w:szCs w:val="20"/>
                <w:color w:val="auto"/>
              </w:rPr>
            </w:pPr>
            <w:r>
              <w:rPr>
                <w:rFonts w:ascii="Arial" w:cs="Arial" w:eastAsia="Arial" w:hAnsi="Arial"/>
                <w:sz w:val="14"/>
                <w:szCs w:val="14"/>
                <w:b w:val="1"/>
                <w:bCs w:val="1"/>
                <w:color w:val="auto"/>
              </w:rPr>
              <w:t>Financial Statements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20" w:type="dxa"/>
            <w:vAlign w:val="bottom"/>
          </w:tcPr>
          <w:p>
            <w:pPr>
              <w:spacing w:after="0"/>
              <w:rPr>
                <w:sz w:val="24"/>
                <w:szCs w:val="24"/>
                <w:color w:val="auto"/>
              </w:rPr>
            </w:pPr>
          </w:p>
        </w:tc>
        <w:tc>
          <w:tcPr>
            <w:tcW w:w="7600" w:type="dxa"/>
            <w:vAlign w:val="bottom"/>
          </w:tcPr>
          <w:p>
            <w:pPr>
              <w:jc w:val="center"/>
              <w:ind w:left="2571"/>
              <w:spacing w:after="0"/>
              <w:rPr>
                <w:sz w:val="20"/>
                <w:szCs w:val="20"/>
                <w:color w:val="auto"/>
              </w:rPr>
            </w:pPr>
            <w:r>
              <w:rPr>
                <w:rFonts w:ascii="Arial" w:cs="Arial" w:eastAsia="Arial" w:hAnsi="Arial"/>
                <w:sz w:val="14"/>
                <w:szCs w:val="14"/>
                <w:b w:val="1"/>
                <w:bCs w:val="1"/>
                <w:color w:val="auto"/>
                <w:w w:val="99"/>
              </w:rPr>
              <w:t>TANDEM DIABETES CARE, INC.</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7600" w:type="dxa"/>
            <w:vAlign w:val="bottom"/>
          </w:tcPr>
          <w:p>
            <w:pPr>
              <w:jc w:val="center"/>
              <w:ind w:left="2571"/>
              <w:spacing w:after="0"/>
              <w:rPr>
                <w:sz w:val="20"/>
                <w:szCs w:val="20"/>
                <w:color w:val="auto"/>
              </w:rPr>
            </w:pPr>
            <w:r>
              <w:rPr>
                <w:rFonts w:ascii="Arial" w:cs="Arial" w:eastAsia="Arial" w:hAnsi="Arial"/>
                <w:sz w:val="14"/>
                <w:szCs w:val="14"/>
                <w:b w:val="1"/>
                <w:bCs w:val="1"/>
                <w:color w:val="auto"/>
                <w:w w:val="97"/>
              </w:rPr>
              <w:t>CONDENSED CONSOLIDATED BALANCE SHEETS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7600" w:type="dxa"/>
            <w:vAlign w:val="bottom"/>
          </w:tcPr>
          <w:p>
            <w:pPr>
              <w:jc w:val="center"/>
              <w:ind w:left="2571"/>
              <w:spacing w:after="0"/>
              <w:rPr>
                <w:sz w:val="20"/>
                <w:szCs w:val="20"/>
                <w:color w:val="auto"/>
              </w:rPr>
            </w:pPr>
            <w:r>
              <w:rPr>
                <w:rFonts w:ascii="Arial" w:cs="Arial" w:eastAsia="Arial" w:hAnsi="Arial"/>
                <w:sz w:val="14"/>
                <w:szCs w:val="14"/>
                <w:b w:val="1"/>
                <w:bCs w:val="1"/>
                <w:color w:val="auto"/>
                <w:w w:val="87"/>
              </w:rPr>
              <w:t>(In thousands, except par value)</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June 30,</w:t>
            </w:r>
          </w:p>
        </w:tc>
        <w:tc>
          <w:tcPr>
            <w:tcW w:w="280" w:type="dxa"/>
            <w:vAlign w:val="bottom"/>
          </w:tcPr>
          <w:p>
            <w:pPr>
              <w:spacing w:after="0"/>
              <w:rPr>
                <w:sz w:val="24"/>
                <w:szCs w:val="24"/>
                <w:color w:val="auto"/>
              </w:rPr>
            </w:pPr>
          </w:p>
        </w:tc>
        <w:tc>
          <w:tcPr>
            <w:tcW w:w="1260" w:type="dxa"/>
            <w:vAlign w:val="bottom"/>
          </w:tcPr>
          <w:p>
            <w:pPr>
              <w:jc w:val="center"/>
              <w:ind w:right="193"/>
              <w:spacing w:after="0"/>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49"/>
        </w:trPr>
        <w:tc>
          <w:tcPr>
            <w:tcW w:w="520" w:type="dxa"/>
            <w:vAlign w:val="bottom"/>
            <w:tcBorders>
              <w:bottom w:val="single" w:sz="8" w:color="CCEEFF"/>
            </w:tcBorders>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33"/>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Assets</w:t>
            </w:r>
          </w:p>
        </w:tc>
        <w:tc>
          <w:tcPr>
            <w:tcW w:w="7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1"/>
                <w:szCs w:val="11"/>
                <w:b w:val="1"/>
                <w:bCs w:val="1"/>
                <w:color w:val="auto"/>
                <w:w w:val="94"/>
              </w:rPr>
              <w:t>(Unaudited)</w:t>
            </w: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jc w:val="center"/>
              <w:ind w:right="213"/>
              <w:spacing w:after="0"/>
              <w:rPr>
                <w:sz w:val="20"/>
                <w:szCs w:val="20"/>
                <w:color w:val="auto"/>
              </w:rPr>
            </w:pPr>
            <w:r>
              <w:rPr>
                <w:rFonts w:ascii="Arial" w:cs="Arial" w:eastAsia="Arial" w:hAnsi="Arial"/>
                <w:sz w:val="11"/>
                <w:szCs w:val="11"/>
                <w:b w:val="1"/>
                <w:bCs w:val="1"/>
                <w:color w:val="auto"/>
                <w:w w:val="92"/>
              </w:rPr>
              <w:t>(Note 1)</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71,181</w:t>
            </w:r>
          </w:p>
        </w:tc>
        <w:tc>
          <w:tcPr>
            <w:tcW w:w="0" w:type="dxa"/>
            <w:vAlign w:val="bottom"/>
          </w:tcPr>
          <w:p>
            <w:pPr>
              <w:spacing w:after="0"/>
              <w:rPr>
                <w:sz w:val="1"/>
                <w:szCs w:val="1"/>
                <w:color w:val="auto"/>
              </w:rPr>
            </w:pPr>
          </w:p>
        </w:tc>
      </w:tr>
      <w:tr>
        <w:trPr>
          <w:trHeight w:val="175"/>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520,365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552,630</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110,725</w:t>
            </w:r>
          </w:p>
        </w:tc>
        <w:tc>
          <w:tcPr>
            <w:tcW w:w="0" w:type="dxa"/>
            <w:vAlign w:val="bottom"/>
          </w:tcPr>
          <w:p>
            <w:pPr>
              <w:spacing w:after="0"/>
              <w:rPr>
                <w:sz w:val="1"/>
                <w:szCs w:val="1"/>
                <w:color w:val="auto"/>
              </w:rPr>
            </w:pPr>
          </w:p>
        </w:tc>
      </w:tr>
      <w:tr>
        <w:trPr>
          <w:trHeight w:val="175"/>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88,098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68,551</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and other 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8,433</w:t>
            </w:r>
          </w:p>
        </w:tc>
        <w:tc>
          <w:tcPr>
            <w:tcW w:w="0" w:type="dxa"/>
            <w:vAlign w:val="bottom"/>
          </w:tcPr>
          <w:p>
            <w:pPr>
              <w:spacing w:after="0"/>
              <w:rPr>
                <w:sz w:val="1"/>
                <w:szCs w:val="1"/>
                <w:color w:val="auto"/>
              </w:rPr>
            </w:pPr>
          </w:p>
        </w:tc>
      </w:tr>
      <w:tr>
        <w:trPr>
          <w:trHeight w:val="16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835,044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811,520</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50,386</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126,672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27,503</w:t>
            </w:r>
          </w:p>
        </w:tc>
        <w:tc>
          <w:tcPr>
            <w:tcW w:w="0" w:type="dxa"/>
            <w:vAlign w:val="bottom"/>
          </w:tcPr>
          <w:p>
            <w:pPr>
              <w:spacing w:after="0"/>
              <w:rPr>
                <w:sz w:val="1"/>
                <w:szCs w:val="1"/>
                <w:color w:val="auto"/>
              </w:rPr>
            </w:pPr>
          </w:p>
        </w:tc>
      </w:tr>
      <w:tr>
        <w:trPr>
          <w:trHeight w:val="175"/>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0" w:type="dxa"/>
            <w:vAlign w:val="bottom"/>
          </w:tcPr>
          <w:p>
            <w:pPr>
              <w:spacing w:after="0"/>
              <w:rPr>
                <w:sz w:val="1"/>
                <w:szCs w:val="1"/>
                <w:color w:val="auto"/>
              </w:rPr>
            </w:pPr>
          </w:p>
        </w:tc>
      </w:tr>
      <w:tr>
        <w:trPr>
          <w:trHeight w:val="166"/>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1,036,575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905,137</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28,032</w:t>
            </w:r>
          </w:p>
        </w:tc>
        <w:tc>
          <w:tcPr>
            <w:tcW w:w="0" w:type="dxa"/>
            <w:vAlign w:val="bottom"/>
          </w:tcPr>
          <w:p>
            <w:pPr>
              <w:spacing w:after="0"/>
              <w:rPr>
                <w:sz w:val="1"/>
                <w:szCs w:val="1"/>
                <w:color w:val="auto"/>
              </w:rPr>
            </w:pPr>
          </w:p>
        </w:tc>
      </w:tr>
      <w:tr>
        <w:trPr>
          <w:trHeight w:val="175"/>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9,419</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Employee-related liabilities</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51,556</w:t>
            </w:r>
          </w:p>
        </w:tc>
        <w:tc>
          <w:tcPr>
            <w:tcW w:w="0" w:type="dxa"/>
            <w:vAlign w:val="bottom"/>
          </w:tcPr>
          <w:p>
            <w:pPr>
              <w:spacing w:after="0"/>
              <w:rPr>
                <w:sz w:val="1"/>
                <w:szCs w:val="1"/>
                <w:color w:val="auto"/>
              </w:rPr>
            </w:pPr>
          </w:p>
        </w:tc>
      </w:tr>
      <w:tr>
        <w:trPr>
          <w:trHeight w:val="175"/>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10,182</w:t>
            </w:r>
          </w:p>
        </w:tc>
        <w:tc>
          <w:tcPr>
            <w:tcW w:w="0" w:type="dxa"/>
            <w:vAlign w:val="bottom"/>
          </w:tcPr>
          <w:p>
            <w:pPr>
              <w:spacing w:after="0"/>
              <w:rPr>
                <w:sz w:val="1"/>
                <w:szCs w:val="1"/>
                <w:color w:val="auto"/>
              </w:rPr>
            </w:pPr>
          </w:p>
        </w:tc>
      </w:tr>
      <w:tr>
        <w:trPr>
          <w:trHeight w:val="175"/>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23,388</w:t>
            </w:r>
          </w:p>
        </w:tc>
        <w:tc>
          <w:tcPr>
            <w:tcW w:w="0" w:type="dxa"/>
            <w:vAlign w:val="bottom"/>
          </w:tcPr>
          <w:p>
            <w:pPr>
              <w:spacing w:after="0"/>
              <w:rPr>
                <w:sz w:val="1"/>
                <w:szCs w:val="1"/>
                <w:color w:val="auto"/>
              </w:rPr>
            </w:pPr>
          </w:p>
        </w:tc>
      </w:tr>
      <w:tr>
        <w:trPr>
          <w:trHeight w:val="16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131,856</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Convertible senior notes, net - long-term</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282,345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281,467</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 - long-term</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129,802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23,922</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Deferred revenue - long-term</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18,343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16,940</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17,840</w:t>
            </w:r>
          </w:p>
        </w:tc>
        <w:tc>
          <w:tcPr>
            <w:tcW w:w="0" w:type="dxa"/>
            <w:vAlign w:val="bottom"/>
          </w:tcPr>
          <w:p>
            <w:pPr>
              <w:spacing w:after="0"/>
              <w:rPr>
                <w:sz w:val="1"/>
                <w:szCs w:val="1"/>
                <w:color w:val="auto"/>
              </w:rPr>
            </w:pPr>
          </w:p>
        </w:tc>
      </w:tr>
      <w:tr>
        <w:trPr>
          <w:trHeight w:val="16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586,991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472,025</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1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w w:val="88"/>
              </w:rPr>
              <w:t>Common stock, $0.001 par value; 200,000 shares authorized, 64,210 and 63,833 shares issued and outstanding at June 30, 2022 and December</w:t>
            </w:r>
          </w:p>
        </w:tc>
        <w:tc>
          <w:tcPr>
            <w:tcW w:w="3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5"/>
        </w:trPr>
        <w:tc>
          <w:tcPr>
            <w:tcW w:w="8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31, 2021, respectively.</w:t>
            </w:r>
          </w:p>
        </w:tc>
        <w:tc>
          <w:tcPr>
            <w:tcW w:w="3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1,118,168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1,068,259</w:t>
            </w:r>
          </w:p>
        </w:tc>
        <w:tc>
          <w:tcPr>
            <w:tcW w:w="0" w:type="dxa"/>
            <w:vAlign w:val="bottom"/>
          </w:tcPr>
          <w:p>
            <w:pPr>
              <w:spacing w:after="0"/>
              <w:rPr>
                <w:sz w:val="1"/>
                <w:szCs w:val="1"/>
                <w:color w:val="auto"/>
              </w:rPr>
            </w:pPr>
          </w:p>
        </w:tc>
      </w:tr>
      <w:tr>
        <w:trPr>
          <w:trHeight w:val="176"/>
        </w:trPr>
        <w:tc>
          <w:tcPr>
            <w:tcW w:w="8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75"/>
        </w:trPr>
        <w:tc>
          <w:tcPr>
            <w:tcW w:w="8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(664,366)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(634,595)</w:t>
            </w:r>
          </w:p>
        </w:tc>
        <w:tc>
          <w:tcPr>
            <w:tcW w:w="0" w:type="dxa"/>
            <w:vAlign w:val="bottom"/>
          </w:tcPr>
          <w:p>
            <w:pPr>
              <w:spacing w:after="0"/>
              <w:rPr>
                <w:sz w:val="1"/>
                <w:szCs w:val="1"/>
                <w:color w:val="auto"/>
              </w:rPr>
            </w:pPr>
          </w:p>
        </w:tc>
      </w:tr>
      <w:tr>
        <w:trPr>
          <w:trHeight w:val="16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449,584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433,112</w:t>
            </w:r>
          </w:p>
        </w:tc>
        <w:tc>
          <w:tcPr>
            <w:tcW w:w="0" w:type="dxa"/>
            <w:vAlign w:val="bottom"/>
          </w:tcPr>
          <w:p>
            <w:pPr>
              <w:spacing w:after="0"/>
              <w:rPr>
                <w:sz w:val="1"/>
                <w:szCs w:val="1"/>
                <w:color w:val="auto"/>
              </w:rPr>
            </w:pPr>
          </w:p>
        </w:tc>
      </w:tr>
      <w:tr>
        <w:trPr>
          <w:trHeight w:val="166"/>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1,036,575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905,137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TANDEM DIABETES CARE,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OPERATIONS AND COMPREHENSIVE INCOME (LOSS)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2"/>
                <w:szCs w:val="12"/>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2"/>
                <w:szCs w:val="12"/>
                <w:b w:val="1"/>
                <w:bCs w:val="1"/>
                <w:color w:val="auto"/>
              </w:rPr>
              <w:t>Six Months Ended June 30,</w:t>
            </w:r>
          </w:p>
        </w:tc>
      </w:tr>
      <w:tr>
        <w:trPr>
          <w:trHeight w:val="156"/>
        </w:trPr>
        <w:tc>
          <w:tcPr>
            <w:tcW w:w="52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2021</w:t>
            </w:r>
          </w:p>
        </w:tc>
      </w:tr>
      <w:tr>
        <w:trPr>
          <w:trHeight w:val="168"/>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200,262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172,139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313,176</w:t>
            </w:r>
          </w:p>
        </w:tc>
      </w:tr>
      <w:tr>
        <w:trPr>
          <w:trHeight w:val="17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98,316</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79,685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183,130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147,435</w:t>
            </w:r>
          </w:p>
        </w:tc>
      </w:tr>
      <w:tr>
        <w:trPr>
          <w:trHeight w:val="16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101,946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92,454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165,741</w:t>
            </w: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80,614</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125,086</w:t>
            </w:r>
          </w:p>
        </w:tc>
      </w:tr>
      <w:tr>
        <w:trPr>
          <w:trHeight w:val="175"/>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33,571</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38,460</w:t>
            </w:r>
          </w:p>
        </w:tc>
      </w:tr>
      <w:tr>
        <w:trPr>
          <w:trHeight w:val="16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114,185</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163,546</w:t>
            </w:r>
          </w:p>
        </w:tc>
      </w:tr>
      <w:tr>
        <w:trPr>
          <w:trHeight w:val="165"/>
        </w:trPr>
        <w:tc>
          <w:tcPr>
            <w:tcW w:w="52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(12,239)</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2,195</w:t>
            </w: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5"/>
        </w:trPr>
        <w:tc>
          <w:tcPr>
            <w:tcW w:w="5280" w:type="dxa"/>
            <w:vAlign w:val="bottom"/>
          </w:tcPr>
          <w:p>
            <w:pPr>
              <w:ind w:left="140"/>
              <w:spacing w:after="0"/>
              <w:rPr>
                <w:sz w:val="20"/>
                <w:szCs w:val="20"/>
                <w:color w:val="auto"/>
              </w:rPr>
            </w:pPr>
            <w:r>
              <w:rPr>
                <w:rFonts w:ascii="Arial" w:cs="Arial" w:eastAsia="Arial" w:hAnsi="Arial"/>
                <w:sz w:val="14"/>
                <w:szCs w:val="14"/>
                <w:color w:val="auto"/>
              </w:rPr>
              <w:t>Interest income and other,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17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r>
      <w:tr>
        <w:trPr>
          <w:trHeight w:val="175"/>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Change in fair value of common stock warrants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r>
      <w:tr>
        <w:trPr>
          <w:trHeight w:val="16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net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w:t>
            </w:r>
          </w:p>
        </w:tc>
      </w:tr>
      <w:tr>
        <w:trPr>
          <w:trHeight w:val="165"/>
        </w:trPr>
        <w:tc>
          <w:tcPr>
            <w:tcW w:w="52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(12,950)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17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6"/>
        </w:trPr>
        <w:tc>
          <w:tcPr>
            <w:tcW w:w="5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(15,056)</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6"/>
        </w:trPr>
        <w:tc>
          <w:tcPr>
            <w:tcW w:w="528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Other comprehensive income (loss):</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75"/>
        </w:trPr>
        <w:tc>
          <w:tcPr>
            <w:tcW w:w="5280" w:type="dxa"/>
            <w:vAlign w:val="bottom"/>
          </w:tcPr>
          <w:p>
            <w:pPr>
              <w:ind w:left="140"/>
              <w:spacing w:after="0"/>
              <w:rPr>
                <w:sz w:val="20"/>
                <w:szCs w:val="20"/>
                <w:color w:val="auto"/>
              </w:rPr>
            </w:pPr>
            <w:r>
              <w:rPr>
                <w:rFonts w:ascii="Arial" w:cs="Arial" w:eastAsia="Arial" w:hAnsi="Arial"/>
                <w:sz w:val="14"/>
                <w:szCs w:val="14"/>
                <w:color w:val="auto"/>
              </w:rPr>
              <w:t>Unrealized loss on short-term investments</w:t>
            </w:r>
          </w:p>
        </w:tc>
        <w:tc>
          <w:tcPr>
            <w:tcW w:w="880" w:type="dxa"/>
            <w:vAlign w:val="bottom"/>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Pr>
          <w:p>
            <w:pPr>
              <w:spacing w:after="0"/>
              <w:rPr>
                <w:sz w:val="15"/>
                <w:szCs w:val="15"/>
                <w:color w:val="auto"/>
              </w:rPr>
            </w:pP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75"/>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loss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66"/>
        </w:trPr>
        <w:tc>
          <w:tcPr>
            <w:tcW w:w="52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(16,277)</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(33,437)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5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Net income (loss) per share, basic</w:t>
            </w: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2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 per share, diluted</w:t>
            </w:r>
          </w:p>
        </w:tc>
        <w:tc>
          <w:tcPr>
            <w:tcW w:w="880" w:type="dxa"/>
            <w:vAlign w:val="bottom"/>
            <w:tcBorders>
              <w:bottom w:val="single" w:sz="8" w:color="auto"/>
            </w:tcBorders>
            <w:shd w:val="clear" w:color="auto" w:fill="CCEEFF"/>
          </w:tcPr>
          <w:p>
            <w:pPr>
              <w:jc w:val="right"/>
              <w:ind w:right="733"/>
              <w:spacing w:after="0" w:line="156"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32"/>
              <w:spacing w:after="0" w:line="15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0.06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1"/>
              <w:spacing w:after="0" w:line="156"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1"/>
              <w:spacing w:after="0" w:line="156"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(0.02)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7"/>
        </w:trPr>
        <w:tc>
          <w:tcPr>
            <w:tcW w:w="5280" w:type="dxa"/>
            <w:vAlign w:val="bottom"/>
          </w:tcPr>
          <w:p>
            <w:pPr>
              <w:ind w:left="20"/>
              <w:spacing w:after="0" w:line="137" w:lineRule="exact"/>
              <w:rPr>
                <w:sz w:val="20"/>
                <w:szCs w:val="20"/>
                <w:color w:val="auto"/>
              </w:rPr>
            </w:pPr>
            <w:r>
              <w:rPr>
                <w:rFonts w:ascii="Arial" w:cs="Arial" w:eastAsia="Arial" w:hAnsi="Arial"/>
                <w:sz w:val="14"/>
                <w:szCs w:val="14"/>
                <w:color w:val="auto"/>
              </w:rPr>
              <w:t>Weighted average shares used to compute basic net income (loss) per share</w:t>
            </w:r>
          </w:p>
        </w:tc>
        <w:tc>
          <w:tcPr>
            <w:tcW w:w="8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64,077</w:t>
            </w: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62,717</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63,979</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62,583</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2"/>
        </w:trPr>
        <w:tc>
          <w:tcPr>
            <w:tcW w:w="52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Weighted average shares used to compute diluted net income (loss) per share</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64,078</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65,663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63,980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62,583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TANDEM DIABETES CARE,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Three Months Ended June 30,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40" w:type="dxa"/>
            <w:vAlign w:val="bottom"/>
          </w:tcPr>
          <w:p>
            <w:pPr>
              <w:spacing w:after="0"/>
              <w:rPr>
                <w:sz w:val="10"/>
                <w:szCs w:val="10"/>
                <w:color w:val="auto"/>
              </w:rPr>
            </w:pPr>
          </w:p>
        </w:tc>
        <w:tc>
          <w:tcPr>
            <w:tcW w:w="1820" w:type="dxa"/>
            <w:vAlign w:val="bottom"/>
            <w:gridSpan w:val="3"/>
            <w:vMerge w:val="restart"/>
          </w:tcPr>
          <w:p>
            <w:pPr>
              <w:jc w:val="right"/>
              <w:ind w:right="38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100" w:type="dxa"/>
            <w:vAlign w:val="bottom"/>
          </w:tcPr>
          <w:p>
            <w:pPr>
              <w:jc w:val="center"/>
              <w:ind w:left="266"/>
              <w:spacing w:after="0"/>
              <w:rPr>
                <w:sz w:val="20"/>
                <w:szCs w:val="20"/>
                <w:color w:val="auto"/>
              </w:rPr>
            </w:pPr>
            <w:r>
              <w:rPr>
                <w:rFonts w:ascii="Arial" w:cs="Arial" w:eastAsia="Arial" w:hAnsi="Arial"/>
                <w:sz w:val="11"/>
                <w:szCs w:val="11"/>
                <w:b w:val="1"/>
                <w:bCs w:val="1"/>
                <w:color w:val="auto"/>
                <w:w w:val="89"/>
              </w:rPr>
              <w:t>Accumulated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center"/>
              <w:ind w:right="14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3"/>
        </w:trPr>
        <w:tc>
          <w:tcPr>
            <w:tcW w:w="394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00" w:type="dxa"/>
            <w:vAlign w:val="bottom"/>
          </w:tcPr>
          <w:p>
            <w:pPr>
              <w:jc w:val="center"/>
              <w:ind w:left="286"/>
              <w:spacing w:after="0" w:line="114" w:lineRule="exact"/>
              <w:rPr>
                <w:sz w:val="20"/>
                <w:szCs w:val="20"/>
                <w:color w:val="auto"/>
              </w:rPr>
            </w:pPr>
            <w:r>
              <w:rPr>
                <w:rFonts w:ascii="Arial" w:cs="Arial" w:eastAsia="Arial" w:hAnsi="Arial"/>
                <w:sz w:val="11"/>
                <w:szCs w:val="11"/>
                <w:b w:val="1"/>
                <w:bCs w:val="1"/>
                <w:color w:val="auto"/>
                <w:w w:val="95"/>
              </w:rPr>
              <w:t>Other</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rPr>
              <w:t>Paid-in</w:t>
            </w:r>
          </w:p>
        </w:tc>
        <w:tc>
          <w:tcPr>
            <w:tcW w:w="1100" w:type="dxa"/>
            <w:vAlign w:val="bottom"/>
            <w:vMerge w:val="restart"/>
          </w:tcPr>
          <w:p>
            <w:pPr>
              <w:jc w:val="center"/>
              <w:ind w:left="266"/>
              <w:spacing w:after="0" w:line="93" w:lineRule="exact"/>
              <w:rPr>
                <w:sz w:val="20"/>
                <w:szCs w:val="20"/>
                <w:color w:val="auto"/>
              </w:rPr>
            </w:pPr>
            <w:r>
              <w:rPr>
                <w:rFonts w:ascii="Arial" w:cs="Arial" w:eastAsia="Arial" w:hAnsi="Arial"/>
                <w:sz w:val="10"/>
                <w:szCs w:val="10"/>
                <w:b w:val="1"/>
                <w:bCs w:val="1"/>
                <w:color w:val="auto"/>
                <w:w w:val="98"/>
              </w:rPr>
              <w:t>Comprehensive</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ind w:left="100"/>
              <w:spacing w:after="0" w:line="93" w:lineRule="exact"/>
              <w:rPr>
                <w:sz w:val="20"/>
                <w:szCs w:val="20"/>
                <w:color w:val="auto"/>
              </w:rPr>
            </w:pPr>
            <w:r>
              <w:rPr>
                <w:rFonts w:ascii="Arial" w:cs="Arial" w:eastAsia="Arial" w:hAnsi="Arial"/>
                <w:sz w:val="10"/>
                <w:szCs w:val="10"/>
                <w:b w:val="1"/>
                <w:bCs w:val="1"/>
                <w:color w:val="auto"/>
              </w:rPr>
              <w:t>Accumulated</w:t>
            </w:r>
          </w:p>
        </w:tc>
        <w:tc>
          <w:tcPr>
            <w:tcW w:w="200" w:type="dxa"/>
            <w:vAlign w:val="bottom"/>
          </w:tcPr>
          <w:p>
            <w:pPr>
              <w:spacing w:after="0"/>
              <w:rPr>
                <w:sz w:val="3"/>
                <w:szCs w:val="3"/>
                <w:color w:val="auto"/>
              </w:rPr>
            </w:pPr>
          </w:p>
        </w:tc>
        <w:tc>
          <w:tcPr>
            <w:tcW w:w="1120" w:type="dxa"/>
            <w:vAlign w:val="bottom"/>
            <w:vMerge w:val="restart"/>
          </w:tcPr>
          <w:p>
            <w:pPr>
              <w:jc w:val="center"/>
              <w:ind w:right="165"/>
              <w:spacing w:after="0" w:line="9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32"/>
        </w:trPr>
        <w:tc>
          <w:tcPr>
            <w:tcW w:w="3940" w:type="dxa"/>
            <w:vAlign w:val="bottom"/>
          </w:tcPr>
          <w:p>
            <w:pPr>
              <w:spacing w:after="0"/>
              <w:rPr>
                <w:sz w:val="2"/>
                <w:szCs w:val="2"/>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740" w:type="dxa"/>
            <w:vAlign w:val="bottom"/>
            <w:vMerge w:val="restart"/>
          </w:tcPr>
          <w:p>
            <w:pPr>
              <w:jc w:val="right"/>
              <w:ind w:right="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100" w:type="dxa"/>
            <w:vAlign w:val="bottom"/>
          </w:tcPr>
          <w:p>
            <w:pPr>
              <w:jc w:val="center"/>
              <w:ind w:left="306"/>
              <w:spacing w:after="0"/>
              <w:rPr>
                <w:sz w:val="20"/>
                <w:szCs w:val="20"/>
                <w:color w:val="auto"/>
              </w:rPr>
            </w:pPr>
            <w:r>
              <w:rPr>
                <w:rFonts w:ascii="Arial" w:cs="Arial" w:eastAsia="Arial" w:hAnsi="Arial"/>
                <w:sz w:val="11"/>
                <w:szCs w:val="11"/>
                <w:b w:val="1"/>
                <w:bCs w:val="1"/>
                <w:color w:val="auto"/>
                <w:w w:val="85"/>
              </w:rPr>
              <w:t>Loss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39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March 31, 2022</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63,941</w:t>
            </w:r>
          </w:p>
        </w:tc>
        <w:tc>
          <w:tcPr>
            <w:tcW w:w="1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ind w:right="62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1,089,689</w:t>
            </w:r>
          </w:p>
        </w:tc>
        <w:tc>
          <w:tcPr>
            <w:tcW w:w="8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jc w:val="right"/>
              <w:ind w:right="96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5"/>
              </w:rPr>
              <w:t>(3,061)</w:t>
            </w:r>
          </w:p>
        </w:tc>
        <w:tc>
          <w:tcPr>
            <w:tcW w:w="1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(649,310)</w:t>
            </w: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437,382</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2,615</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2,615</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Vesting of restricted stock units, net of shares withheld for taxes</w:t>
            </w:r>
          </w:p>
        </w:tc>
        <w:tc>
          <w:tcPr>
            <w:tcW w:w="9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(2,276)</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(2,276)</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Issuance of common stock for Employee Stock Purchase Plan</w:t>
            </w:r>
          </w:p>
        </w:tc>
        <w:tc>
          <w:tcPr>
            <w:tcW w:w="980" w:type="dxa"/>
            <w:vAlign w:val="bottom"/>
          </w:tcPr>
          <w:p>
            <w:pPr>
              <w:jc w:val="right"/>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7,915</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7,915</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Exercise of common stock warrants</w:t>
            </w:r>
          </w:p>
        </w:tc>
        <w:tc>
          <w:tcPr>
            <w:tcW w:w="9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68</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20,157</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20,157</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Unrealized loss on short-term investments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5"/>
              </w:rPr>
              <w:t>(1,124)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(1,124)</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adjustments</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44"/>
        </w:trPr>
        <w:tc>
          <w:tcPr>
            <w:tcW w:w="39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Net loss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(15,056)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(15,056)</w:t>
            </w: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11"/>
                <w:szCs w:val="11"/>
                <w:color w:val="auto"/>
              </w:rPr>
              <w:t>Balance at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64,210</w:t>
            </w: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1,118,168</w:t>
            </w:r>
          </w:p>
        </w:tc>
        <w:tc>
          <w:tcPr>
            <w:tcW w:w="8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5"/>
              </w:rPr>
              <w:t>(4,282)</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(664,366)</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449,584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Six Months Ended June 30, 2022</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820" w:type="dxa"/>
            <w:vAlign w:val="bottom"/>
            <w:gridSpan w:val="3"/>
            <w:vMerge w:val="restart"/>
          </w:tcPr>
          <w:p>
            <w:pPr>
              <w:jc w:val="right"/>
              <w:ind w:right="38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080" w:type="dxa"/>
            <w:vAlign w:val="bottom"/>
          </w:tcPr>
          <w:p>
            <w:pPr>
              <w:jc w:val="center"/>
              <w:ind w:left="286"/>
              <w:spacing w:after="0"/>
              <w:rPr>
                <w:sz w:val="20"/>
                <w:szCs w:val="20"/>
                <w:color w:val="auto"/>
              </w:rPr>
            </w:pPr>
            <w:r>
              <w:rPr>
                <w:rFonts w:ascii="Arial" w:cs="Arial" w:eastAsia="Arial" w:hAnsi="Arial"/>
                <w:sz w:val="11"/>
                <w:szCs w:val="11"/>
                <w:b w:val="1"/>
                <w:bCs w:val="1"/>
                <w:color w:val="auto"/>
                <w:w w:val="89"/>
              </w:rPr>
              <w:t>Accumulated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center"/>
              <w:ind w:right="1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3"/>
        </w:trPr>
        <w:tc>
          <w:tcPr>
            <w:tcW w:w="388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80" w:type="dxa"/>
            <w:vAlign w:val="bottom"/>
          </w:tcPr>
          <w:p>
            <w:pPr>
              <w:jc w:val="center"/>
              <w:ind w:left="266"/>
              <w:spacing w:after="0" w:line="114" w:lineRule="exact"/>
              <w:rPr>
                <w:sz w:val="20"/>
                <w:szCs w:val="20"/>
                <w:color w:val="auto"/>
              </w:rPr>
            </w:pPr>
            <w:r>
              <w:rPr>
                <w:rFonts w:ascii="Arial" w:cs="Arial" w:eastAsia="Arial" w:hAnsi="Arial"/>
                <w:sz w:val="11"/>
                <w:szCs w:val="11"/>
                <w:b w:val="1"/>
                <w:bCs w:val="1"/>
                <w:color w:val="auto"/>
                <w:w w:val="95"/>
              </w:rPr>
              <w:t>Other</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rPr>
              <w:t>Paid-in</w:t>
            </w:r>
          </w:p>
        </w:tc>
        <w:tc>
          <w:tcPr>
            <w:tcW w:w="1080" w:type="dxa"/>
            <w:vAlign w:val="bottom"/>
            <w:vMerge w:val="restart"/>
          </w:tcPr>
          <w:p>
            <w:pPr>
              <w:jc w:val="center"/>
              <w:ind w:left="286"/>
              <w:spacing w:after="0" w:line="93" w:lineRule="exact"/>
              <w:rPr>
                <w:sz w:val="20"/>
                <w:szCs w:val="20"/>
                <w:color w:val="auto"/>
              </w:rPr>
            </w:pPr>
            <w:r>
              <w:rPr>
                <w:rFonts w:ascii="Arial" w:cs="Arial" w:eastAsia="Arial" w:hAnsi="Arial"/>
                <w:sz w:val="10"/>
                <w:szCs w:val="10"/>
                <w:b w:val="1"/>
                <w:bCs w:val="1"/>
                <w:color w:val="auto"/>
                <w:w w:val="98"/>
              </w:rPr>
              <w:t>Comprehensive</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ind w:left="100"/>
              <w:spacing w:after="0" w:line="93" w:lineRule="exact"/>
              <w:rPr>
                <w:sz w:val="20"/>
                <w:szCs w:val="20"/>
                <w:color w:val="auto"/>
              </w:rPr>
            </w:pPr>
            <w:r>
              <w:rPr>
                <w:rFonts w:ascii="Arial" w:cs="Arial" w:eastAsia="Arial" w:hAnsi="Arial"/>
                <w:sz w:val="10"/>
                <w:szCs w:val="10"/>
                <w:b w:val="1"/>
                <w:bCs w:val="1"/>
                <w:color w:val="auto"/>
              </w:rPr>
              <w:t>Accumulated</w:t>
            </w:r>
          </w:p>
        </w:tc>
        <w:tc>
          <w:tcPr>
            <w:tcW w:w="200" w:type="dxa"/>
            <w:vAlign w:val="bottom"/>
          </w:tcPr>
          <w:p>
            <w:pPr>
              <w:spacing w:after="0"/>
              <w:rPr>
                <w:sz w:val="3"/>
                <w:szCs w:val="3"/>
                <w:color w:val="auto"/>
              </w:rPr>
            </w:pPr>
          </w:p>
        </w:tc>
        <w:tc>
          <w:tcPr>
            <w:tcW w:w="1120" w:type="dxa"/>
            <w:vAlign w:val="bottom"/>
            <w:vMerge w:val="restart"/>
          </w:tcPr>
          <w:p>
            <w:pPr>
              <w:jc w:val="center"/>
              <w:ind w:right="185"/>
              <w:spacing w:after="0" w:line="9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32"/>
        </w:trPr>
        <w:tc>
          <w:tcPr>
            <w:tcW w:w="3880" w:type="dxa"/>
            <w:vAlign w:val="bottom"/>
          </w:tcPr>
          <w:p>
            <w:pPr>
              <w:spacing w:after="0"/>
              <w:rPr>
                <w:sz w:val="2"/>
                <w:szCs w:val="2"/>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80" w:type="dxa"/>
            <w:vAlign w:val="bottom"/>
          </w:tcPr>
          <w:p>
            <w:pPr>
              <w:jc w:val="center"/>
              <w:ind w:left="306"/>
              <w:spacing w:after="0"/>
              <w:rPr>
                <w:sz w:val="20"/>
                <w:szCs w:val="20"/>
                <w:color w:val="auto"/>
              </w:rPr>
            </w:pPr>
            <w:r>
              <w:rPr>
                <w:rFonts w:ascii="Arial" w:cs="Arial" w:eastAsia="Arial" w:hAnsi="Arial"/>
                <w:sz w:val="11"/>
                <w:szCs w:val="11"/>
                <w:b w:val="1"/>
                <w:bCs w:val="1"/>
                <w:color w:val="auto"/>
                <w:w w:val="77"/>
              </w:rPr>
              <w:t>Loss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December 31, 2021</w:t>
            </w:r>
          </w:p>
        </w:tc>
        <w:tc>
          <w:tcPr>
            <w:tcW w:w="98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63,833</w:t>
            </w:r>
          </w:p>
        </w:tc>
        <w:tc>
          <w:tcPr>
            <w:tcW w:w="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ind w:right="64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1,068,259</w:t>
            </w:r>
          </w:p>
        </w:tc>
        <w:tc>
          <w:tcPr>
            <w:tcW w:w="8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jc w:val="right"/>
              <w:ind w:right="946"/>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(634,595)</w:t>
            </w: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433,112</w:t>
            </w:r>
          </w:p>
        </w:tc>
        <w:tc>
          <w:tcPr>
            <w:tcW w:w="0" w:type="dxa"/>
            <w:vAlign w:val="bottom"/>
          </w:tcPr>
          <w:p>
            <w:pPr>
              <w:spacing w:after="0"/>
              <w:rPr>
                <w:sz w:val="1"/>
                <w:szCs w:val="1"/>
                <w:color w:val="auto"/>
              </w:rPr>
            </w:pPr>
          </w:p>
        </w:tc>
      </w:tr>
      <w:tr>
        <w:trPr>
          <w:trHeight w:val="141"/>
        </w:trPr>
        <w:tc>
          <w:tcPr>
            <w:tcW w:w="3880" w:type="dxa"/>
            <w:vAlign w:val="bottom"/>
          </w:tcPr>
          <w:p>
            <w:pPr>
              <w:ind w:left="120"/>
              <w:spacing w:after="0"/>
              <w:rPr>
                <w:sz w:val="20"/>
                <w:szCs w:val="20"/>
                <w:color w:val="auto"/>
              </w:rPr>
            </w:pPr>
            <w:r>
              <w:rPr>
                <w:rFonts w:ascii="Arial" w:cs="Arial" w:eastAsia="Arial" w:hAnsi="Arial"/>
                <w:sz w:val="11"/>
                <w:szCs w:val="11"/>
                <w:color w:val="auto"/>
              </w:rPr>
              <w:t>Exercise of stock options</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172</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6,398</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6,398</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Vesting of restricted stock units, net of shares withheld for taxes</w:t>
            </w: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70</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(2,575)</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(2,575)</w:t>
            </w:r>
          </w:p>
        </w:tc>
        <w:tc>
          <w:tcPr>
            <w:tcW w:w="0" w:type="dxa"/>
            <w:vAlign w:val="bottom"/>
          </w:tcPr>
          <w:p>
            <w:pPr>
              <w:spacing w:after="0"/>
              <w:rPr>
                <w:sz w:val="1"/>
                <w:szCs w:val="1"/>
                <w:color w:val="auto"/>
              </w:rPr>
            </w:pPr>
          </w:p>
        </w:tc>
      </w:tr>
      <w:tr>
        <w:trPr>
          <w:trHeight w:val="141"/>
        </w:trPr>
        <w:tc>
          <w:tcPr>
            <w:tcW w:w="3880" w:type="dxa"/>
            <w:vAlign w:val="bottom"/>
          </w:tcPr>
          <w:p>
            <w:pPr>
              <w:ind w:left="120"/>
              <w:spacing w:after="0"/>
              <w:rPr>
                <w:sz w:val="20"/>
                <w:szCs w:val="20"/>
                <w:color w:val="auto"/>
              </w:rPr>
            </w:pPr>
            <w:r>
              <w:rPr>
                <w:rFonts w:ascii="Arial" w:cs="Arial" w:eastAsia="Arial" w:hAnsi="Arial"/>
                <w:sz w:val="11"/>
                <w:szCs w:val="11"/>
                <w:color w:val="auto"/>
              </w:rPr>
              <w:t>Issuance of common stock for Employee Stock Purchase Plan</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7,915</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7,915</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common stock warrants</w:t>
            </w: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83</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41"/>
        </w:trPr>
        <w:tc>
          <w:tcPr>
            <w:tcW w:w="388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38,088</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38,088</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Unrealized loss on short-term investments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1"/>
              </w:rPr>
              <w:t>(3,641)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(3,641)</w:t>
            </w:r>
          </w:p>
        </w:tc>
        <w:tc>
          <w:tcPr>
            <w:tcW w:w="0" w:type="dxa"/>
            <w:vAlign w:val="bottom"/>
          </w:tcPr>
          <w:p>
            <w:pPr>
              <w:spacing w:after="0"/>
              <w:rPr>
                <w:sz w:val="1"/>
                <w:szCs w:val="1"/>
                <w:color w:val="auto"/>
              </w:rPr>
            </w:pPr>
          </w:p>
        </w:tc>
      </w:tr>
      <w:tr>
        <w:trPr>
          <w:trHeight w:val="141"/>
        </w:trPr>
        <w:tc>
          <w:tcPr>
            <w:tcW w:w="388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4"/>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(29,771)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(29,771)</w:t>
            </w:r>
          </w:p>
        </w:tc>
        <w:tc>
          <w:tcPr>
            <w:tcW w:w="0" w:type="dxa"/>
            <w:vAlign w:val="bottom"/>
          </w:tcPr>
          <w:p>
            <w:pPr>
              <w:spacing w:after="0"/>
              <w:rPr>
                <w:sz w:val="1"/>
                <w:szCs w:val="1"/>
                <w:color w:val="auto"/>
              </w:rPr>
            </w:pPr>
          </w:p>
        </w:tc>
      </w:tr>
      <w:tr>
        <w:trPr>
          <w:trHeight w:val="138"/>
        </w:trPr>
        <w:tc>
          <w:tcPr>
            <w:tcW w:w="3880" w:type="dxa"/>
            <w:vAlign w:val="bottom"/>
          </w:tcPr>
          <w:p>
            <w:pPr>
              <w:spacing w:after="0"/>
              <w:rPr>
                <w:sz w:val="20"/>
                <w:szCs w:val="20"/>
                <w:color w:val="auto"/>
              </w:rPr>
            </w:pPr>
            <w:r>
              <w:rPr>
                <w:rFonts w:ascii="Arial" w:cs="Arial" w:eastAsia="Arial" w:hAnsi="Arial"/>
                <w:sz w:val="11"/>
                <w:szCs w:val="11"/>
                <w:color w:val="auto"/>
              </w:rPr>
              <w:t>Balance at June 30, 2022</w:t>
            </w: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64,210</w:t>
            </w: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1,118,168</w:t>
            </w:r>
          </w:p>
        </w:tc>
        <w:tc>
          <w:tcPr>
            <w:tcW w:w="8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(4,282)</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(664,366)</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449,584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2"/>
          <w:szCs w:val="12"/>
          <w:i w:val="1"/>
          <w:iCs w:val="1"/>
          <w:color w:val="auto"/>
        </w:rPr>
        <w:t>See accompanying notes to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063"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auto"/>
        </w:rPr>
        <w:t>Three Months Ended June 30,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40" w:type="dxa"/>
            <w:vAlign w:val="bottom"/>
          </w:tcPr>
          <w:p>
            <w:pPr>
              <w:spacing w:after="0"/>
              <w:rPr>
                <w:sz w:val="10"/>
                <w:szCs w:val="10"/>
                <w:color w:val="auto"/>
              </w:rPr>
            </w:pPr>
          </w:p>
        </w:tc>
        <w:tc>
          <w:tcPr>
            <w:tcW w:w="1820" w:type="dxa"/>
            <w:vAlign w:val="bottom"/>
            <w:gridSpan w:val="3"/>
            <w:vMerge w:val="restart"/>
          </w:tcPr>
          <w:p>
            <w:pPr>
              <w:jc w:val="right"/>
              <w:ind w:right="38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1160" w:type="dxa"/>
            <w:vAlign w:val="bottom"/>
          </w:tcPr>
          <w:p>
            <w:pPr>
              <w:jc w:val="center"/>
              <w:ind w:left="245"/>
              <w:spacing w:after="0"/>
              <w:rPr>
                <w:sz w:val="20"/>
                <w:szCs w:val="20"/>
                <w:color w:val="auto"/>
              </w:rPr>
            </w:pPr>
            <w:r>
              <w:rPr>
                <w:rFonts w:ascii="Arial" w:cs="Arial" w:eastAsia="Arial" w:hAnsi="Arial"/>
                <w:sz w:val="11"/>
                <w:szCs w:val="11"/>
                <w:b w:val="1"/>
                <w:bCs w:val="1"/>
                <w:color w:val="auto"/>
                <w:w w:val="89"/>
              </w:rPr>
              <w:t>Accumulated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center"/>
              <w:ind w:right="14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3"/>
        </w:trPr>
        <w:tc>
          <w:tcPr>
            <w:tcW w:w="3940" w:type="dxa"/>
            <w:vAlign w:val="bottom"/>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160" w:type="dxa"/>
            <w:vAlign w:val="bottom"/>
          </w:tcPr>
          <w:p>
            <w:pPr>
              <w:jc w:val="center"/>
              <w:ind w:left="225"/>
              <w:spacing w:after="0" w:line="103" w:lineRule="exact"/>
              <w:rPr>
                <w:sz w:val="20"/>
                <w:szCs w:val="20"/>
                <w:color w:val="auto"/>
              </w:rPr>
            </w:pPr>
            <w:r>
              <w:rPr>
                <w:rFonts w:ascii="Arial" w:cs="Arial" w:eastAsia="Arial" w:hAnsi="Arial"/>
                <w:sz w:val="11"/>
                <w:szCs w:val="11"/>
                <w:b w:val="1"/>
                <w:bCs w:val="1"/>
                <w:color w:val="auto"/>
                <w:w w:val="95"/>
              </w:rPr>
              <w:t>Other</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center"/>
              <w:ind w:right="280"/>
              <w:spacing w:after="0" w:line="103" w:lineRule="exact"/>
              <w:rPr>
                <w:sz w:val="20"/>
                <w:szCs w:val="20"/>
                <w:color w:val="auto"/>
              </w:rPr>
            </w:pPr>
            <w:r>
              <w:rPr>
                <w:rFonts w:ascii="Arial" w:cs="Arial" w:eastAsia="Arial" w:hAnsi="Arial"/>
                <w:sz w:val="11"/>
                <w:szCs w:val="11"/>
                <w:b w:val="1"/>
                <w:bCs w:val="1"/>
                <w:color w:val="auto"/>
                <w:w w:val="92"/>
              </w:rPr>
              <w:t>Paid-in</w:t>
            </w:r>
          </w:p>
        </w:tc>
        <w:tc>
          <w:tcPr>
            <w:tcW w:w="1160" w:type="dxa"/>
            <w:vAlign w:val="bottom"/>
            <w:vMerge w:val="restart"/>
          </w:tcPr>
          <w:p>
            <w:pPr>
              <w:jc w:val="center"/>
              <w:ind w:left="245"/>
              <w:spacing w:after="0" w:line="103" w:lineRule="exact"/>
              <w:rPr>
                <w:sz w:val="20"/>
                <w:szCs w:val="20"/>
                <w:color w:val="auto"/>
              </w:rPr>
            </w:pPr>
            <w:r>
              <w:rPr>
                <w:rFonts w:ascii="Arial" w:cs="Arial" w:eastAsia="Arial" w:hAnsi="Arial"/>
                <w:sz w:val="11"/>
                <w:szCs w:val="11"/>
                <w:b w:val="1"/>
                <w:bCs w:val="1"/>
                <w:color w:val="auto"/>
                <w:w w:val="89"/>
              </w:rPr>
              <w:t>Comprehensive</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center"/>
              <w:ind w:right="280"/>
              <w:spacing w:after="0" w:line="103" w:lineRule="exact"/>
              <w:rPr>
                <w:sz w:val="20"/>
                <w:szCs w:val="20"/>
                <w:color w:val="auto"/>
              </w:rPr>
            </w:pPr>
            <w:r>
              <w:rPr>
                <w:rFonts w:ascii="Arial" w:cs="Arial" w:eastAsia="Arial" w:hAnsi="Arial"/>
                <w:sz w:val="11"/>
                <w:szCs w:val="11"/>
                <w:b w:val="1"/>
                <w:bCs w:val="1"/>
                <w:color w:val="auto"/>
                <w:w w:val="92"/>
              </w:rPr>
              <w:t>Accumulated</w:t>
            </w:r>
          </w:p>
        </w:tc>
        <w:tc>
          <w:tcPr>
            <w:tcW w:w="200" w:type="dxa"/>
            <w:vAlign w:val="bottom"/>
          </w:tcPr>
          <w:p>
            <w:pPr>
              <w:spacing w:after="0" w:line="20" w:lineRule="exact"/>
              <w:rPr>
                <w:sz w:val="1"/>
                <w:szCs w:val="1"/>
                <w:color w:val="auto"/>
              </w:rPr>
            </w:pPr>
          </w:p>
        </w:tc>
        <w:tc>
          <w:tcPr>
            <w:tcW w:w="1120" w:type="dxa"/>
            <w:vAlign w:val="bottom"/>
            <w:vMerge w:val="restart"/>
          </w:tcPr>
          <w:p>
            <w:pPr>
              <w:jc w:val="center"/>
              <w:ind w:right="145"/>
              <w:spacing w:after="0" w:line="103"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63"/>
        </w:trPr>
        <w:tc>
          <w:tcPr>
            <w:tcW w:w="3940" w:type="dxa"/>
            <w:vAlign w:val="bottom"/>
          </w:tcPr>
          <w:p>
            <w:pPr>
              <w:spacing w:after="0"/>
              <w:rPr>
                <w:sz w:val="5"/>
                <w:szCs w:val="5"/>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740" w:type="dxa"/>
            <w:vAlign w:val="bottom"/>
            <w:vMerge w:val="restart"/>
          </w:tcPr>
          <w:p>
            <w:pPr>
              <w:jc w:val="right"/>
              <w:ind w:right="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160" w:type="dxa"/>
            <w:vAlign w:val="bottom"/>
          </w:tcPr>
          <w:p>
            <w:pPr>
              <w:jc w:val="center"/>
              <w:ind w:left="245"/>
              <w:spacing w:after="0"/>
              <w:rPr>
                <w:sz w:val="20"/>
                <w:szCs w:val="20"/>
                <w:color w:val="auto"/>
              </w:rPr>
            </w:pPr>
            <w:r>
              <w:rPr>
                <w:rFonts w:ascii="Arial" w:cs="Arial" w:eastAsia="Arial" w:hAnsi="Arial"/>
                <w:sz w:val="11"/>
                <w:szCs w:val="11"/>
                <w:b w:val="1"/>
                <w:bCs w:val="1"/>
                <w:color w:val="auto"/>
                <w:w w:val="88"/>
              </w:rPr>
              <w:t>Income (Loss)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62,571</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968,450</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ind w:right="1025"/>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(655,205)</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313,414</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1"/>
                <w:szCs w:val="11"/>
                <w:color w:val="auto"/>
              </w:rPr>
              <w:t>252</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8,172</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8,172</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Vesting of restricted stock units, net of shares withheld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Issuance of common stock for Employee Stock Purchase Plan</w:t>
            </w:r>
          </w:p>
        </w:tc>
        <w:tc>
          <w:tcPr>
            <w:tcW w:w="9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6,317</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6,317</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15,118</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15,118</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Unrealized loss on short-term investments</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Foreign currency translation adjustments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1"/>
        </w:trPr>
        <w:tc>
          <w:tcPr>
            <w:tcW w:w="39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4,008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4,008</w:t>
            </w:r>
          </w:p>
        </w:tc>
        <w:tc>
          <w:tcPr>
            <w:tcW w:w="0" w:type="dxa"/>
            <w:vAlign w:val="bottom"/>
          </w:tcPr>
          <w:p>
            <w:pPr>
              <w:spacing w:after="0"/>
              <w:rPr>
                <w:sz w:val="1"/>
                <w:szCs w:val="1"/>
                <w:color w:val="auto"/>
              </w:rPr>
            </w:pPr>
          </w:p>
        </w:tc>
      </w:tr>
      <w:tr>
        <w:trPr>
          <w:trHeight w:val="163"/>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62,952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997,190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1025"/>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(651,197)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346,085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Six Months Ended June 30, 2021</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820" w:type="dxa"/>
            <w:vAlign w:val="bottom"/>
            <w:gridSpan w:val="3"/>
            <w:vMerge w:val="restart"/>
          </w:tcPr>
          <w:p>
            <w:pPr>
              <w:jc w:val="right"/>
              <w:ind w:right="38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140" w:type="dxa"/>
            <w:vAlign w:val="bottom"/>
          </w:tcPr>
          <w:p>
            <w:pPr>
              <w:jc w:val="center"/>
              <w:ind w:left="245"/>
              <w:spacing w:after="0"/>
              <w:rPr>
                <w:sz w:val="20"/>
                <w:szCs w:val="20"/>
                <w:color w:val="auto"/>
              </w:rPr>
            </w:pPr>
            <w:r>
              <w:rPr>
                <w:rFonts w:ascii="Arial" w:cs="Arial" w:eastAsia="Arial" w:hAnsi="Arial"/>
                <w:sz w:val="11"/>
                <w:szCs w:val="11"/>
                <w:b w:val="1"/>
                <w:bCs w:val="1"/>
                <w:color w:val="auto"/>
                <w:w w:val="92"/>
              </w:rPr>
              <w:t>Accumulated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center"/>
              <w:ind w:right="14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3"/>
        </w:trPr>
        <w:tc>
          <w:tcPr>
            <w:tcW w:w="3880" w:type="dxa"/>
            <w:vAlign w:val="bottom"/>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40" w:type="dxa"/>
            <w:vAlign w:val="bottom"/>
          </w:tcPr>
          <w:p>
            <w:pPr>
              <w:jc w:val="center"/>
              <w:ind w:left="245"/>
              <w:spacing w:after="0" w:line="103" w:lineRule="exact"/>
              <w:rPr>
                <w:sz w:val="20"/>
                <w:szCs w:val="20"/>
                <w:color w:val="auto"/>
              </w:rPr>
            </w:pPr>
            <w:r>
              <w:rPr>
                <w:rFonts w:ascii="Arial" w:cs="Arial" w:eastAsia="Arial" w:hAnsi="Arial"/>
                <w:sz w:val="11"/>
                <w:szCs w:val="11"/>
                <w:b w:val="1"/>
                <w:bCs w:val="1"/>
                <w:color w:val="auto"/>
                <w:w w:val="95"/>
              </w:rPr>
              <w:t>Other</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restart"/>
          </w:tcPr>
          <w:p>
            <w:pPr>
              <w:jc w:val="center"/>
              <w:ind w:right="260"/>
              <w:spacing w:after="0" w:line="103" w:lineRule="exact"/>
              <w:rPr>
                <w:sz w:val="20"/>
                <w:szCs w:val="20"/>
                <w:color w:val="auto"/>
              </w:rPr>
            </w:pPr>
            <w:r>
              <w:rPr>
                <w:rFonts w:ascii="Arial" w:cs="Arial" w:eastAsia="Arial" w:hAnsi="Arial"/>
                <w:sz w:val="11"/>
                <w:szCs w:val="11"/>
                <w:b w:val="1"/>
                <w:bCs w:val="1"/>
                <w:color w:val="auto"/>
                <w:w w:val="92"/>
              </w:rPr>
              <w:t>Paid-in</w:t>
            </w:r>
          </w:p>
        </w:tc>
        <w:tc>
          <w:tcPr>
            <w:tcW w:w="1140" w:type="dxa"/>
            <w:vAlign w:val="bottom"/>
            <w:vMerge w:val="restart"/>
          </w:tcPr>
          <w:p>
            <w:pPr>
              <w:jc w:val="center"/>
              <w:ind w:left="245"/>
              <w:spacing w:after="0" w:line="103" w:lineRule="exact"/>
              <w:rPr>
                <w:sz w:val="20"/>
                <w:szCs w:val="20"/>
                <w:color w:val="auto"/>
              </w:rPr>
            </w:pPr>
            <w:r>
              <w:rPr>
                <w:rFonts w:ascii="Arial" w:cs="Arial" w:eastAsia="Arial" w:hAnsi="Arial"/>
                <w:sz w:val="11"/>
                <w:szCs w:val="11"/>
                <w:b w:val="1"/>
                <w:bCs w:val="1"/>
                <w:color w:val="auto"/>
                <w:w w:val="87"/>
              </w:rPr>
              <w:t>Comprehensive</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center"/>
              <w:ind w:right="300"/>
              <w:spacing w:after="0" w:line="103" w:lineRule="exact"/>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line="20" w:lineRule="exact"/>
              <w:rPr>
                <w:sz w:val="1"/>
                <w:szCs w:val="1"/>
                <w:color w:val="auto"/>
              </w:rPr>
            </w:pPr>
          </w:p>
        </w:tc>
        <w:tc>
          <w:tcPr>
            <w:tcW w:w="1120" w:type="dxa"/>
            <w:vAlign w:val="bottom"/>
            <w:vMerge w:val="restart"/>
          </w:tcPr>
          <w:p>
            <w:pPr>
              <w:jc w:val="center"/>
              <w:ind w:right="145"/>
              <w:spacing w:after="0" w:line="103"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63"/>
        </w:trPr>
        <w:tc>
          <w:tcPr>
            <w:tcW w:w="3880" w:type="dxa"/>
            <w:vAlign w:val="bottom"/>
          </w:tcPr>
          <w:p>
            <w:pPr>
              <w:spacing w:after="0"/>
              <w:rPr>
                <w:sz w:val="5"/>
                <w:szCs w:val="5"/>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140" w:type="dxa"/>
            <w:vAlign w:val="bottom"/>
          </w:tcPr>
          <w:p>
            <w:pPr>
              <w:jc w:val="center"/>
              <w:ind w:left="245"/>
              <w:spacing w:after="0"/>
              <w:rPr>
                <w:sz w:val="20"/>
                <w:szCs w:val="20"/>
                <w:color w:val="auto"/>
              </w:rPr>
            </w:pPr>
            <w:r>
              <w:rPr>
                <w:rFonts w:ascii="Arial" w:cs="Arial" w:eastAsia="Arial" w:hAnsi="Arial"/>
                <w:sz w:val="11"/>
                <w:szCs w:val="11"/>
                <w:b w:val="1"/>
                <w:bCs w:val="1"/>
                <w:color w:val="auto"/>
                <w:w w:val="91"/>
              </w:rPr>
              <w:t>Income (Loss)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December 31, 2020</w:t>
            </w:r>
          </w:p>
        </w:tc>
        <w:tc>
          <w:tcPr>
            <w:tcW w:w="98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62,335</w:t>
            </w:r>
          </w:p>
        </w:tc>
        <w:tc>
          <w:tcPr>
            <w:tcW w:w="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64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1,025,233</w:t>
            </w:r>
          </w:p>
        </w:tc>
        <w:tc>
          <w:tcPr>
            <w:tcW w:w="8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ind w:right="1005"/>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220</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(659,210)</w:t>
            </w: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366,305</w:t>
            </w:r>
          </w:p>
        </w:tc>
        <w:tc>
          <w:tcPr>
            <w:tcW w:w="0" w:type="dxa"/>
            <w:vAlign w:val="bottom"/>
          </w:tcPr>
          <w:p>
            <w:pPr>
              <w:spacing w:after="0"/>
              <w:rPr>
                <w:sz w:val="1"/>
                <w:szCs w:val="1"/>
                <w:color w:val="auto"/>
              </w:rPr>
            </w:pPr>
          </w:p>
        </w:tc>
      </w:tr>
      <w:tr>
        <w:trPr>
          <w:trHeight w:val="160"/>
        </w:trPr>
        <w:tc>
          <w:tcPr>
            <w:tcW w:w="3880" w:type="dxa"/>
            <w:vAlign w:val="bottom"/>
          </w:tcPr>
          <w:p>
            <w:pPr>
              <w:ind w:left="120"/>
              <w:spacing w:after="0"/>
              <w:rPr>
                <w:sz w:val="20"/>
                <w:szCs w:val="20"/>
                <w:color w:val="auto"/>
              </w:rPr>
            </w:pPr>
            <w:r>
              <w:rPr>
                <w:rFonts w:ascii="Arial" w:cs="Arial" w:eastAsia="Arial" w:hAnsi="Arial"/>
                <w:sz w:val="11"/>
                <w:szCs w:val="11"/>
                <w:color w:val="auto"/>
              </w:rPr>
              <w:t>Effect of change in accounting for convertible senior notes (1)</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(85,803)</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9,049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(76,754)</w:t>
            </w:r>
          </w:p>
        </w:tc>
        <w:tc>
          <w:tcPr>
            <w:tcW w:w="0" w:type="dxa"/>
            <w:vAlign w:val="bottom"/>
          </w:tcPr>
          <w:p>
            <w:pPr>
              <w:spacing w:after="0"/>
              <w:rPr>
                <w:sz w:val="1"/>
                <w:szCs w:val="1"/>
                <w:color w:val="auto"/>
              </w:rPr>
            </w:pPr>
          </w:p>
        </w:tc>
      </w:tr>
      <w:tr>
        <w:trPr>
          <w:trHeight w:val="170"/>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stock options</w:t>
            </w: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363</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11,307</w:t>
            </w: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11,308</w:t>
            </w:r>
          </w:p>
        </w:tc>
        <w:tc>
          <w:tcPr>
            <w:tcW w:w="0" w:type="dxa"/>
            <w:vAlign w:val="bottom"/>
          </w:tcPr>
          <w:p>
            <w:pPr>
              <w:spacing w:after="0"/>
              <w:rPr>
                <w:sz w:val="1"/>
                <w:szCs w:val="1"/>
                <w:color w:val="auto"/>
              </w:rPr>
            </w:pPr>
          </w:p>
        </w:tc>
      </w:tr>
      <w:tr>
        <w:trPr>
          <w:trHeight w:val="160"/>
        </w:trPr>
        <w:tc>
          <w:tcPr>
            <w:tcW w:w="3880" w:type="dxa"/>
            <w:vAlign w:val="bottom"/>
          </w:tcPr>
          <w:p>
            <w:pPr>
              <w:ind w:left="120"/>
              <w:spacing w:after="0"/>
              <w:rPr>
                <w:sz w:val="20"/>
                <w:szCs w:val="20"/>
                <w:color w:val="auto"/>
              </w:rPr>
            </w:pPr>
            <w:r>
              <w:rPr>
                <w:rFonts w:ascii="Arial" w:cs="Arial" w:eastAsia="Arial" w:hAnsi="Arial"/>
                <w:sz w:val="11"/>
                <w:szCs w:val="11"/>
                <w:color w:val="auto"/>
              </w:rPr>
              <w:t>Vesting of restricted stock units, net of shares withheld for taxes</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(867)</w:t>
            </w:r>
          </w:p>
        </w:tc>
        <w:tc>
          <w:tcPr>
            <w:tcW w:w="0" w:type="dxa"/>
            <w:vAlign w:val="bottom"/>
          </w:tcPr>
          <w:p>
            <w:pPr>
              <w:spacing w:after="0"/>
              <w:rPr>
                <w:sz w:val="1"/>
                <w:szCs w:val="1"/>
                <w:color w:val="auto"/>
              </w:rPr>
            </w:pPr>
          </w:p>
        </w:tc>
      </w:tr>
      <w:tr>
        <w:trPr>
          <w:trHeight w:val="170"/>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Issuance of common stock for Employee Stock Purchase Plan</w:t>
            </w: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6,317</w:t>
            </w: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6,317</w:t>
            </w:r>
          </w:p>
        </w:tc>
        <w:tc>
          <w:tcPr>
            <w:tcW w:w="0" w:type="dxa"/>
            <w:vAlign w:val="bottom"/>
          </w:tcPr>
          <w:p>
            <w:pPr>
              <w:spacing w:after="0"/>
              <w:rPr>
                <w:sz w:val="1"/>
                <w:szCs w:val="1"/>
                <w:color w:val="auto"/>
              </w:rPr>
            </w:pPr>
          </w:p>
        </w:tc>
      </w:tr>
      <w:tr>
        <w:trPr>
          <w:trHeight w:val="160"/>
        </w:trPr>
        <w:tc>
          <w:tcPr>
            <w:tcW w:w="3880" w:type="dxa"/>
            <w:vAlign w:val="bottom"/>
          </w:tcPr>
          <w:p>
            <w:pPr>
              <w:ind w:left="120"/>
              <w:spacing w:after="0"/>
              <w:rPr>
                <w:sz w:val="20"/>
                <w:szCs w:val="20"/>
                <w:color w:val="auto"/>
              </w:rPr>
            </w:pPr>
            <w:r>
              <w:rPr>
                <w:rFonts w:ascii="Arial" w:cs="Arial" w:eastAsia="Arial" w:hAnsi="Arial"/>
                <w:sz w:val="11"/>
                <w:szCs w:val="11"/>
                <w:color w:val="auto"/>
              </w:rPr>
              <w:t>Exercise of common stock warrants</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437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437</w:t>
            </w:r>
          </w:p>
        </w:tc>
        <w:tc>
          <w:tcPr>
            <w:tcW w:w="0" w:type="dxa"/>
            <w:vAlign w:val="bottom"/>
          </w:tcPr>
          <w:p>
            <w:pPr>
              <w:spacing w:after="0"/>
              <w:rPr>
                <w:sz w:val="1"/>
                <w:szCs w:val="1"/>
                <w:color w:val="auto"/>
              </w:rPr>
            </w:pPr>
          </w:p>
        </w:tc>
      </w:tr>
      <w:tr>
        <w:trPr>
          <w:trHeight w:val="149"/>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Fair value of common stock warrants at time of exercise</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12,434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12,434</w:t>
            </w:r>
          </w:p>
        </w:tc>
        <w:tc>
          <w:tcPr>
            <w:tcW w:w="0" w:type="dxa"/>
            <w:vAlign w:val="bottom"/>
          </w:tcPr>
          <w:p>
            <w:pPr>
              <w:spacing w:after="0"/>
              <w:rPr>
                <w:sz w:val="1"/>
                <w:szCs w:val="1"/>
                <w:color w:val="auto"/>
              </w:rPr>
            </w:pPr>
          </w:p>
        </w:tc>
      </w:tr>
      <w:tr>
        <w:trPr>
          <w:trHeight w:val="141"/>
        </w:trPr>
        <w:tc>
          <w:tcPr>
            <w:tcW w:w="388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28,132</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28,132</w:t>
            </w:r>
          </w:p>
        </w:tc>
        <w:tc>
          <w:tcPr>
            <w:tcW w:w="0" w:type="dxa"/>
            <w:vAlign w:val="bottom"/>
          </w:tcPr>
          <w:p>
            <w:pPr>
              <w:spacing w:after="0"/>
              <w:rPr>
                <w:sz w:val="1"/>
                <w:szCs w:val="1"/>
                <w:color w:val="auto"/>
              </w:rPr>
            </w:pPr>
          </w:p>
        </w:tc>
      </w:tr>
      <w:tr>
        <w:trPr>
          <w:trHeight w:val="168"/>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Unrealized loss on short-term investments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60"/>
        </w:trPr>
        <w:tc>
          <w:tcPr>
            <w:tcW w:w="388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(1,036)</w:t>
            </w:r>
          </w:p>
        </w:tc>
        <w:tc>
          <w:tcPr>
            <w:tcW w:w="80" w:type="dxa"/>
            <w:vAlign w:val="bottom"/>
            <w:shd w:val="clear" w:color="auto" w:fill="CFF0FC"/>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w:t>
            </w:r>
          </w:p>
        </w:tc>
        <w:tc>
          <w:tcPr>
            <w:tcW w:w="0" w:type="dxa"/>
            <w:vAlign w:val="bottom"/>
          </w:tcPr>
          <w:p>
            <w:pPr>
              <w:spacing w:after="0"/>
              <w:rPr>
                <w:sz w:val="1"/>
                <w:szCs w:val="1"/>
                <w:color w:val="auto"/>
              </w:rPr>
            </w:pPr>
          </w:p>
        </w:tc>
      </w:tr>
      <w:tr>
        <w:trPr>
          <w:trHeight w:val="139"/>
        </w:trPr>
        <w:tc>
          <w:tcPr>
            <w:tcW w:w="3880" w:type="dxa"/>
            <w:vAlign w:val="bottom"/>
          </w:tcPr>
          <w:p>
            <w:pPr>
              <w:spacing w:after="0"/>
              <w:rPr>
                <w:sz w:val="20"/>
                <w:szCs w:val="20"/>
                <w:color w:val="auto"/>
              </w:rPr>
            </w:pPr>
            <w:r>
              <w:rPr>
                <w:rFonts w:ascii="Arial" w:cs="Arial" w:eastAsia="Arial" w:hAnsi="Arial"/>
                <w:sz w:val="11"/>
                <w:szCs w:val="11"/>
                <w:color w:val="auto"/>
              </w:rPr>
              <w:t>Balance at June 30, 2021</w:t>
            </w: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62,952</w:t>
            </w: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997,190</w:t>
            </w:r>
          </w:p>
        </w:tc>
        <w:tc>
          <w:tcPr>
            <w:tcW w:w="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(651,197)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346,085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180" w:hanging="177"/>
        <w:spacing w:after="0"/>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The Company adopted ASU No. 2020-06, </w:t>
      </w:r>
      <w:r>
        <w:rPr>
          <w:rFonts w:ascii="Arial" w:cs="Arial" w:eastAsia="Arial" w:hAnsi="Arial"/>
          <w:sz w:val="12"/>
          <w:szCs w:val="12"/>
          <w:i w:val="1"/>
          <w:iCs w:val="1"/>
          <w:color w:val="auto"/>
        </w:rPr>
        <w:t>Accounting for Convertible Instruments and Contracts in an Entity’s Own Equity</w:t>
      </w:r>
      <w:r>
        <w:rPr>
          <w:rFonts w:ascii="Arial" w:cs="Arial" w:eastAsia="Arial" w:hAnsi="Arial"/>
          <w:sz w:val="12"/>
          <w:szCs w:val="12"/>
          <w:color w:val="auto"/>
        </w:rPr>
        <w:t>, effective January 1, 2021 (see Note 2, “Summary of Significant Accounting Policies”).</w:t>
      </w:r>
    </w:p>
    <w:p>
      <w:pPr>
        <w:spacing w:after="0" w:line="95" w:lineRule="exact"/>
        <w:rPr>
          <w:rFonts w:ascii="Arial" w:cs="Arial" w:eastAsia="Arial" w:hAnsi="Arial"/>
          <w:sz w:val="12"/>
          <w:szCs w:val="12"/>
          <w:color w:val="auto"/>
        </w:rPr>
      </w:pPr>
    </w:p>
    <w:p>
      <w:pPr>
        <w:ind w:left="3340"/>
        <w:spacing w:after="0"/>
        <w:rPr>
          <w:rFonts w:ascii="Arial" w:cs="Arial" w:eastAsia="Arial" w:hAnsi="Arial"/>
          <w:sz w:val="12"/>
          <w:szCs w:val="12"/>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TANDEM DIABETES CARE,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1"/>
                <w:szCs w:val="11"/>
                <w:b w:val="1"/>
                <w:bCs w:val="1"/>
                <w:color w:val="auto"/>
                <w:w w:val="95"/>
              </w:rPr>
              <w:t>Six Months Ended June 30,</w:t>
            </w:r>
          </w:p>
        </w:tc>
        <w:tc>
          <w:tcPr>
            <w:tcW w:w="1080" w:type="dxa"/>
            <w:vAlign w:val="bottom"/>
            <w:tcBorders>
              <w:bottom w:val="single" w:sz="8" w:color="auto"/>
            </w:tcBorders>
          </w:tcPr>
          <w:p>
            <w:pPr>
              <w:spacing w:after="0"/>
              <w:rPr>
                <w:sz w:val="13"/>
                <w:szCs w:val="13"/>
                <w:color w:val="auto"/>
              </w:rPr>
            </w:pPr>
          </w:p>
        </w:tc>
      </w:tr>
      <w:tr>
        <w:trPr>
          <w:trHeight w:val="155"/>
        </w:trPr>
        <w:tc>
          <w:tcPr>
            <w:tcW w:w="76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05"/>
              <w:spacing w:after="0"/>
              <w:rPr>
                <w:sz w:val="20"/>
                <w:szCs w:val="20"/>
                <w:color w:val="auto"/>
              </w:rPr>
            </w:pPr>
            <w:r>
              <w:rPr>
                <w:rFonts w:ascii="Arial" w:cs="Arial" w:eastAsia="Arial" w:hAnsi="Arial"/>
                <w:sz w:val="11"/>
                <w:szCs w:val="11"/>
                <w:b w:val="1"/>
                <w:bCs w:val="1"/>
                <w:color w:val="auto"/>
              </w:rPr>
              <w:t>2021</w:t>
            </w:r>
          </w:p>
        </w:tc>
      </w:tr>
      <w:tr>
        <w:trPr>
          <w:trHeight w:val="15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10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80" w:type="dxa"/>
            <w:vAlign w:val="bottom"/>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(29,771)</w:t>
            </w:r>
          </w:p>
        </w:tc>
        <w:tc>
          <w:tcPr>
            <w:tcW w:w="100" w:type="dxa"/>
            <w:vAlign w:val="bottom"/>
          </w:tcPr>
          <w:p>
            <w:pPr>
              <w:spacing w:after="0"/>
              <w:rPr>
                <w:sz w:val="13"/>
                <w:szCs w:val="13"/>
                <w:color w:val="auto"/>
              </w:rPr>
            </w:pPr>
          </w:p>
        </w:tc>
        <w:tc>
          <w:tcPr>
            <w:tcW w:w="680" w:type="dxa"/>
            <w:vAlign w:val="bottom"/>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(1,036)</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55"/>
        </w:trPr>
        <w:tc>
          <w:tcPr>
            <w:tcW w:w="7660" w:type="dxa"/>
            <w:vAlign w:val="bottom"/>
          </w:tcPr>
          <w:p>
            <w:pPr>
              <w:ind w:left="140"/>
              <w:spacing w:after="0"/>
              <w:rPr>
                <w:sz w:val="20"/>
                <w:szCs w:val="20"/>
                <w:color w:val="auto"/>
              </w:rPr>
            </w:pPr>
            <w:r>
              <w:rPr>
                <w:rFonts w:ascii="Arial" w:cs="Arial" w:eastAsia="Arial" w:hAnsi="Arial"/>
                <w:sz w:val="11"/>
                <w:szCs w:val="11"/>
                <w:color w:val="auto"/>
              </w:rPr>
              <w:t>Depreciation and amortization expense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7,181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6,925</w:t>
            </w:r>
          </w:p>
        </w:tc>
      </w:tr>
      <w:tr>
        <w:trPr>
          <w:trHeight w:val="175"/>
        </w:trPr>
        <w:tc>
          <w:tcPr>
            <w:tcW w:w="7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debt issuance costs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w:t>
            </w:r>
          </w:p>
        </w:tc>
      </w:tr>
      <w:tr>
        <w:trPr>
          <w:trHeight w:val="155"/>
        </w:trPr>
        <w:tc>
          <w:tcPr>
            <w:tcW w:w="7660" w:type="dxa"/>
            <w:vAlign w:val="bottom"/>
          </w:tcPr>
          <w:p>
            <w:pPr>
              <w:ind w:left="140"/>
              <w:spacing w:after="0"/>
              <w:rPr>
                <w:sz w:val="20"/>
                <w:szCs w:val="20"/>
                <w:color w:val="auto"/>
              </w:rPr>
            </w:pPr>
            <w:r>
              <w:rPr>
                <w:rFonts w:ascii="Arial" w:cs="Arial" w:eastAsia="Arial" w:hAnsi="Arial"/>
                <w:sz w:val="11"/>
                <w:szCs w:val="11"/>
                <w:color w:val="auto"/>
              </w:rPr>
              <w:t>Provision for expected credit losses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1,990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874</w:t>
            </w:r>
          </w:p>
        </w:tc>
      </w:tr>
      <w:tr>
        <w:trPr>
          <w:trHeight w:val="175"/>
        </w:trPr>
        <w:tc>
          <w:tcPr>
            <w:tcW w:w="7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Provision for inventory obsolescence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r>
      <w:tr>
        <w:trPr>
          <w:trHeight w:val="155"/>
        </w:trPr>
        <w:tc>
          <w:tcPr>
            <w:tcW w:w="7660" w:type="dxa"/>
            <w:vAlign w:val="bottom"/>
          </w:tcPr>
          <w:p>
            <w:pPr>
              <w:ind w:left="140"/>
              <w:spacing w:after="0"/>
              <w:rPr>
                <w:sz w:val="20"/>
                <w:szCs w:val="20"/>
                <w:color w:val="auto"/>
              </w:rPr>
            </w:pPr>
            <w:r>
              <w:rPr>
                <w:rFonts w:ascii="Arial" w:cs="Arial" w:eastAsia="Arial" w:hAnsi="Arial"/>
                <w:sz w:val="11"/>
                <w:szCs w:val="11"/>
                <w:color w:val="auto"/>
              </w:rPr>
              <w:t>Change in fair value of common stock warrants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962</w:t>
            </w:r>
          </w:p>
        </w:tc>
      </w:tr>
      <w:tr>
        <w:trPr>
          <w:trHeight w:val="175"/>
        </w:trPr>
        <w:tc>
          <w:tcPr>
            <w:tcW w:w="7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premium (discount) on short-term investments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w:t>
            </w:r>
          </w:p>
        </w:tc>
      </w:tr>
      <w:tr>
        <w:trPr>
          <w:trHeight w:val="155"/>
        </w:trPr>
        <w:tc>
          <w:tcPr>
            <w:tcW w:w="7660" w:type="dxa"/>
            <w:vAlign w:val="bottom"/>
          </w:tcPr>
          <w:p>
            <w:pPr>
              <w:ind w:left="140"/>
              <w:spacing w:after="0"/>
              <w:rPr>
                <w:sz w:val="20"/>
                <w:szCs w:val="20"/>
                <w:color w:val="auto"/>
              </w:rPr>
            </w:pPr>
            <w:r>
              <w:rPr>
                <w:rFonts w:ascii="Arial" w:cs="Arial" w:eastAsia="Arial" w:hAnsi="Arial"/>
                <w:sz w:val="11"/>
                <w:szCs w:val="11"/>
                <w:color w:val="auto"/>
              </w:rPr>
              <w:t>Stock-based compensation expense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38,241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27,924</w:t>
            </w:r>
          </w:p>
        </w:tc>
      </w:tr>
      <w:tr>
        <w:trPr>
          <w:trHeight w:val="175"/>
        </w:trPr>
        <w:tc>
          <w:tcPr>
            <w:tcW w:w="7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55"/>
        </w:trPr>
        <w:tc>
          <w:tcPr>
            <w:tcW w:w="766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Accounts receivable, net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1,046</w:t>
            </w:r>
          </w:p>
        </w:tc>
      </w:tr>
      <w:tr>
        <w:trPr>
          <w:trHeight w:val="155"/>
        </w:trPr>
        <w:tc>
          <w:tcPr>
            <w:tcW w:w="7660" w:type="dxa"/>
            <w:vAlign w:val="bottom"/>
          </w:tcPr>
          <w:p>
            <w:pPr>
              <w:ind w:left="260"/>
              <w:spacing w:after="0"/>
              <w:rPr>
                <w:sz w:val="20"/>
                <w:szCs w:val="20"/>
                <w:color w:val="auto"/>
              </w:rPr>
            </w:pPr>
            <w:r>
              <w:rPr>
                <w:rFonts w:ascii="Arial" w:cs="Arial" w:eastAsia="Arial" w:hAnsi="Arial"/>
                <w:sz w:val="11"/>
                <w:szCs w:val="11"/>
                <w:color w:val="auto"/>
              </w:rPr>
              <w:t>Inventories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(20,352)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(2,965)</w:t>
            </w:r>
          </w:p>
        </w:tc>
      </w:tr>
      <w:tr>
        <w:trPr>
          <w:trHeight w:val="175"/>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Prepaid and other current assets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w:t>
            </w:r>
          </w:p>
        </w:tc>
      </w:tr>
      <w:tr>
        <w:trPr>
          <w:trHeight w:val="155"/>
        </w:trPr>
        <w:tc>
          <w:tcPr>
            <w:tcW w:w="7660" w:type="dxa"/>
            <w:vAlign w:val="bottom"/>
          </w:tcPr>
          <w:p>
            <w:pPr>
              <w:ind w:left="260"/>
              <w:spacing w:after="0"/>
              <w:rPr>
                <w:sz w:val="20"/>
                <w:szCs w:val="20"/>
                <w:color w:val="auto"/>
              </w:rPr>
            </w:pPr>
            <w:r>
              <w:rPr>
                <w:rFonts w:ascii="Arial" w:cs="Arial" w:eastAsia="Arial" w:hAnsi="Arial"/>
                <w:sz w:val="11"/>
                <w:szCs w:val="11"/>
                <w:color w:val="auto"/>
              </w:rPr>
              <w:t>Other long-term assets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(901)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(159)</w:t>
            </w:r>
          </w:p>
        </w:tc>
      </w:tr>
      <w:tr>
        <w:trPr>
          <w:trHeight w:val="175"/>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Accounts payable &amp; Accrued expenses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11,957</w:t>
            </w:r>
          </w:p>
        </w:tc>
      </w:tr>
      <w:tr>
        <w:trPr>
          <w:trHeight w:val="155"/>
        </w:trPr>
        <w:tc>
          <w:tcPr>
            <w:tcW w:w="7660" w:type="dxa"/>
            <w:vAlign w:val="bottom"/>
          </w:tcPr>
          <w:p>
            <w:pPr>
              <w:ind w:left="260"/>
              <w:spacing w:after="0"/>
              <w:rPr>
                <w:sz w:val="20"/>
                <w:szCs w:val="20"/>
                <w:color w:val="auto"/>
              </w:rPr>
            </w:pPr>
            <w:r>
              <w:rPr>
                <w:rFonts w:ascii="Arial" w:cs="Arial" w:eastAsia="Arial" w:hAnsi="Arial"/>
                <w:sz w:val="11"/>
                <w:szCs w:val="11"/>
                <w:color w:val="auto"/>
              </w:rPr>
              <w:t>Employee-related liabilities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(16,126)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2,318</w:t>
            </w:r>
          </w:p>
        </w:tc>
      </w:tr>
      <w:tr>
        <w:trPr>
          <w:trHeight w:val="175"/>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Deferred revenue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5,288</w:t>
            </w:r>
          </w:p>
        </w:tc>
      </w:tr>
      <w:tr>
        <w:trPr>
          <w:trHeight w:val="155"/>
        </w:trPr>
        <w:tc>
          <w:tcPr>
            <w:tcW w:w="7660" w:type="dxa"/>
            <w:vAlign w:val="bottom"/>
          </w:tcPr>
          <w:p>
            <w:pPr>
              <w:ind w:left="260"/>
              <w:spacing w:after="0"/>
              <w:rPr>
                <w:sz w:val="20"/>
                <w:szCs w:val="20"/>
                <w:color w:val="auto"/>
              </w:rPr>
            </w:pPr>
            <w:r>
              <w:rPr>
                <w:rFonts w:ascii="Arial" w:cs="Arial" w:eastAsia="Arial" w:hAnsi="Arial"/>
                <w:sz w:val="11"/>
                <w:szCs w:val="11"/>
                <w:color w:val="auto"/>
              </w:rPr>
              <w:t>Operating leases &amp; Other current liabilities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7,443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1,170</w:t>
            </w:r>
          </w:p>
        </w:tc>
      </w:tr>
      <w:tr>
        <w:trPr>
          <w:trHeight w:val="175"/>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Other long-term liabilities</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2,207</w:t>
            </w:r>
          </w:p>
        </w:tc>
      </w:tr>
      <w:tr>
        <w:trPr>
          <w:trHeight w:val="146"/>
        </w:trPr>
        <w:tc>
          <w:tcPr>
            <w:tcW w:w="7660" w:type="dxa"/>
            <w:vAlign w:val="bottom"/>
          </w:tcPr>
          <w:p>
            <w:pPr>
              <w:ind w:left="20"/>
              <w:spacing w:after="0" w:line="126" w:lineRule="exact"/>
              <w:rPr>
                <w:sz w:val="20"/>
                <w:szCs w:val="20"/>
                <w:color w:val="auto"/>
              </w:rPr>
            </w:pPr>
            <w:r>
              <w:rPr>
                <w:rFonts w:ascii="Arial" w:cs="Arial" w:eastAsia="Arial" w:hAnsi="Arial"/>
                <w:sz w:val="11"/>
                <w:szCs w:val="11"/>
                <w:color w:val="auto"/>
              </w:rPr>
              <w:t>Net cash provided by operating activities</w:t>
            </w:r>
          </w:p>
        </w:tc>
        <w:tc>
          <w:tcPr>
            <w:tcW w:w="10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20,701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57,580</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color w:val="auto"/>
              </w:rPr>
              <w:t>Purchases of short-term investments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(229,719)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(385,580)</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maturities of short-term investments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238,862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308,607</w:t>
            </w: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color w:val="auto"/>
              </w:rPr>
              <w:t>Proceeds from sales of short-term investments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17,686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20,788</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property and equipment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(5,339)</w:t>
            </w:r>
          </w:p>
        </w:tc>
      </w:tr>
      <w:tr>
        <w:trPr>
          <w:trHeight w:val="15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Acquisition of intangible assets and equity investments</w:t>
            </w: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(9,331)</w:t>
            </w:r>
          </w:p>
        </w:tc>
      </w:tr>
      <w:tr>
        <w:trPr>
          <w:trHeight w:val="16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11,554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(70,855)</w:t>
            </w: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issuance of common stock under Company stock plans, net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16,758</w:t>
            </w: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color w:val="auto"/>
              </w:rPr>
              <w:t>Proceeds from exercise of common stock warrants</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438</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financing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660" w:type="dxa"/>
            <w:vAlign w:val="bottom"/>
          </w:tcPr>
          <w:p>
            <w:pPr>
              <w:ind w:left="20"/>
              <w:spacing w:after="0" w:line="126" w:lineRule="exact"/>
              <w:rPr>
                <w:sz w:val="20"/>
                <w:szCs w:val="20"/>
                <w:color w:val="auto"/>
              </w:rPr>
            </w:pPr>
            <w:r>
              <w:rPr>
                <w:rFonts w:ascii="Arial" w:cs="Arial" w:eastAsia="Arial" w:hAnsi="Arial"/>
                <w:sz w:val="11"/>
                <w:szCs w:val="11"/>
                <w:color w:val="auto"/>
              </w:rPr>
              <w:t>Net cash provided by financing activities</w:t>
            </w:r>
          </w:p>
        </w:tc>
        <w:tc>
          <w:tcPr>
            <w:tcW w:w="10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11,551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17,196</w:t>
            </w:r>
          </w:p>
        </w:tc>
      </w:tr>
      <w:tr>
        <w:trPr>
          <w:trHeight w:val="17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foreign exchange rate changes on cash</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r>
      <w:tr>
        <w:trPr>
          <w:trHeight w:val="146"/>
        </w:trPr>
        <w:tc>
          <w:tcPr>
            <w:tcW w:w="7660" w:type="dxa"/>
            <w:vAlign w:val="bottom"/>
          </w:tcPr>
          <w:p>
            <w:pPr>
              <w:ind w:left="20"/>
              <w:spacing w:after="0" w:line="126" w:lineRule="exact"/>
              <w:rPr>
                <w:sz w:val="20"/>
                <w:szCs w:val="20"/>
                <w:color w:val="auto"/>
              </w:rPr>
            </w:pPr>
            <w:r>
              <w:rPr>
                <w:rFonts w:ascii="Arial" w:cs="Arial" w:eastAsia="Arial" w:hAnsi="Arial"/>
                <w:sz w:val="11"/>
                <w:szCs w:val="11"/>
                <w:color w:val="auto"/>
              </w:rPr>
              <w:t>Net increase in cash and cash equivalents</w:t>
            </w:r>
          </w:p>
        </w:tc>
        <w:tc>
          <w:tcPr>
            <w:tcW w:w="10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43,785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3,965</w:t>
            </w:r>
          </w:p>
        </w:tc>
      </w:tr>
      <w:tr>
        <w:trPr>
          <w:trHeight w:val="165"/>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at beginning of period</w:t>
            </w:r>
          </w:p>
        </w:tc>
        <w:tc>
          <w:tcPr>
            <w:tcW w:w="10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71,181</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94,613</w:t>
            </w:r>
          </w:p>
        </w:tc>
      </w:tr>
      <w:tr>
        <w:trPr>
          <w:trHeight w:val="155"/>
        </w:trPr>
        <w:tc>
          <w:tcPr>
            <w:tcW w:w="7660" w:type="dxa"/>
            <w:vAlign w:val="bottom"/>
          </w:tcPr>
          <w:p>
            <w:pPr>
              <w:ind w:left="20"/>
              <w:spacing w:after="0"/>
              <w:rPr>
                <w:sz w:val="20"/>
                <w:szCs w:val="20"/>
                <w:color w:val="auto"/>
              </w:rPr>
            </w:pPr>
            <w:r>
              <w:rPr>
                <w:rFonts w:ascii="Arial" w:cs="Arial" w:eastAsia="Arial" w:hAnsi="Arial"/>
                <w:sz w:val="11"/>
                <w:szCs w:val="11"/>
                <w:color w:val="auto"/>
              </w:rPr>
              <w:t>Cash and cash equivalents at end of period</w:t>
            </w:r>
          </w:p>
        </w:tc>
        <w:tc>
          <w:tcPr>
            <w:tcW w:w="1080" w:type="dxa"/>
            <w:vAlign w:val="bottom"/>
            <w:tcBorders>
              <w:bottom w:val="single" w:sz="8" w:color="auto"/>
            </w:tcBorders>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114,966</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98,578</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5"/>
        </w:trPr>
        <w:tc>
          <w:tcPr>
            <w:tcW w:w="76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Supplemental disclosures of cash flow information</w:t>
            </w:r>
          </w:p>
        </w:tc>
        <w:tc>
          <w:tcPr>
            <w:tcW w:w="10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0"/>
        </w:trPr>
        <w:tc>
          <w:tcPr>
            <w:tcW w:w="7660" w:type="dxa"/>
            <w:vAlign w:val="bottom"/>
          </w:tcPr>
          <w:p>
            <w:pPr>
              <w:ind w:left="20"/>
              <w:spacing w:after="0"/>
              <w:rPr>
                <w:sz w:val="20"/>
                <w:szCs w:val="20"/>
                <w:color w:val="auto"/>
              </w:rPr>
            </w:pPr>
            <w:r>
              <w:rPr>
                <w:rFonts w:ascii="Arial" w:cs="Arial" w:eastAsia="Arial" w:hAnsi="Arial"/>
                <w:sz w:val="11"/>
                <w:szCs w:val="11"/>
                <w:color w:val="auto"/>
              </w:rPr>
              <w:t>Income taxes paid</w:t>
            </w:r>
          </w:p>
        </w:tc>
        <w:tc>
          <w:tcPr>
            <w:tcW w:w="1080" w:type="dxa"/>
            <w:vAlign w:val="bottom"/>
            <w:tcBorders>
              <w:bottom w:val="single" w:sz="8" w:color="auto"/>
            </w:tcBorders>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0"/>
        </w:trPr>
        <w:tc>
          <w:tcPr>
            <w:tcW w:w="76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10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0"/>
        </w:trPr>
        <w:tc>
          <w:tcPr>
            <w:tcW w:w="7660" w:type="dxa"/>
            <w:vAlign w:val="bottom"/>
          </w:tcPr>
          <w:p>
            <w:pPr>
              <w:ind w:left="20"/>
              <w:spacing w:after="0"/>
              <w:rPr>
                <w:sz w:val="20"/>
                <w:szCs w:val="20"/>
                <w:color w:val="auto"/>
              </w:rPr>
            </w:pPr>
            <w:r>
              <w:rPr>
                <w:rFonts w:ascii="Arial" w:cs="Arial" w:eastAsia="Arial" w:hAnsi="Arial"/>
                <w:sz w:val="11"/>
                <w:szCs w:val="11"/>
                <w:color w:val="auto"/>
              </w:rPr>
              <w:t>Operating lease right-of-use assets obtained in exchange for operating lease obligations</w:t>
            </w:r>
          </w:p>
        </w:tc>
        <w:tc>
          <w:tcPr>
            <w:tcW w:w="1080" w:type="dxa"/>
            <w:vAlign w:val="bottom"/>
            <w:tcBorders>
              <w:bottom w:val="single" w:sz="8" w:color="auto"/>
            </w:tcBorders>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110,515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15,087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of property and equipment included in accounts payable</w:t>
            </w:r>
          </w:p>
        </w:tc>
        <w:tc>
          <w:tcPr>
            <w:tcW w:w="108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1,255</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7660" w:type="dxa"/>
            <w:vAlign w:val="bottom"/>
          </w:tcPr>
          <w:p>
            <w:pPr>
              <w:ind w:left="20"/>
              <w:spacing w:after="0"/>
              <w:rPr>
                <w:sz w:val="20"/>
                <w:szCs w:val="20"/>
                <w:color w:val="auto"/>
              </w:rPr>
            </w:pPr>
            <w:r>
              <w:rPr>
                <w:rFonts w:ascii="Arial" w:cs="Arial" w:eastAsia="Arial" w:hAnsi="Arial"/>
                <w:sz w:val="11"/>
                <w:szCs w:val="11"/>
                <w:color w:val="auto"/>
              </w:rPr>
              <w:t>Intangible costs in accounts payable and other long-term liabilities</w:t>
            </w:r>
          </w:p>
        </w:tc>
        <w:tc>
          <w:tcPr>
            <w:tcW w:w="1080" w:type="dxa"/>
            <w:vAlign w:val="bottom"/>
            <w:tcBorders>
              <w:bottom w:val="single" w:sz="8" w:color="auto"/>
            </w:tcBorders>
          </w:tcPr>
          <w:p>
            <w:pPr>
              <w:jc w:val="right"/>
              <w:ind w:right="945"/>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1,029</w:t>
            </w:r>
          </w:p>
        </w:tc>
      </w:tr>
      <w:tr>
        <w:trPr>
          <w:trHeight w:val="21"/>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TANDEM DIABETES CARE, INC.</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Basis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169" w:lineRule="exact"/>
        <w:rPr>
          <w:sz w:val="20"/>
          <w:szCs w:val="20"/>
          <w:color w:val="auto"/>
        </w:rPr>
      </w:pPr>
    </w:p>
    <w:p>
      <w:pPr>
        <w:ind w:right="140" w:firstLine="619"/>
        <w:spacing w:after="0" w:line="256" w:lineRule="auto"/>
        <w:rPr>
          <w:sz w:val="20"/>
          <w:szCs w:val="20"/>
          <w:color w:val="auto"/>
        </w:rPr>
      </w:pPr>
      <w:r>
        <w:rPr>
          <w:rFonts w:ascii="Arial" w:cs="Arial" w:eastAsia="Arial" w:hAnsi="Arial"/>
          <w:sz w:val="14"/>
          <w:szCs w:val="14"/>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 in the United States, Canada and the Netherlands.</w:t>
      </w:r>
    </w:p>
    <w:p>
      <w:pPr>
        <w:spacing w:after="0" w:line="145" w:lineRule="exact"/>
        <w:rPr>
          <w:sz w:val="20"/>
          <w:szCs w:val="20"/>
          <w:color w:val="auto"/>
        </w:rPr>
      </w:pPr>
    </w:p>
    <w:p>
      <w:pPr>
        <w:ind w:right="20" w:firstLine="619"/>
        <w:spacing w:after="0" w:line="328" w:lineRule="auto"/>
        <w:rPr>
          <w:sz w:val="20"/>
          <w:szCs w:val="20"/>
          <w:color w:val="auto"/>
        </w:rPr>
      </w:pPr>
      <w:r>
        <w:rPr>
          <w:rFonts w:ascii="Arial" w:cs="Arial" w:eastAsia="Arial" w:hAnsi="Arial"/>
          <w:sz w:val="11"/>
          <w:szCs w:val="11"/>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t:connect mobile app and cloud-based diabetes management application (t:connect), and the Tandem Device Updater, a Mac and PC-compatible tool which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 and Principles of Consolidation</w:t>
      </w:r>
    </w:p>
    <w:p>
      <w:pPr>
        <w:spacing w:after="0" w:line="138" w:lineRule="exact"/>
        <w:rPr>
          <w:sz w:val="20"/>
          <w:szCs w:val="20"/>
          <w:color w:val="auto"/>
        </w:rPr>
      </w:pPr>
    </w:p>
    <w:p>
      <w:pPr>
        <w:ind w:right="440" w:firstLine="619"/>
        <w:spacing w:after="0" w:line="252" w:lineRule="auto"/>
        <w:rPr>
          <w:sz w:val="20"/>
          <w:szCs w:val="20"/>
          <w:color w:val="auto"/>
        </w:rPr>
      </w:pPr>
      <w:r>
        <w:rPr>
          <w:rFonts w:ascii="Arial" w:cs="Arial" w:eastAsia="Arial" w:hAnsi="Arial"/>
          <w:sz w:val="14"/>
          <w:szCs w:val="14"/>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49" w:lineRule="exact"/>
        <w:rPr>
          <w:sz w:val="20"/>
          <w:szCs w:val="20"/>
          <w:color w:val="auto"/>
        </w:rPr>
      </w:pPr>
    </w:p>
    <w:p>
      <w:pPr>
        <w:ind w:right="80" w:firstLine="619"/>
        <w:spacing w:after="0" w:line="252" w:lineRule="auto"/>
        <w:rPr>
          <w:sz w:val="20"/>
          <w:szCs w:val="20"/>
          <w:color w:val="auto"/>
        </w:rPr>
      </w:pPr>
      <w:r>
        <w:rPr>
          <w:rFonts w:ascii="Arial" w:cs="Arial" w:eastAsia="Arial" w:hAnsi="Arial"/>
          <w:sz w:val="14"/>
          <w:szCs w:val="14"/>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2021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49" w:lineRule="exact"/>
        <w:rPr>
          <w:sz w:val="20"/>
          <w:szCs w:val="20"/>
          <w:color w:val="auto"/>
        </w:rPr>
      </w:pPr>
    </w:p>
    <w:p>
      <w:pPr>
        <w:ind w:right="180" w:firstLine="619"/>
        <w:spacing w:after="0" w:line="343" w:lineRule="auto"/>
        <w:rPr>
          <w:sz w:val="20"/>
          <w:szCs w:val="20"/>
          <w:color w:val="auto"/>
        </w:rPr>
      </w:pPr>
      <w:r>
        <w:rPr>
          <w:rFonts w:ascii="Arial" w:cs="Arial" w:eastAsia="Arial" w:hAnsi="Arial"/>
          <w:sz w:val="11"/>
          <w:szCs w:val="11"/>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138" w:lineRule="exact"/>
        <w:rPr>
          <w:sz w:val="20"/>
          <w:szCs w:val="20"/>
          <w:color w:val="auto"/>
        </w:rPr>
      </w:pPr>
    </w:p>
    <w:p>
      <w:pPr>
        <w:ind w:firstLine="619"/>
        <w:spacing w:after="0" w:line="284" w:lineRule="auto"/>
        <w:rPr>
          <w:sz w:val="20"/>
          <w:szCs w:val="20"/>
          <w:color w:val="auto"/>
        </w:rPr>
      </w:pPr>
      <w:r>
        <w:rPr>
          <w:rFonts w:ascii="Arial" w:cs="Arial" w:eastAsia="Arial" w:hAnsi="Arial"/>
          <w:sz w:val="13"/>
          <w:szCs w:val="13"/>
          <w:color w:val="auto"/>
        </w:rPr>
        <w:t>Starting with the first quarter of 2022, the Company included the liability related to common stock warrants (see Note 5, “Fair Value Measurements”) as a component of other current liabilities on the Company’s condensed consolidated balance sheet. In addition, deferred revenue long-term, which was previously reported as a component of other long-term liabilities, is now separately reported on the condensed consolidated balance sheet. The corresponding balances at December 31, 2021, have been reclassified to conform to the current year presentation.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8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73" w:lineRule="exact"/>
        <w:rPr>
          <w:sz w:val="20"/>
          <w:szCs w:val="20"/>
          <w:color w:val="auto"/>
        </w:rPr>
      </w:pPr>
    </w:p>
    <w:p>
      <w:pPr>
        <w:jc w:val="both"/>
        <w:ind w:right="400" w:firstLine="619"/>
        <w:spacing w:after="0" w:line="266" w:lineRule="auto"/>
        <w:rPr>
          <w:sz w:val="20"/>
          <w:szCs w:val="20"/>
          <w:color w:val="auto"/>
        </w:rPr>
      </w:pPr>
      <w:r>
        <w:rPr>
          <w:rFonts w:ascii="Arial" w:cs="Arial" w:eastAsia="Arial" w:hAnsi="Arial"/>
          <w:sz w:val="14"/>
          <w:szCs w:val="14"/>
          <w:color w:val="auto"/>
        </w:rPr>
        <w:t>There have been no material changes to the Company’s significant accounting policies during the six months ended June 30, 2022, as compared to those disclosed in the Company’s 2021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69" w:lineRule="exact"/>
        <w:rPr>
          <w:sz w:val="20"/>
          <w:szCs w:val="20"/>
          <w:color w:val="auto"/>
        </w:rPr>
      </w:pPr>
    </w:p>
    <w:p>
      <w:pPr>
        <w:jc w:val="both"/>
        <w:ind w:right="400" w:firstLine="619"/>
        <w:spacing w:after="0" w:line="358" w:lineRule="auto"/>
        <w:rPr>
          <w:sz w:val="20"/>
          <w:szCs w:val="20"/>
          <w:color w:val="auto"/>
        </w:rPr>
      </w:pPr>
      <w:r>
        <w:rPr>
          <w:rFonts w:ascii="Arial" w:cs="Arial" w:eastAsia="Arial" w:hAnsi="Arial"/>
          <w:sz w:val="11"/>
          <w:szCs w:val="11"/>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69" w:lineRule="exact"/>
        <w:rPr>
          <w:sz w:val="20"/>
          <w:szCs w:val="20"/>
          <w:color w:val="auto"/>
        </w:rPr>
      </w:pPr>
    </w:p>
    <w:p>
      <w:pPr>
        <w:ind w:right="80" w:firstLine="619"/>
        <w:spacing w:after="0" w:line="251" w:lineRule="auto"/>
        <w:rPr>
          <w:sz w:val="20"/>
          <w:szCs w:val="20"/>
          <w:color w:val="auto"/>
        </w:rPr>
      </w:pPr>
      <w:r>
        <w:rPr>
          <w:rFonts w:ascii="Arial" w:cs="Arial" w:eastAsia="Arial" w:hAnsi="Arial"/>
          <w:sz w:val="14"/>
          <w:szCs w:val="14"/>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including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8" w:lineRule="exact"/>
        <w:rPr>
          <w:sz w:val="20"/>
          <w:szCs w:val="20"/>
          <w:color w:val="auto"/>
        </w:rPr>
      </w:pPr>
    </w:p>
    <w:p>
      <w:pPr>
        <w:ind w:right="360" w:firstLine="619"/>
        <w:spacing w:after="0" w:line="284" w:lineRule="auto"/>
        <w:rPr>
          <w:sz w:val="20"/>
          <w:szCs w:val="20"/>
          <w:color w:val="auto"/>
        </w:rPr>
      </w:pPr>
      <w:r>
        <w:rPr>
          <w:rFonts w:ascii="Arial" w:cs="Arial" w:eastAsia="Arial" w:hAnsi="Arial"/>
          <w:sz w:val="13"/>
          <w:szCs w:val="13"/>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carrying value and estimated fair value of certain of the Company’s common stock warrants was determined using the Black-Scholes pricing model as of June 30, 2022 and December 31, 2021 (see Note 5, “Fair Value Measurements”).</w:t>
      </w:r>
    </w:p>
    <w:p>
      <w:pPr>
        <w:spacing w:after="0" w:line="98" w:lineRule="exact"/>
        <w:rPr>
          <w:sz w:val="20"/>
          <w:szCs w:val="20"/>
          <w:color w:val="auto"/>
        </w:rPr>
      </w:pPr>
    </w:p>
    <w:p>
      <w:pPr>
        <w:ind w:firstLine="619"/>
        <w:spacing w:after="0" w:line="256" w:lineRule="auto"/>
        <w:rPr>
          <w:sz w:val="20"/>
          <w:szCs w:val="20"/>
          <w:color w:val="auto"/>
        </w:rPr>
      </w:pPr>
      <w:r>
        <w:rPr>
          <w:rFonts w:ascii="Arial" w:cs="Arial" w:eastAsia="Arial" w:hAnsi="Arial"/>
          <w:sz w:val="14"/>
          <w:szCs w:val="14"/>
          <w:color w:val="auto"/>
        </w:rPr>
        <w:t>The Company’s convertible senior notes are carried at amortized cost on the condensed consolidated balance sheets (see Note 7, “Debt”). The Company measures the fair value of its convertible senior notes for disclosure purposes. The Company estimated the fair value of its convertible senior notes to be $269.5 million and $430.0 million at June 30, 2022 and December 31, 2021, respectively, based on Level 2 quoted market prices as of those dates.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 Right-of-Use Assets and Liabilities</w:t>
      </w:r>
    </w:p>
    <w:p>
      <w:pPr>
        <w:spacing w:after="0" w:line="138" w:lineRule="exact"/>
        <w:rPr>
          <w:sz w:val="20"/>
          <w:szCs w:val="20"/>
          <w:color w:val="auto"/>
        </w:rPr>
      </w:pPr>
    </w:p>
    <w:p>
      <w:pPr>
        <w:ind w:right="160" w:firstLine="619"/>
        <w:spacing w:after="0" w:line="331" w:lineRule="auto"/>
        <w:rPr>
          <w:sz w:val="20"/>
          <w:szCs w:val="20"/>
          <w:color w:val="auto"/>
        </w:rPr>
      </w:pPr>
      <w:r>
        <w:rPr>
          <w:rFonts w:ascii="Arial" w:cs="Arial" w:eastAsia="Arial" w:hAnsi="Arial"/>
          <w:sz w:val="11"/>
          <w:szCs w:val="11"/>
          <w:color w:val="auto"/>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1"/>
          <w:szCs w:val="11"/>
          <w:i w:val="1"/>
          <w:iCs w:val="1"/>
          <w:color w:val="auto"/>
        </w:rPr>
        <w:t>Leases</w:t>
      </w:r>
      <w:r>
        <w:rPr>
          <w:rFonts w:ascii="Arial" w:cs="Arial" w:eastAsia="Arial" w:hAnsi="Arial"/>
          <w:sz w:val="11"/>
          <w:szCs w:val="11"/>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Basis Equity Investment</w:t>
      </w:r>
    </w:p>
    <w:p>
      <w:pPr>
        <w:spacing w:after="0" w:line="179" w:lineRule="exact"/>
        <w:rPr>
          <w:sz w:val="20"/>
          <w:szCs w:val="20"/>
          <w:color w:val="auto"/>
        </w:rPr>
      </w:pPr>
    </w:p>
    <w:p>
      <w:pPr>
        <w:ind w:right="100" w:firstLine="619"/>
        <w:spacing w:after="0" w:line="226" w:lineRule="auto"/>
        <w:rPr>
          <w:sz w:val="20"/>
          <w:szCs w:val="20"/>
          <w:color w:val="auto"/>
        </w:rPr>
      </w:pPr>
      <w:r>
        <w:rPr>
          <w:rFonts w:ascii="Arial" w:cs="Arial" w:eastAsia="Arial" w:hAnsi="Arial"/>
          <w:sz w:val="14"/>
          <w:szCs w:val="14"/>
          <w:color w:val="auto"/>
        </w:rPr>
        <w:t>The Company made an $8.1 million equity investment in a private company in the second quarter of 2021, which represented less than 5% of the outstanding equity of that company as of the date of investment. The investment is recorded using the cost minus impairment, if any, adjusted for changes in observable prices and is included as a component of other long-term assets on the consolidated balance sheets. The Company monitors this investment to evaluate whether any increase or decline in its value has occurred, based on the implied value of recent company financings, public market prices of comparable companies and general market conditions.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1362"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Intangible Assets Subject to Amortization</w:t>
      </w:r>
    </w:p>
    <w:p>
      <w:pPr>
        <w:spacing w:after="0" w:line="148" w:lineRule="exact"/>
        <w:rPr>
          <w:sz w:val="20"/>
          <w:szCs w:val="20"/>
          <w:color w:val="auto"/>
        </w:rPr>
      </w:pPr>
    </w:p>
    <w:p>
      <w:pPr>
        <w:jc w:val="both"/>
        <w:ind w:right="120" w:firstLine="619"/>
        <w:spacing w:after="0" w:line="284" w:lineRule="auto"/>
        <w:rPr>
          <w:sz w:val="20"/>
          <w:szCs w:val="20"/>
          <w:color w:val="auto"/>
        </w:rPr>
      </w:pPr>
      <w:r>
        <w:rPr>
          <w:rFonts w:ascii="Arial" w:cs="Arial" w:eastAsia="Arial" w:hAnsi="Arial"/>
          <w:sz w:val="13"/>
          <w:szCs w:val="13"/>
          <w:color w:val="auto"/>
        </w:rPr>
        <w:t>Finite-lived intangible assets are recorded at cost, net of accumulated amortization and, if applicable, impairment charges. Amortization of finite-lived intangible assets is recognized over their estimated useful lives on a straight-line basis. The Company reviews its finite-lived intangible assets for impairment whenever events or changes in circumstances indicate that the carrying amount of an asset may not be recoverable. The Company did not recognize any impairment losses during the six months ended June 30, 2022 and 2021.</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8" w:lineRule="exact"/>
        <w:rPr>
          <w:sz w:val="20"/>
          <w:szCs w:val="20"/>
          <w:color w:val="auto"/>
        </w:rPr>
      </w:pPr>
    </w:p>
    <w:p>
      <w:pPr>
        <w:ind w:right="40" w:firstLine="619"/>
        <w:spacing w:after="0" w:line="256" w:lineRule="auto"/>
        <w:rPr>
          <w:sz w:val="20"/>
          <w:szCs w:val="20"/>
          <w:color w:val="auto"/>
        </w:rPr>
      </w:pPr>
      <w:r>
        <w:rPr>
          <w:rFonts w:ascii="Arial" w:cs="Arial" w:eastAsia="Arial" w:hAnsi="Arial"/>
          <w:sz w:val="14"/>
          <w:szCs w:val="14"/>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Revenue Recognition for Arrangements with Multiple Performance Obligations</w:t>
      </w:r>
    </w:p>
    <w:p>
      <w:pPr>
        <w:spacing w:after="0" w:line="138"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Warranty Reserve</w:t>
      </w:r>
    </w:p>
    <w:p>
      <w:pPr>
        <w:spacing w:after="0" w:line="148" w:lineRule="exact"/>
        <w:rPr>
          <w:sz w:val="20"/>
          <w:szCs w:val="20"/>
          <w:color w:val="auto"/>
        </w:rPr>
      </w:pPr>
    </w:p>
    <w:p>
      <w:pPr>
        <w:ind w:right="100" w:firstLine="619"/>
        <w:spacing w:after="0" w:line="328" w:lineRule="auto"/>
        <w:rPr>
          <w:sz w:val="20"/>
          <w:szCs w:val="20"/>
          <w:color w:val="auto"/>
        </w:rPr>
      </w:pPr>
      <w:r>
        <w:rPr>
          <w:rFonts w:ascii="Arial" w:cs="Arial" w:eastAsia="Arial" w:hAnsi="Arial"/>
          <w:sz w:val="11"/>
          <w:szCs w:val="11"/>
          <w:color w:val="auto"/>
        </w:rPr>
        <w:t>The Company generally provides a four-year warranty on its insulin pumps to end 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table provides a reconciliation of the changes in product warranty liabilities for the three and six months ended June 30, 2022 and 2021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rPr>
              <w:t>Six Months Ended June 30,</w:t>
            </w:r>
          </w:p>
        </w:tc>
      </w:tr>
      <w:tr>
        <w:trPr>
          <w:trHeight w:val="156"/>
        </w:trPr>
        <w:tc>
          <w:tcPr>
            <w:tcW w:w="53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2021</w:t>
            </w:r>
          </w:p>
        </w:tc>
      </w:tr>
      <w:tr>
        <w:trPr>
          <w:trHeight w:val="168"/>
        </w:trPr>
        <w:tc>
          <w:tcPr>
            <w:tcW w:w="53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Balance at beginning of the period</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3"/>
              </w:rPr>
              <w:t>22,075</w:t>
            </w:r>
          </w:p>
        </w:tc>
      </w:tr>
      <w:tr>
        <w:trPr>
          <w:trHeight w:val="175"/>
        </w:trPr>
        <w:tc>
          <w:tcPr>
            <w:tcW w:w="5300" w:type="dxa"/>
            <w:vAlign w:val="bottom"/>
          </w:tcPr>
          <w:p>
            <w:pPr>
              <w:ind w:left="20"/>
              <w:spacing w:after="0"/>
              <w:rPr>
                <w:sz w:val="20"/>
                <w:szCs w:val="20"/>
                <w:color w:val="auto"/>
              </w:rPr>
            </w:pPr>
            <w:r>
              <w:rPr>
                <w:rFonts w:ascii="Arial" w:cs="Arial" w:eastAsia="Arial" w:hAnsi="Arial"/>
                <w:sz w:val="14"/>
                <w:szCs w:val="14"/>
                <w:color w:val="auto"/>
              </w:rPr>
              <w:t>Provision for warranties issued during the period</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7,279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ind w:left="680"/>
              <w:spacing w:after="0"/>
              <w:rPr>
                <w:sz w:val="20"/>
                <w:szCs w:val="20"/>
                <w:color w:val="auto"/>
              </w:rPr>
            </w:pPr>
            <w:r>
              <w:rPr>
                <w:rFonts w:ascii="Arial" w:cs="Arial" w:eastAsia="Arial" w:hAnsi="Arial"/>
                <w:sz w:val="14"/>
                <w:szCs w:val="14"/>
                <w:color w:val="auto"/>
                <w:w w:val="93"/>
              </w:rPr>
              <w:t>13,916</w:t>
            </w:r>
          </w:p>
        </w:tc>
      </w:tr>
      <w:tr>
        <w:trPr>
          <w:trHeight w:val="176"/>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made during the period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0"/>
              </w:rPr>
              <w:t>(9,007)</w:t>
            </w:r>
          </w:p>
        </w:tc>
      </w:tr>
      <w:tr>
        <w:trPr>
          <w:trHeight w:val="17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 in warranty estimates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w w:val="90"/>
              </w:rPr>
              <w:t>(1,316)</w:t>
            </w:r>
          </w:p>
        </w:tc>
      </w:tr>
      <w:tr>
        <w:trPr>
          <w:trHeight w:val="191"/>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the period</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25,668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3"/>
              </w:rPr>
              <w:t>25,668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90"/>
        </w:trPr>
        <w:tc>
          <w:tcPr>
            <w:tcW w:w="5300" w:type="dxa"/>
            <w:vAlign w:val="bottom"/>
          </w:tcPr>
          <w:p>
            <w:pPr>
              <w:spacing w:after="0"/>
              <w:rPr>
                <w:sz w:val="24"/>
                <w:szCs w:val="24"/>
                <w:color w:val="auto"/>
              </w:rPr>
            </w:pPr>
          </w:p>
        </w:tc>
        <w:tc>
          <w:tcPr>
            <w:tcW w:w="920" w:type="dxa"/>
            <w:vAlign w:val="bottom"/>
          </w:tcPr>
          <w:p>
            <w:pPr>
              <w:jc w:val="right"/>
              <w:ind w:right="474"/>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4"/>
        </w:trPr>
        <w:tc>
          <w:tcPr>
            <w:tcW w:w="53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0" w:name="page11"/>
    <w:bookmarkEnd w:id="10"/>
    <w:p>
      <w:pPr>
        <w:ind w:left="620"/>
        <w:spacing w:after="0"/>
        <w:rPr>
          <w:sz w:val="20"/>
          <w:szCs w:val="20"/>
          <w:color w:val="auto"/>
        </w:rPr>
      </w:pPr>
      <w:r>
        <w:rPr>
          <w:rFonts w:ascii="Arial" w:cs="Arial" w:eastAsia="Arial" w:hAnsi="Arial"/>
          <w:sz w:val="14"/>
          <w:szCs w:val="14"/>
          <w:color w:val="auto"/>
        </w:rPr>
        <w:t>As of June 30, 2022 and December 31, 2021, total product warranty reserves were included in the following consolidated balance sheet accounts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 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13"/>
              <w:spacing w:after="0"/>
              <w:rPr>
                <w:sz w:val="20"/>
                <w:szCs w:val="20"/>
                <w:color w:val="auto"/>
              </w:rPr>
            </w:pPr>
            <w:r>
              <w:rPr>
                <w:rFonts w:ascii="Arial" w:cs="Arial" w:eastAsia="Arial" w:hAnsi="Arial"/>
                <w:sz w:val="12"/>
                <w:szCs w:val="12"/>
                <w:b w:val="1"/>
                <w:bCs w:val="1"/>
                <w:color w:val="auto"/>
              </w:rPr>
              <w:t>December 31, 2021</w:t>
            </w:r>
          </w:p>
        </w:tc>
      </w:tr>
      <w:tr>
        <w:trPr>
          <w:trHeight w:val="168"/>
        </w:trPr>
        <w:tc>
          <w:tcPr>
            <w:tcW w:w="7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 liabilities</w:t>
            </w:r>
          </w:p>
        </w:tc>
        <w:tc>
          <w:tcPr>
            <w:tcW w:w="1240" w:type="dxa"/>
            <w:vAlign w:val="bottom"/>
            <w:shd w:val="clear" w:color="auto" w:fill="CCEEFF"/>
          </w:tcPr>
          <w:p>
            <w:pPr>
              <w:jc w:val="right"/>
              <w:ind w:right="109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14,663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13,076</w:t>
            </w:r>
          </w:p>
        </w:tc>
      </w:tr>
      <w:tr>
        <w:trPr>
          <w:trHeight w:val="17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1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17,241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17,325</w:t>
            </w:r>
          </w:p>
        </w:tc>
      </w:tr>
      <w:tr>
        <w:trPr>
          <w:trHeight w:val="191"/>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warranty reserve</w:t>
            </w:r>
          </w:p>
        </w:tc>
        <w:tc>
          <w:tcPr>
            <w:tcW w:w="124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31,904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8" w:lineRule="exact"/>
        <w:rPr>
          <w:sz w:val="20"/>
          <w:szCs w:val="20"/>
          <w:color w:val="auto"/>
        </w:rPr>
      </w:pPr>
    </w:p>
    <w:p>
      <w:pPr>
        <w:ind w:firstLine="619"/>
        <w:spacing w:after="0" w:line="269" w:lineRule="auto"/>
        <w:rPr>
          <w:sz w:val="20"/>
          <w:szCs w:val="20"/>
          <w:color w:val="auto"/>
        </w:rPr>
      </w:pPr>
      <w:r>
        <w:rPr>
          <w:rFonts w:ascii="Arial" w:cs="Arial" w:eastAsia="Arial" w:hAnsi="Arial"/>
          <w:sz w:val="13"/>
          <w:szCs w:val="13"/>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Per Share</w:t>
      </w:r>
    </w:p>
    <w:p>
      <w:pPr>
        <w:spacing w:after="0" w:line="138" w:lineRule="exact"/>
        <w:rPr>
          <w:sz w:val="20"/>
          <w:szCs w:val="20"/>
          <w:color w:val="auto"/>
        </w:rPr>
      </w:pPr>
    </w:p>
    <w:p>
      <w:pPr>
        <w:ind w:right="40" w:firstLine="619"/>
        <w:spacing w:after="0" w:line="315" w:lineRule="auto"/>
        <w:rPr>
          <w:sz w:val="20"/>
          <w:szCs w:val="20"/>
          <w:color w:val="auto"/>
        </w:rPr>
      </w:pPr>
      <w:r>
        <w:rPr>
          <w:rFonts w:ascii="Arial" w:cs="Arial" w:eastAsia="Arial" w:hAnsi="Arial"/>
          <w:sz w:val="11"/>
          <w:szCs w:val="11"/>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three and six months ended June 30, 2022, the net loss used in the calculation of diluted net loss per share was increased by $0.1 million and</w:t>
      </w:r>
    </w:p>
    <w:p>
      <w:pPr>
        <w:spacing w:after="0" w:line="2" w:lineRule="exact"/>
        <w:rPr>
          <w:sz w:val="20"/>
          <w:szCs w:val="20"/>
          <w:color w:val="auto"/>
        </w:rPr>
      </w:pPr>
    </w:p>
    <w:p>
      <w:pPr>
        <w:ind w:right="480"/>
        <w:spacing w:after="0" w:line="251" w:lineRule="auto"/>
        <w:rPr>
          <w:sz w:val="20"/>
          <w:szCs w:val="20"/>
          <w:color w:val="auto"/>
        </w:rPr>
      </w:pPr>
      <w:r>
        <w:rPr>
          <w:rFonts w:ascii="Arial" w:cs="Arial" w:eastAsia="Arial" w:hAnsi="Arial"/>
          <w:sz w:val="14"/>
          <w:szCs w:val="14"/>
          <w:color w:val="auto"/>
        </w:rPr>
        <w:t>$0.1 million, respectively, to remove the gain recognized from the change in fair value of certain common stock warrants based on the dilutive effect of assumed exercise, and the denominator was increased by 958 shares and 965 shares, respectively, calculated under the treasury stock method.</w:t>
      </w:r>
    </w:p>
    <w:p>
      <w:pPr>
        <w:spacing w:after="0" w:line="149" w:lineRule="exact"/>
        <w:rPr>
          <w:sz w:val="20"/>
          <w:szCs w:val="20"/>
          <w:color w:val="auto"/>
        </w:rPr>
      </w:pPr>
    </w:p>
    <w:p>
      <w:pPr>
        <w:ind w:right="180" w:firstLine="619"/>
        <w:spacing w:after="0" w:line="404" w:lineRule="auto"/>
        <w:rPr>
          <w:sz w:val="20"/>
          <w:szCs w:val="20"/>
          <w:color w:val="auto"/>
        </w:rPr>
      </w:pPr>
      <w:r>
        <w:rPr>
          <w:rFonts w:ascii="Arial" w:cs="Arial" w:eastAsia="Arial" w:hAnsi="Arial"/>
          <w:sz w:val="11"/>
          <w:szCs w:val="11"/>
          <w:color w:val="auto"/>
        </w:rPr>
        <w:t>For the six months ended June 30, 2021, there was no difference in the weighted average number of shares used to calculate basic and diluted net loss per share due to the Company’s net loss position. For the three months ended June 30, 2021, the numerator and denominator of the diluted net income per share computation were calculated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5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3"/>
        </w:trPr>
        <w:tc>
          <w:tcPr>
            <w:tcW w:w="9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w w:val="93"/>
              </w:rPr>
              <w:t>Three Months Ended June 30, 2021</w:t>
            </w:r>
          </w:p>
        </w:tc>
      </w:tr>
      <w:tr>
        <w:trPr>
          <w:trHeight w:val="173"/>
        </w:trPr>
        <w:tc>
          <w:tcPr>
            <w:tcW w:w="92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Net income - basic and diluted</w:t>
            </w: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4,008</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9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5"/>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62,717</w:t>
            </w:r>
          </w:p>
        </w:tc>
      </w:tr>
      <w:tr>
        <w:trPr>
          <w:trHeight w:val="175"/>
        </w:trPr>
        <w:tc>
          <w:tcPr>
            <w:tcW w:w="9200" w:type="dxa"/>
            <w:vAlign w:val="bottom"/>
          </w:tcPr>
          <w:p>
            <w:pPr>
              <w:ind w:left="20"/>
              <w:spacing w:after="0"/>
              <w:rPr>
                <w:sz w:val="20"/>
                <w:szCs w:val="20"/>
                <w:color w:val="auto"/>
              </w:rPr>
            </w:pPr>
            <w:r>
              <w:rPr>
                <w:rFonts w:ascii="Arial" w:cs="Arial" w:eastAsia="Arial" w:hAnsi="Arial"/>
                <w:sz w:val="14"/>
                <w:szCs w:val="14"/>
                <w:color w:val="auto"/>
              </w:rPr>
              <w:t>Dilutive common share equivalents:</w:t>
            </w: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6"/>
        </w:trPr>
        <w:tc>
          <w:tcPr>
            <w:tcW w:w="9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 to purchase common stock</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r>
      <w:tr>
        <w:trPr>
          <w:trHeight w:val="175"/>
        </w:trPr>
        <w:tc>
          <w:tcPr>
            <w:tcW w:w="9200" w:type="dxa"/>
            <w:vAlign w:val="bottom"/>
          </w:tcPr>
          <w:p>
            <w:pPr>
              <w:ind w:left="140"/>
              <w:spacing w:after="0"/>
              <w:rPr>
                <w:sz w:val="20"/>
                <w:szCs w:val="20"/>
                <w:color w:val="auto"/>
              </w:rPr>
            </w:pPr>
            <w:r>
              <w:rPr>
                <w:rFonts w:ascii="Arial" w:cs="Arial" w:eastAsia="Arial" w:hAnsi="Arial"/>
                <w:sz w:val="14"/>
                <w:szCs w:val="14"/>
                <w:color w:val="auto"/>
              </w:rPr>
              <w:t>Unvested restricted stock units</w:t>
            </w:r>
          </w:p>
        </w:tc>
        <w:tc>
          <w:tcPr>
            <w:tcW w:w="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176"/>
        </w:trPr>
        <w:tc>
          <w:tcPr>
            <w:tcW w:w="9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to purchase common stock</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75"/>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Awards to be granted under the ESPP</w:t>
            </w: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1"/>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8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65,663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300" w:firstLine="619"/>
        <w:spacing w:after="0" w:line="250" w:lineRule="auto"/>
        <w:rPr>
          <w:sz w:val="20"/>
          <w:szCs w:val="20"/>
          <w:color w:val="auto"/>
        </w:rPr>
      </w:pPr>
      <w:r>
        <w:rPr>
          <w:rFonts w:ascii="Arial" w:cs="Arial" w:eastAsia="Arial" w:hAnsi="Arial"/>
          <w:sz w:val="14"/>
          <w:szCs w:val="14"/>
          <w:color w:val="auto"/>
        </w:rPr>
        <w:t>Potentially dilutive securities outstanding and not included in the calculation of diluted net loss per share (because inclusion would be anti-dilutive) are as follows (in thousands, in common stock equivalent shares):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2180" w:type="dxa"/>
            <w:vAlign w:val="bottom"/>
            <w:gridSpan w:val="3"/>
          </w:tcPr>
          <w:p>
            <w:pPr>
              <w:jc w:val="center"/>
              <w:ind w:left="854"/>
              <w:spacing w:after="0"/>
              <w:rPr>
                <w:sz w:val="20"/>
                <w:szCs w:val="20"/>
                <w:color w:val="auto"/>
              </w:rPr>
            </w:pPr>
            <w:r>
              <w:rPr>
                <w:rFonts w:ascii="Arial" w:cs="Arial" w:eastAsia="Arial" w:hAnsi="Arial"/>
                <w:sz w:val="12"/>
                <w:szCs w:val="12"/>
                <w:b w:val="1"/>
                <w:bCs w:val="1"/>
                <w:color w:val="auto"/>
                <w:w w:val="96"/>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3"/>
          </w:tcPr>
          <w:p>
            <w:pPr>
              <w:jc w:val="center"/>
              <w:ind w:left="894"/>
              <w:spacing w:after="0"/>
              <w:rPr>
                <w:sz w:val="20"/>
                <w:szCs w:val="20"/>
                <w:color w:val="auto"/>
              </w:rPr>
            </w:pPr>
            <w:r>
              <w:rPr>
                <w:rFonts w:ascii="Arial" w:cs="Arial" w:eastAsia="Arial" w:hAnsi="Arial"/>
                <w:sz w:val="12"/>
                <w:szCs w:val="12"/>
                <w:b w:val="1"/>
                <w:bCs w:val="1"/>
                <w:color w:val="auto"/>
                <w:w w:val="94"/>
              </w:rPr>
              <w:t>Six Months Ended</w:t>
            </w:r>
          </w:p>
        </w:tc>
        <w:tc>
          <w:tcPr>
            <w:tcW w:w="960" w:type="dxa"/>
            <w:vAlign w:val="bottom"/>
          </w:tcPr>
          <w:p>
            <w:pPr>
              <w:spacing w:after="0"/>
              <w:rPr>
                <w:sz w:val="12"/>
                <w:szCs w:val="12"/>
                <w:color w:val="auto"/>
              </w:rPr>
            </w:pPr>
          </w:p>
        </w:tc>
      </w:tr>
      <w:tr>
        <w:trPr>
          <w:trHeight w:val="163"/>
        </w:trPr>
        <w:tc>
          <w:tcPr>
            <w:tcW w:w="4980" w:type="dxa"/>
            <w:vAlign w:val="bottom"/>
          </w:tcPr>
          <w:p>
            <w:pPr>
              <w:spacing w:after="0"/>
              <w:rPr>
                <w:sz w:val="14"/>
                <w:szCs w:val="14"/>
                <w:color w:val="auto"/>
              </w:rPr>
            </w:pPr>
          </w:p>
        </w:tc>
        <w:tc>
          <w:tcPr>
            <w:tcW w:w="218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2"/>
                <w:szCs w:val="12"/>
                <w:b w:val="1"/>
                <w:bCs w:val="1"/>
                <w:color w:val="auto"/>
                <w:w w:val="91"/>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2"/>
                <w:szCs w:val="12"/>
                <w:b w:val="1"/>
                <w:bCs w:val="1"/>
                <w:color w:val="auto"/>
                <w:w w:val="91"/>
              </w:rPr>
              <w:t>June 30,</w:t>
            </w:r>
          </w:p>
        </w:tc>
        <w:tc>
          <w:tcPr>
            <w:tcW w:w="960" w:type="dxa"/>
            <w:vAlign w:val="bottom"/>
            <w:tcBorders>
              <w:bottom w:val="single" w:sz="8" w:color="auto"/>
            </w:tcBorders>
          </w:tcPr>
          <w:p>
            <w:pPr>
              <w:spacing w:after="0"/>
              <w:rPr>
                <w:sz w:val="14"/>
                <w:szCs w:val="14"/>
                <w:color w:val="auto"/>
              </w:rPr>
            </w:pPr>
          </w:p>
        </w:tc>
      </w:tr>
      <w:tr>
        <w:trPr>
          <w:trHeight w:val="155"/>
        </w:trPr>
        <w:tc>
          <w:tcPr>
            <w:tcW w:w="49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2021</w:t>
            </w:r>
          </w:p>
        </w:tc>
      </w:tr>
      <w:tr>
        <w:trPr>
          <w:trHeight w:val="168"/>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w:t>
            </w: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Unvested restricted stock units</w:t>
            </w:r>
          </w:p>
        </w:tc>
        <w:tc>
          <w:tcPr>
            <w:tcW w:w="150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7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Awards granted under the ESPP</w:t>
            </w:r>
          </w:p>
        </w:tc>
        <w:tc>
          <w:tcPr>
            <w:tcW w:w="15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7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senior notes (if-converted)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w:t>
            </w:r>
          </w:p>
        </w:tc>
      </w:tr>
      <w:tr>
        <w:trPr>
          <w:trHeight w:val="166"/>
        </w:trPr>
        <w:tc>
          <w:tcPr>
            <w:tcW w:w="49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8,115</w:t>
            </w:r>
          </w:p>
        </w:tc>
      </w:tr>
      <w:tr>
        <w:trPr>
          <w:trHeight w:val="20"/>
        </w:trPr>
        <w:tc>
          <w:tcPr>
            <w:tcW w:w="4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In June 2020, the FASB issued ASU No. 2020-06, </w:t>
      </w:r>
      <w:r>
        <w:rPr>
          <w:rFonts w:ascii="Arial" w:cs="Arial" w:eastAsia="Arial" w:hAnsi="Arial"/>
          <w:sz w:val="14"/>
          <w:szCs w:val="14"/>
          <w:i w:val="1"/>
          <w:iCs w:val="1"/>
          <w:color w:val="auto"/>
        </w:rPr>
        <w:t>Accounting for Convertible Instruments and Contracts in</w:t>
      </w:r>
    </w:p>
    <w:p>
      <w:pPr>
        <w:spacing w:after="0" w:line="13"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i w:val="1"/>
          <w:iCs w:val="1"/>
          <w:color w:val="auto"/>
        </w:rPr>
        <w:t>an Entity’s Own Equity</w:t>
      </w:r>
      <w:r>
        <w:rPr>
          <w:rFonts w:ascii="Arial" w:cs="Arial" w:eastAsia="Arial" w:hAnsi="Arial"/>
          <w:sz w:val="13"/>
          <w:szCs w:val="13"/>
          <w:color w:val="auto"/>
        </w:rPr>
        <w:t>, which is intended to simplify the accounting for convertible instruments. This new guidance eliminated certain models that require separate accounting for embedded conversion</w:t>
      </w:r>
      <w:r>
        <w:rPr>
          <w:rFonts w:ascii="Arial" w:cs="Arial" w:eastAsia="Arial" w:hAnsi="Arial"/>
          <w:sz w:val="13"/>
          <w:szCs w:val="13"/>
          <w:i w:val="1"/>
          <w:iCs w:val="1"/>
          <w:color w:val="auto"/>
        </w:rPr>
        <w:t xml:space="preserve"> </w:t>
      </w:r>
      <w:r>
        <w:rPr>
          <w:rFonts w:ascii="Arial" w:cs="Arial" w:eastAsia="Arial" w:hAnsi="Arial"/>
          <w:sz w:val="13"/>
          <w:szCs w:val="13"/>
          <w:color w:val="auto"/>
        </w:rPr>
        <w:t>features, and eliminated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could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(see Note 7, “Debt”).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913"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3. Short-Term Investments</w:t>
      </w:r>
    </w:p>
    <w:p>
      <w:pPr>
        <w:spacing w:after="0" w:line="152" w:lineRule="exact"/>
        <w:rPr>
          <w:sz w:val="20"/>
          <w:szCs w:val="20"/>
          <w:color w:val="auto"/>
        </w:rPr>
      </w:pPr>
    </w:p>
    <w:p>
      <w:pPr>
        <w:ind w:right="600" w:firstLine="619"/>
        <w:spacing w:after="0" w:line="401" w:lineRule="auto"/>
        <w:rPr>
          <w:sz w:val="20"/>
          <w:szCs w:val="20"/>
          <w:color w:val="auto"/>
        </w:rPr>
      </w:pPr>
      <w:r>
        <w:rPr>
          <w:rFonts w:ascii="Arial" w:cs="Arial" w:eastAsia="Arial" w:hAnsi="Arial"/>
          <w:sz w:val="11"/>
          <w:szCs w:val="11"/>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June 30, 2022 and December 31, 2021 (in thousands):</w:t>
      </w:r>
    </w:p>
    <w:tbl>
      <w:tblPr>
        <w:tblLayout w:type="fixed"/>
        <w:tblInd w:w="0" w:type="dxa"/>
        <w:tblCellMar>
          <w:top w:w="0" w:type="dxa"/>
          <w:left w:w="0" w:type="dxa"/>
          <w:bottom w:w="0" w:type="dxa"/>
          <w:right w:w="0" w:type="dxa"/>
        </w:tblCellMar>
      </w:tblPr>
      <w:tr>
        <w:trPr>
          <w:trHeight w:val="124"/>
        </w:trPr>
        <w:tc>
          <w:tcPr>
            <w:tcW w:w="576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At June 30, 2022</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95"/>
              </w:rPr>
              <w:t>Amortized</w:t>
            </w: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3"/>
              </w:rPr>
              <w:t>Gross Unrealized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1"/>
              </w:rPr>
              <w:t>Gross Unrealized</w:t>
            </w:r>
          </w:p>
        </w:tc>
        <w:tc>
          <w:tcPr>
            <w:tcW w:w="220" w:type="dxa"/>
            <w:vAlign w:val="bottom"/>
          </w:tcPr>
          <w:p>
            <w:pPr>
              <w:spacing w:after="0"/>
              <w:rPr>
                <w:sz w:val="10"/>
                <w:szCs w:val="10"/>
                <w:color w:val="auto"/>
              </w:rPr>
            </w:pPr>
          </w:p>
        </w:tc>
        <w:tc>
          <w:tcPr>
            <w:tcW w:w="1080" w:type="dxa"/>
            <w:vAlign w:val="bottom"/>
          </w:tcPr>
          <w:p>
            <w:pPr>
              <w:ind w:left="160"/>
              <w:spacing w:after="0" w:line="125" w:lineRule="exact"/>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34"/>
        </w:trPr>
        <w:tc>
          <w:tcPr>
            <w:tcW w:w="57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w w:val="89"/>
              </w:rPr>
              <w:t>Cost</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7"/>
              </w:rPr>
              <w:t>Gain</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w w:val="85"/>
              </w:rPr>
              <w:t>Loss</w:t>
            </w:r>
          </w:p>
        </w:tc>
        <w:tc>
          <w:tcPr>
            <w:tcW w:w="220" w:type="dxa"/>
            <w:vAlign w:val="bottom"/>
          </w:tcPr>
          <w:p>
            <w:pPr>
              <w:spacing w:after="0"/>
              <w:rPr>
                <w:sz w:val="11"/>
                <w:szCs w:val="11"/>
                <w:color w:val="auto"/>
              </w:rPr>
            </w:pPr>
          </w:p>
        </w:tc>
        <w:tc>
          <w:tcPr>
            <w:tcW w:w="10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gridSpan w:val="4"/>
            <w:shd w:val="clear" w:color="auto" w:fill="CCEEFF"/>
          </w:tcPr>
          <w:p>
            <w:pPr>
              <w:ind w:left="20"/>
              <w:spacing w:after="0" w:line="147" w:lineRule="exact"/>
              <w:rPr>
                <w:sz w:val="20"/>
                <w:szCs w:val="20"/>
                <w:color w:val="auto"/>
              </w:rPr>
            </w:pPr>
            <w:r>
              <w:rPr>
                <w:rFonts w:ascii="Arial" w:cs="Arial" w:eastAsia="Arial" w:hAnsi="Arial"/>
                <w:sz w:val="14"/>
                <w:szCs w:val="14"/>
                <w:color w:val="auto"/>
              </w:rPr>
              <w:t>Available-for-sale securities: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281,783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(3,364)</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278,423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Corporate debt securities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49,515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49,300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U.S. Government-sponsored enterprises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Supranational bonds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524,630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76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At December 31, 2021</w:t>
            </w:r>
          </w:p>
        </w:tc>
        <w:tc>
          <w:tcPr>
            <w:tcW w:w="2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5"/>
              </w:rPr>
              <w:t>Amortized</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Gross Unrealized</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Gross Unrealized</w:t>
            </w:r>
          </w:p>
        </w:tc>
        <w:tc>
          <w:tcPr>
            <w:tcW w:w="22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34"/>
        </w:trPr>
        <w:tc>
          <w:tcPr>
            <w:tcW w:w="57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w w:val="89"/>
              </w:rPr>
              <w:t>Cost</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7"/>
              </w:rPr>
              <w:t>Gain</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w w:val="85"/>
              </w:rPr>
              <w:t>Loss</w:t>
            </w:r>
          </w:p>
        </w:tc>
        <w:tc>
          <w:tcPr>
            <w:tcW w:w="220" w:type="dxa"/>
            <w:vAlign w:val="bottom"/>
          </w:tcPr>
          <w:p>
            <w:pPr>
              <w:spacing w:after="0"/>
              <w:rPr>
                <w:sz w:val="11"/>
                <w:szCs w:val="11"/>
                <w:color w:val="auto"/>
              </w:rPr>
            </w:pPr>
          </w:p>
        </w:tc>
        <w:tc>
          <w:tcPr>
            <w:tcW w:w="10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gridSpan w:val="4"/>
            <w:shd w:val="clear" w:color="auto" w:fill="CCEEFF"/>
          </w:tcPr>
          <w:p>
            <w:pPr>
              <w:ind w:left="20"/>
              <w:spacing w:after="0" w:line="147" w:lineRule="exact"/>
              <w:rPr>
                <w:sz w:val="20"/>
                <w:szCs w:val="20"/>
                <w:color w:val="auto"/>
              </w:rPr>
            </w:pPr>
            <w:r>
              <w:rPr>
                <w:rFonts w:ascii="Arial" w:cs="Arial" w:eastAsia="Arial" w:hAnsi="Arial"/>
                <w:sz w:val="14"/>
                <w:szCs w:val="14"/>
                <w:color w:val="auto"/>
              </w:rPr>
              <w:t>Available-for-sale securities: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222,206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221,724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218,381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Corporate debt securities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58,836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U.S. Government-sponsored enterprises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tcPr>
          <w:p>
            <w:pPr>
              <w:ind w:left="60"/>
              <w:spacing w:after="0"/>
              <w:rPr>
                <w:sz w:val="20"/>
                <w:szCs w:val="20"/>
                <w:color w:val="auto"/>
              </w:rPr>
            </w:pPr>
            <w:r>
              <w:rPr>
                <w:rFonts w:ascii="Arial" w:cs="Arial" w:eastAsia="Arial" w:hAnsi="Arial"/>
                <w:sz w:val="14"/>
                <w:szCs w:val="14"/>
                <w:color w:val="auto"/>
              </w:rPr>
              <w:t>Supranational bonds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contractual maturities of available-for-sale debt securities as of June 30, 2022,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Years to Maturity</w:t>
            </w: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30"/>
        </w:trPr>
        <w:tc>
          <w:tcPr>
            <w:tcW w:w="5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At June 30, 2022</w:t>
            </w:r>
          </w:p>
        </w:tc>
        <w:tc>
          <w:tcPr>
            <w:tcW w:w="280" w:type="dxa"/>
            <w:vAlign w:val="bottom"/>
          </w:tcPr>
          <w:p>
            <w:pPr>
              <w:spacing w:after="0"/>
              <w:rPr>
                <w:sz w:val="11"/>
                <w:szCs w:val="11"/>
                <w:color w:val="auto"/>
              </w:rPr>
            </w:pPr>
          </w:p>
        </w:tc>
        <w:tc>
          <w:tcPr>
            <w:tcW w:w="16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Within One Year</w:t>
            </w:r>
          </w:p>
        </w:tc>
        <w:tc>
          <w:tcPr>
            <w:tcW w:w="440" w:type="dxa"/>
            <w:vAlign w:val="bottom"/>
          </w:tcPr>
          <w:p>
            <w:pPr>
              <w:spacing w:after="0"/>
              <w:rPr>
                <w:sz w:val="11"/>
                <w:szCs w:val="11"/>
                <w:color w:val="auto"/>
              </w:rPr>
            </w:pPr>
          </w:p>
        </w:tc>
        <w:tc>
          <w:tcPr>
            <w:tcW w:w="1400" w:type="dxa"/>
            <w:vAlign w:val="bottom"/>
          </w:tcPr>
          <w:p>
            <w:pPr>
              <w:jc w:val="right"/>
              <w:ind w:right="392"/>
              <w:spacing w:after="0" w:line="130" w:lineRule="exact"/>
              <w:rPr>
                <w:sz w:val="20"/>
                <w:szCs w:val="20"/>
                <w:color w:val="auto"/>
              </w:rPr>
            </w:pPr>
            <w:r>
              <w:rPr>
                <w:rFonts w:ascii="Arial" w:cs="Arial" w:eastAsia="Arial" w:hAnsi="Arial"/>
                <w:sz w:val="12"/>
                <w:szCs w:val="12"/>
                <w:b w:val="1"/>
                <w:bCs w:val="1"/>
                <w:color w:val="auto"/>
                <w:w w:val="90"/>
              </w:rPr>
              <w:t>One to Two Years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jc w:val="right"/>
              <w:ind w:right="292"/>
              <w:spacing w:after="0" w:line="130" w:lineRule="exact"/>
              <w:rPr>
                <w:sz w:val="20"/>
                <w:szCs w:val="20"/>
                <w:color w:val="auto"/>
              </w:rPr>
            </w:pPr>
            <w:r>
              <w:rPr>
                <w:rFonts w:ascii="Arial" w:cs="Arial" w:eastAsia="Arial" w:hAnsi="Arial"/>
                <w:sz w:val="12"/>
                <w:szCs w:val="12"/>
                <w:b w:val="1"/>
                <w:bCs w:val="1"/>
                <w:color w:val="auto"/>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7"/>
        </w:trPr>
        <w:tc>
          <w:tcPr>
            <w:tcW w:w="556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U.S. Treasury securities</w:t>
            </w:r>
          </w:p>
        </w:tc>
        <w:tc>
          <w:tcPr>
            <w:tcW w:w="280" w:type="dxa"/>
            <w:vAlign w:val="bottom"/>
            <w:shd w:val="clear" w:color="auto" w:fill="CCEEFF"/>
          </w:tcPr>
          <w:p>
            <w:pPr>
              <w:jc w:val="right"/>
              <w:ind w:right="131"/>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256,417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1"/>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22,006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1"/>
              <w:spacing w:after="0" w:line="157"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278,423</w:t>
            </w:r>
          </w:p>
        </w:tc>
      </w:tr>
      <w:tr>
        <w:trPr>
          <w:trHeight w:val="175"/>
        </w:trPr>
        <w:tc>
          <w:tcPr>
            <w:tcW w:w="5560" w:type="dxa"/>
            <w:vAlign w:val="bottom"/>
            <w:gridSpan w:val="3"/>
          </w:tcPr>
          <w:p>
            <w:pPr>
              <w:ind w:left="20"/>
              <w:spacing w:after="0"/>
              <w:rPr>
                <w:sz w:val="20"/>
                <w:szCs w:val="20"/>
                <w:color w:val="auto"/>
              </w:rPr>
            </w:pPr>
            <w:r>
              <w:rPr>
                <w:rFonts w:ascii="Arial" w:cs="Arial" w:eastAsia="Arial" w:hAnsi="Arial"/>
                <w:sz w:val="14"/>
                <w:szCs w:val="14"/>
                <w:color w:val="auto"/>
              </w:rPr>
              <w:t>Commercial paper</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147,651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147,651</w:t>
            </w:r>
          </w:p>
        </w:tc>
      </w:tr>
      <w:tr>
        <w:trPr>
          <w:trHeight w:val="17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Corporate debt securities</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38,538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49,300</w:t>
            </w:r>
          </w:p>
        </w:tc>
      </w:tr>
      <w:tr>
        <w:trPr>
          <w:trHeight w:val="175"/>
        </w:trPr>
        <w:tc>
          <w:tcPr>
            <w:tcW w:w="5560" w:type="dxa"/>
            <w:vAlign w:val="bottom"/>
            <w:gridSpan w:val="3"/>
          </w:tcPr>
          <w:p>
            <w:pPr>
              <w:ind w:left="2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40,495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42,491</w:t>
            </w:r>
          </w:p>
        </w:tc>
      </w:tr>
      <w:tr>
        <w:trPr>
          <w:trHeight w:val="17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Supranational bonds</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165"/>
        </w:trPr>
        <w:tc>
          <w:tcPr>
            <w:tcW w:w="20" w:type="dxa"/>
            <w:vAlign w:val="bottom"/>
          </w:tcPr>
          <w:p>
            <w:pPr>
              <w:spacing w:after="0"/>
              <w:rPr>
                <w:sz w:val="14"/>
                <w:szCs w:val="14"/>
                <w:color w:val="auto"/>
              </w:rPr>
            </w:pPr>
          </w:p>
        </w:tc>
        <w:tc>
          <w:tcPr>
            <w:tcW w:w="55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485,601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34,764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520,365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00" w:firstLine="619"/>
        <w:spacing w:after="0" w:line="250" w:lineRule="auto"/>
        <w:rPr>
          <w:sz w:val="20"/>
          <w:szCs w:val="20"/>
          <w:color w:val="auto"/>
        </w:rPr>
      </w:pPr>
      <w:r>
        <w:rPr>
          <w:rFonts w:ascii="Arial" w:cs="Arial" w:eastAsia="Arial" w:hAnsi="Arial"/>
          <w:sz w:val="14"/>
          <w:szCs w:val="14"/>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60" w:lineRule="exact"/>
        <w:rPr>
          <w:sz w:val="20"/>
          <w:szCs w:val="20"/>
          <w:color w:val="auto"/>
        </w:rPr>
      </w:pPr>
    </w:p>
    <w:p>
      <w:pPr>
        <w:ind w:right="40" w:firstLine="619"/>
        <w:spacing w:after="0" w:line="316" w:lineRule="auto"/>
        <w:rPr>
          <w:sz w:val="20"/>
          <w:szCs w:val="20"/>
          <w:color w:val="auto"/>
        </w:rPr>
      </w:pPr>
      <w:r>
        <w:rPr>
          <w:rFonts w:ascii="Arial" w:cs="Arial" w:eastAsia="Arial" w:hAnsi="Arial"/>
          <w:sz w:val="11"/>
          <w:szCs w:val="11"/>
          <w:color w:val="auto"/>
        </w:rPr>
        <w:t>The Company reviews the portfolio of available-for-sale debt securities quarterly to determine if any investment is impaired due to changes in credit risk or other potential valuation concerns. Unrealized losses on available-for-sale debt securities at June 30, 2022 were primarily due to the recent increase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recognize any impairment losses related to its available-for-sale debt securities at June 30, 2022.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4. Composition of Certain Financial Statement Items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Accounts receivable, net consisted of the following at June 30, 2022 and December 31, 2021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2"/>
                <w:szCs w:val="12"/>
                <w:b w:val="1"/>
                <w:bCs w:val="1"/>
                <w:color w:val="auto"/>
              </w:rPr>
              <w:t>June 30, 2022</w:t>
            </w:r>
          </w:p>
        </w:tc>
        <w:tc>
          <w:tcPr>
            <w:tcW w:w="220" w:type="dxa"/>
            <w:vAlign w:val="bottom"/>
          </w:tcPr>
          <w:p>
            <w:pPr>
              <w:spacing w:after="0"/>
              <w:rPr>
                <w:sz w:val="14"/>
                <w:szCs w:val="14"/>
                <w:color w:val="auto"/>
              </w:rPr>
            </w:pPr>
          </w:p>
        </w:tc>
        <w:tc>
          <w:tcPr>
            <w:tcW w:w="1480" w:type="dxa"/>
            <w:vAlign w:val="bottom"/>
          </w:tcPr>
          <w:p>
            <w:pPr>
              <w:jc w:val="right"/>
              <w:ind w:right="293"/>
              <w:spacing w:after="0"/>
              <w:rPr>
                <w:sz w:val="20"/>
                <w:szCs w:val="20"/>
                <w:color w:val="auto"/>
              </w:rPr>
            </w:pPr>
            <w:r>
              <w:rPr>
                <w:rFonts w:ascii="Arial" w:cs="Arial" w:eastAsia="Arial" w:hAnsi="Arial"/>
                <w:sz w:val="12"/>
                <w:szCs w:val="12"/>
                <w:b w:val="1"/>
                <w:bCs w:val="1"/>
                <w:color w:val="auto"/>
              </w:rPr>
              <w:t>December 31, 2021</w:t>
            </w:r>
          </w:p>
        </w:tc>
      </w:tr>
      <w:tr>
        <w:trPr>
          <w:trHeight w:val="168"/>
        </w:trPr>
        <w:tc>
          <w:tcPr>
            <w:tcW w:w="77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Accounts receivable</w:t>
            </w: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108,363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114,974</w:t>
            </w:r>
          </w:p>
        </w:tc>
      </w:tr>
      <w:tr>
        <w:trPr>
          <w:trHeight w:val="17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allowance for credit losses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w:t>
            </w:r>
          </w:p>
        </w:tc>
      </w:tr>
      <w:tr>
        <w:trPr>
          <w:trHeight w:val="191"/>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110,725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38" w:lineRule="exact"/>
        <w:rPr>
          <w:sz w:val="20"/>
          <w:szCs w:val="20"/>
          <w:color w:val="auto"/>
        </w:rPr>
      </w:pPr>
    </w:p>
    <w:p>
      <w:pPr>
        <w:ind w:right="380" w:firstLine="619"/>
        <w:spacing w:after="0" w:line="266" w:lineRule="auto"/>
        <w:rPr>
          <w:sz w:val="20"/>
          <w:szCs w:val="20"/>
          <w:color w:val="auto"/>
        </w:rPr>
      </w:pPr>
      <w:r>
        <w:rPr>
          <w:rFonts w:ascii="Arial" w:cs="Arial" w:eastAsia="Arial" w:hAnsi="Arial"/>
          <w:sz w:val="14"/>
          <w:szCs w:val="14"/>
          <w:color w:val="auto"/>
        </w:rPr>
        <w:t>The following table provides a reconciliation of the changes in the allowance for estimated accounts receivable credit losses for the three and six months ended June 30, 2022 and 2021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3"/>
          </w:tcPr>
          <w:p>
            <w:pPr>
              <w:jc w:val="right"/>
              <w:ind w:right="434"/>
              <w:spacing w:after="0"/>
              <w:rPr>
                <w:sz w:val="20"/>
                <w:szCs w:val="20"/>
                <w:color w:val="auto"/>
              </w:rPr>
            </w:pPr>
            <w:r>
              <w:rPr>
                <w:rFonts w:ascii="Arial" w:cs="Arial" w:eastAsia="Arial" w:hAnsi="Arial"/>
                <w:sz w:val="12"/>
                <w:szCs w:val="12"/>
                <w:b w:val="1"/>
                <w:bCs w:val="1"/>
                <w:color w:val="auto"/>
                <w:w w:val="97"/>
              </w:rPr>
              <w:t>Three Months Ended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6"/>
          </w:tcPr>
          <w:p>
            <w:pPr>
              <w:ind w:left="84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2"/>
                <w:szCs w:val="12"/>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120"/>
              <w:spacing w:after="0"/>
              <w:rPr>
                <w:sz w:val="20"/>
                <w:szCs w:val="20"/>
                <w:color w:val="auto"/>
              </w:rPr>
            </w:pPr>
            <w:r>
              <w:rPr>
                <w:rFonts w:ascii="Arial" w:cs="Arial" w:eastAsia="Arial" w:hAnsi="Arial"/>
                <w:sz w:val="12"/>
                <w:szCs w:val="12"/>
                <w:b w:val="1"/>
                <w:bCs w:val="1"/>
                <w:color w:val="auto"/>
                <w:w w:val="95"/>
              </w:rPr>
              <w:t>June 30,</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Balance at beginning of the period</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center"/>
              <w:ind w:left="834"/>
              <w:spacing w:after="0"/>
              <w:rPr>
                <w:sz w:val="20"/>
                <w:szCs w:val="20"/>
                <w:color w:val="auto"/>
              </w:rPr>
            </w:pPr>
            <w:r>
              <w:rPr>
                <w:rFonts w:ascii="Arial" w:cs="Arial" w:eastAsia="Arial" w:hAnsi="Arial"/>
                <w:sz w:val="14"/>
                <w:szCs w:val="14"/>
                <w:color w:val="auto"/>
                <w:w w:val="85"/>
              </w:rPr>
              <w:t>4,249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Arial" w:cs="Arial" w:eastAsia="Arial" w:hAnsi="Arial"/>
                <w:sz w:val="14"/>
                <w:szCs w:val="14"/>
                <w:color w:val="auto"/>
              </w:rPr>
              <w:t>Provision for expected credit losses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left="834"/>
              <w:spacing w:after="0"/>
              <w:rPr>
                <w:sz w:val="20"/>
                <w:szCs w:val="20"/>
                <w:color w:val="auto"/>
              </w:rPr>
            </w:pPr>
            <w:r>
              <w:rPr>
                <w:rFonts w:ascii="Arial" w:cs="Arial" w:eastAsia="Arial" w:hAnsi="Arial"/>
                <w:sz w:val="14"/>
                <w:szCs w:val="14"/>
                <w:color w:val="auto"/>
                <w:w w:val="85"/>
              </w:rPr>
              <w:t>1,990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Write-offs and adjustments, net of recoveries</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center"/>
              <w:ind w:left="794"/>
              <w:spacing w:after="0"/>
              <w:rPr>
                <w:sz w:val="20"/>
                <w:szCs w:val="20"/>
                <w:color w:val="auto"/>
              </w:rPr>
            </w:pPr>
            <w:r>
              <w:rPr>
                <w:rFonts w:ascii="Arial" w:cs="Arial" w:eastAsia="Arial" w:hAnsi="Arial"/>
                <w:sz w:val="14"/>
                <w:szCs w:val="14"/>
                <w:color w:val="auto"/>
                <w:w w:val="90"/>
              </w:rPr>
              <w:t>(1,639)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65"/>
        </w:trPr>
        <w:tc>
          <w:tcPr>
            <w:tcW w:w="4920" w:type="dxa"/>
            <w:vAlign w:val="bottom"/>
          </w:tcPr>
          <w:p>
            <w:pPr>
              <w:ind w:left="140"/>
              <w:spacing w:after="0"/>
              <w:rPr>
                <w:sz w:val="20"/>
                <w:szCs w:val="20"/>
                <w:color w:val="auto"/>
              </w:rPr>
            </w:pPr>
            <w:r>
              <w:rPr>
                <w:rFonts w:ascii="Arial" w:cs="Arial" w:eastAsia="Arial" w:hAnsi="Arial"/>
                <w:sz w:val="14"/>
                <w:szCs w:val="14"/>
                <w:color w:val="auto"/>
              </w:rPr>
              <w:t>Balance at end of the period</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4"/>
                <w:szCs w:val="14"/>
                <w:color w:val="auto"/>
                <w:w w:val="85"/>
              </w:rPr>
              <w:t>4,600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Inventories</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880" w:type="dxa"/>
            <w:vAlign w:val="bottom"/>
            <w:gridSpan w:val="2"/>
          </w:tcPr>
          <w:p>
            <w:pPr>
              <w:ind w:left="620"/>
              <w:spacing w:after="0"/>
              <w:rPr>
                <w:sz w:val="20"/>
                <w:szCs w:val="20"/>
                <w:color w:val="auto"/>
              </w:rPr>
            </w:pPr>
            <w:r>
              <w:rPr>
                <w:rFonts w:ascii="Arial" w:cs="Arial" w:eastAsia="Arial" w:hAnsi="Arial"/>
                <w:sz w:val="14"/>
                <w:szCs w:val="14"/>
                <w:color w:val="auto"/>
                <w:w w:val="89"/>
              </w:rPr>
              <w:t>Inventories consisted of the following at June 30, 2022 and December 31, 2021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4"/>
          </w:tcPr>
          <w:p>
            <w:pPr>
              <w:ind w:left="160"/>
              <w:spacing w:after="0"/>
              <w:rPr>
                <w:sz w:val="20"/>
                <w:szCs w:val="20"/>
                <w:color w:val="auto"/>
              </w:rPr>
            </w:pPr>
            <w:r>
              <w:rPr>
                <w:rFonts w:ascii="Arial" w:cs="Arial" w:eastAsia="Arial" w:hAnsi="Arial"/>
                <w:sz w:val="12"/>
                <w:szCs w:val="12"/>
                <w:b w:val="1"/>
                <w:bCs w:val="1"/>
                <w:color w:val="auto"/>
              </w:rPr>
              <w:t>June 30, 2022</w:t>
            </w:r>
          </w:p>
        </w:tc>
        <w:tc>
          <w:tcPr>
            <w:tcW w:w="220" w:type="dxa"/>
            <w:vAlign w:val="bottom"/>
          </w:tcPr>
          <w:p>
            <w:pPr>
              <w:spacing w:after="0"/>
              <w:rPr>
                <w:sz w:val="21"/>
                <w:szCs w:val="21"/>
                <w:color w:val="auto"/>
              </w:rPr>
            </w:pPr>
          </w:p>
        </w:tc>
        <w:tc>
          <w:tcPr>
            <w:tcW w:w="1300" w:type="dxa"/>
            <w:vAlign w:val="bottom"/>
          </w:tcPr>
          <w:p>
            <w:pPr>
              <w:jc w:val="right"/>
              <w:ind w:right="193"/>
              <w:spacing w:after="0"/>
              <w:rPr>
                <w:sz w:val="20"/>
                <w:szCs w:val="20"/>
                <w:color w:val="auto"/>
              </w:rPr>
            </w:pPr>
            <w:r>
              <w:rPr>
                <w:rFonts w:ascii="Arial" w:cs="Arial" w:eastAsia="Arial" w:hAnsi="Arial"/>
                <w:sz w:val="12"/>
                <w:szCs w:val="12"/>
                <w:b w:val="1"/>
                <w:bCs w:val="1"/>
                <w:color w:val="auto"/>
                <w:w w:val="94"/>
              </w:rPr>
              <w:t>December 31, 2021</w:t>
            </w:r>
          </w:p>
        </w:tc>
        <w:tc>
          <w:tcPr>
            <w:tcW w:w="0" w:type="dxa"/>
            <w:vAlign w:val="bottom"/>
          </w:tcPr>
          <w:p>
            <w:pPr>
              <w:spacing w:after="0"/>
              <w:rPr>
                <w:sz w:val="1"/>
                <w:szCs w:val="1"/>
                <w:color w:val="auto"/>
              </w:rPr>
            </w:pPr>
          </w:p>
        </w:tc>
      </w:tr>
      <w:tr>
        <w:trPr>
          <w:trHeight w:val="16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9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7"/>
              </w:rPr>
              <w:t>34,786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26,911</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ind w:left="840"/>
              <w:spacing w:after="0"/>
              <w:rPr>
                <w:sz w:val="20"/>
                <w:szCs w:val="20"/>
                <w:color w:val="auto"/>
              </w:rPr>
            </w:pPr>
            <w:r>
              <w:rPr>
                <w:rFonts w:ascii="Arial" w:cs="Arial" w:eastAsia="Arial" w:hAnsi="Arial"/>
                <w:sz w:val="14"/>
                <w:szCs w:val="14"/>
                <w:color w:val="auto"/>
                <w:w w:val="97"/>
              </w:rPr>
              <w:t>15,616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16,612</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7"/>
              </w:rPr>
              <w:t>37,696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25,028</w:t>
            </w:r>
          </w:p>
        </w:tc>
        <w:tc>
          <w:tcPr>
            <w:tcW w:w="0" w:type="dxa"/>
            <w:vAlign w:val="bottom"/>
          </w:tcPr>
          <w:p>
            <w:pPr>
              <w:spacing w:after="0"/>
              <w:rPr>
                <w:sz w:val="1"/>
                <w:szCs w:val="1"/>
                <w:color w:val="auto"/>
              </w:rPr>
            </w:pPr>
          </w:p>
        </w:tc>
      </w:tr>
      <w:tr>
        <w:trPr>
          <w:trHeight w:val="166"/>
        </w:trPr>
        <w:tc>
          <w:tcPr>
            <w:tcW w:w="4920" w:type="dxa"/>
            <w:vAlign w:val="bottom"/>
          </w:tcPr>
          <w:p>
            <w:pPr>
              <w:ind w:left="100"/>
              <w:spacing w:after="0"/>
              <w:rPr>
                <w:sz w:val="20"/>
                <w:szCs w:val="20"/>
                <w:color w:val="auto"/>
              </w:rPr>
            </w:pPr>
            <w:r>
              <w:rPr>
                <w:rFonts w:ascii="Arial" w:cs="Arial" w:eastAsia="Arial" w:hAnsi="Arial"/>
                <w:sz w:val="14"/>
                <w:szCs w:val="14"/>
                <w:color w:val="auto"/>
              </w:rPr>
              <w:t>Total inventories</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7"/>
              </w:rPr>
              <w:t>88,098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68,551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Measurements</w:t>
      </w:r>
    </w:p>
    <w:p>
      <w:pPr>
        <w:spacing w:after="0" w:line="173" w:lineRule="exact"/>
        <w:rPr>
          <w:sz w:val="20"/>
          <w:szCs w:val="20"/>
          <w:color w:val="auto"/>
        </w:rPr>
      </w:pPr>
    </w:p>
    <w:p>
      <w:pPr>
        <w:ind w:right="40" w:firstLine="619"/>
        <w:spacing w:after="0" w:line="236" w:lineRule="auto"/>
        <w:rPr>
          <w:sz w:val="20"/>
          <w:szCs w:val="20"/>
          <w:color w:val="auto"/>
        </w:rPr>
      </w:pPr>
      <w:r>
        <w:rPr>
          <w:rFonts w:ascii="Arial" w:cs="Arial" w:eastAsia="Arial" w:hAnsi="Arial"/>
          <w:sz w:val="14"/>
          <w:szCs w:val="14"/>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8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1"/>
          <w:szCs w:val="11"/>
          <w:color w:val="auto"/>
        </w:rPr>
        <w:t>Observable inputs such as unadjusted quoted prices in active markets that are accessible at the measurement date for identical, unrestricted assets or liabilities.</w:t>
      </w:r>
    </w:p>
    <w:p>
      <w:pPr>
        <w:spacing w:after="0" w:line="56"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1"/>
          <w:szCs w:val="11"/>
          <w:color w:val="auto"/>
        </w:rPr>
        <w:t>Inputs, other than quoted prices in active markets, that are observable either directly or indirectly for substantially the full term of the asset or liability.</w:t>
      </w:r>
    </w:p>
    <w:p>
      <w:pPr>
        <w:spacing w:after="0" w:line="56" w:lineRule="exact"/>
        <w:rPr>
          <w:sz w:val="20"/>
          <w:szCs w:val="20"/>
          <w:color w:val="auto"/>
        </w:rPr>
      </w:pPr>
    </w:p>
    <w:p>
      <w:pPr>
        <w:ind w:left="980" w:right="380" w:hanging="958"/>
        <w:spacing w:after="0" w:line="229" w:lineRule="auto"/>
        <w:tabs>
          <w:tab w:leader="none" w:pos="9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4" w:name="page15"/>
    <w:bookmarkEnd w:id="14"/>
    <w:p>
      <w:pPr>
        <w:ind w:right="440" w:firstLine="619"/>
        <w:spacing w:after="0" w:line="266" w:lineRule="auto"/>
        <w:rPr>
          <w:sz w:val="20"/>
          <w:szCs w:val="20"/>
          <w:color w:val="auto"/>
        </w:rPr>
      </w:pPr>
      <w:r>
        <w:rPr>
          <w:rFonts w:ascii="Arial" w:cs="Arial" w:eastAsia="Arial" w:hAnsi="Arial"/>
          <w:sz w:val="14"/>
          <w:szCs w:val="14"/>
          <w:color w:val="auto"/>
        </w:rPr>
        <w:t>The following table presents information about the Company’s financial assets and liabilities measured at fair value on a recurring basis as of June 30, 2022 and December 31, 2021, and indicates the fair value hierarchy of the valuation techniques utilized by the Company to determine such fair value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Fair Value Measurements at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3"/>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2"/>
                <w:szCs w:val="12"/>
                <w:b w:val="1"/>
                <w:bCs w:val="1"/>
                <w:color w:val="auto"/>
                <w:w w:val="92"/>
              </w:rPr>
              <w:t>June 30, 2022</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57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4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Level 2</w:t>
            </w:r>
          </w:p>
        </w:tc>
        <w:tc>
          <w:tcPr>
            <w:tcW w:w="280" w:type="dxa"/>
            <w:vAlign w:val="bottom"/>
          </w:tcPr>
          <w:p>
            <w:pPr>
              <w:spacing w:after="0"/>
              <w:rPr>
                <w:sz w:val="13"/>
                <w:szCs w:val="13"/>
                <w:color w:val="auto"/>
              </w:rPr>
            </w:pPr>
          </w:p>
        </w:tc>
        <w:tc>
          <w:tcPr>
            <w:tcW w:w="1040" w:type="dxa"/>
            <w:vAlign w:val="bottom"/>
          </w:tcPr>
          <w:p>
            <w:pPr>
              <w:jc w:val="right"/>
              <w:ind w:right="392"/>
              <w:spacing w:after="0"/>
              <w:rPr>
                <w:sz w:val="20"/>
                <w:szCs w:val="20"/>
                <w:color w:val="auto"/>
              </w:rPr>
            </w:pPr>
            <w:r>
              <w:rPr>
                <w:rFonts w:ascii="Arial" w:cs="Arial" w:eastAsia="Arial" w:hAnsi="Arial"/>
                <w:sz w:val="12"/>
                <w:szCs w:val="12"/>
                <w:b w:val="1"/>
                <w:bCs w:val="1"/>
                <w:color w:val="auto"/>
              </w:rPr>
              <w:t>Level 3</w:t>
            </w:r>
          </w:p>
        </w:tc>
      </w:tr>
      <w:tr>
        <w:trPr>
          <w:trHeight w:val="158"/>
        </w:trPr>
        <w:tc>
          <w:tcPr>
            <w:tcW w:w="57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8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4"/>
                <w:szCs w:val="14"/>
                <w:color w:val="auto"/>
              </w:rPr>
              <w:t>Cash equivalents</w:t>
            </w:r>
            <w:r>
              <w:rPr>
                <w:rFonts w:ascii="Arial" w:cs="Arial" w:eastAsia="Arial" w:hAnsi="Arial"/>
                <w:sz w:val="17"/>
                <w:szCs w:val="17"/>
                <w:color w:val="auto"/>
                <w:vertAlign w:val="superscript"/>
              </w:rPr>
              <w:t>(1)</w:t>
            </w:r>
          </w:p>
        </w:tc>
        <w:tc>
          <w:tcPr>
            <w:tcW w:w="800" w:type="dxa"/>
            <w:vAlign w:val="bottom"/>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57,720</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57,720</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278,423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6"/>
              </w:rPr>
              <w:t>147,651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147,651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debt securities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tcPr>
          <w:p>
            <w:pPr>
              <w:ind w:left="20"/>
              <w:spacing w:after="0"/>
              <w:rPr>
                <w:sz w:val="20"/>
                <w:szCs w:val="20"/>
                <w:color w:val="auto"/>
              </w:rPr>
            </w:pPr>
            <w:r>
              <w:rPr>
                <w:rFonts w:ascii="Arial" w:cs="Arial" w:eastAsia="Arial" w:hAnsi="Arial"/>
                <w:sz w:val="14"/>
                <w:szCs w:val="14"/>
                <w:color w:val="auto"/>
              </w:rPr>
              <w:t>U.S. Government-sponsored enterprises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42,491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Supranational bonds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572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8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578,085</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336,143</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241,942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6"/>
        </w:trPr>
        <w:tc>
          <w:tcPr>
            <w:tcW w:w="572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b w:val="1"/>
                <w:bCs w:val="1"/>
                <w:color w:val="auto"/>
              </w:rPr>
              <w:t>Liabilities</w:t>
            </w: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4"/>
                <w:szCs w:val="14"/>
                <w:color w:val="auto"/>
              </w:rPr>
              <w:t>Common stock warrants</w:t>
            </w:r>
            <w:r>
              <w:rPr>
                <w:rFonts w:ascii="Arial" w:cs="Arial" w:eastAsia="Arial" w:hAnsi="Arial"/>
                <w:sz w:val="17"/>
                <w:szCs w:val="17"/>
                <w:color w:val="auto"/>
                <w:vertAlign w:val="superscript"/>
              </w:rPr>
              <w:t>(2)</w:t>
            </w:r>
          </w:p>
        </w:tc>
        <w:tc>
          <w:tcPr>
            <w:tcW w:w="800" w:type="dxa"/>
            <w:vAlign w:val="bottom"/>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91"/>
        </w:trPr>
        <w:tc>
          <w:tcPr>
            <w:tcW w:w="5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80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5"/>
        </w:trPr>
        <w:tc>
          <w:tcPr>
            <w:tcW w:w="5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Fair Value Measurements at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3"/>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2"/>
                <w:szCs w:val="12"/>
                <w:b w:val="1"/>
                <w:bCs w:val="1"/>
                <w:color w:val="auto"/>
                <w:w w:val="92"/>
              </w:rPr>
              <w:t>December 31, 2021</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57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4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Level 2</w:t>
            </w:r>
          </w:p>
        </w:tc>
        <w:tc>
          <w:tcPr>
            <w:tcW w:w="280" w:type="dxa"/>
            <w:vAlign w:val="bottom"/>
          </w:tcPr>
          <w:p>
            <w:pPr>
              <w:spacing w:after="0"/>
              <w:rPr>
                <w:sz w:val="13"/>
                <w:szCs w:val="13"/>
                <w:color w:val="auto"/>
              </w:rPr>
            </w:pPr>
          </w:p>
        </w:tc>
        <w:tc>
          <w:tcPr>
            <w:tcW w:w="1040" w:type="dxa"/>
            <w:vAlign w:val="bottom"/>
          </w:tcPr>
          <w:p>
            <w:pPr>
              <w:jc w:val="right"/>
              <w:ind w:right="392"/>
              <w:spacing w:after="0"/>
              <w:rPr>
                <w:sz w:val="20"/>
                <w:szCs w:val="20"/>
                <w:color w:val="auto"/>
              </w:rPr>
            </w:pPr>
            <w:r>
              <w:rPr>
                <w:rFonts w:ascii="Arial" w:cs="Arial" w:eastAsia="Arial" w:hAnsi="Arial"/>
                <w:sz w:val="12"/>
                <w:szCs w:val="12"/>
                <w:b w:val="1"/>
                <w:bCs w:val="1"/>
                <w:color w:val="auto"/>
              </w:rPr>
              <w:t>Level 3</w:t>
            </w:r>
          </w:p>
        </w:tc>
      </w:tr>
      <w:tr>
        <w:trPr>
          <w:trHeight w:val="158"/>
        </w:trPr>
        <w:tc>
          <w:tcPr>
            <w:tcW w:w="57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8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4"/>
                <w:szCs w:val="14"/>
                <w:color w:val="auto"/>
              </w:rPr>
              <w:t>Cash equivalents</w:t>
            </w:r>
            <w:r>
              <w:rPr>
                <w:rFonts w:ascii="Arial" w:cs="Arial" w:eastAsia="Arial" w:hAnsi="Arial"/>
                <w:sz w:val="17"/>
                <w:szCs w:val="17"/>
                <w:color w:val="auto"/>
                <w:vertAlign w:val="superscript"/>
              </w:rPr>
              <w:t>(1)</w:t>
            </w:r>
          </w:p>
        </w:tc>
        <w:tc>
          <w:tcPr>
            <w:tcW w:w="800" w:type="dxa"/>
            <w:vAlign w:val="bottom"/>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48,286</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48,286</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221,724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6"/>
              </w:rPr>
              <w:t>218,381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218,381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debt securities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tcPr>
          <w:p>
            <w:pPr>
              <w:ind w:left="20"/>
              <w:spacing w:after="0"/>
              <w:rPr>
                <w:sz w:val="20"/>
                <w:szCs w:val="20"/>
                <w:color w:val="auto"/>
              </w:rPr>
            </w:pPr>
            <w:r>
              <w:rPr>
                <w:rFonts w:ascii="Arial" w:cs="Arial" w:eastAsia="Arial" w:hAnsi="Arial"/>
                <w:sz w:val="14"/>
                <w:szCs w:val="14"/>
                <w:color w:val="auto"/>
              </w:rPr>
              <w:t>U.S. Government-sponsored enterprises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50,686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50,686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Supranational bonds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572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8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600,916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270,010</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330,906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6"/>
        </w:trPr>
        <w:tc>
          <w:tcPr>
            <w:tcW w:w="572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b w:val="1"/>
                <w:bCs w:val="1"/>
                <w:color w:val="auto"/>
              </w:rPr>
              <w:t>Liabilities</w:t>
            </w: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4"/>
                <w:szCs w:val="14"/>
                <w:color w:val="auto"/>
              </w:rPr>
              <w:t>Common stock warrants</w:t>
            </w:r>
            <w:r>
              <w:rPr>
                <w:rFonts w:ascii="Arial" w:cs="Arial" w:eastAsia="Arial" w:hAnsi="Arial"/>
                <w:sz w:val="17"/>
                <w:szCs w:val="17"/>
                <w:color w:val="auto"/>
                <w:vertAlign w:val="superscript"/>
              </w:rPr>
              <w:t>(2)</w:t>
            </w:r>
          </w:p>
        </w:tc>
        <w:tc>
          <w:tcPr>
            <w:tcW w:w="800" w:type="dxa"/>
            <w:vAlign w:val="bottom"/>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1"/>
        </w:trPr>
        <w:tc>
          <w:tcPr>
            <w:tcW w:w="5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80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00" w:hanging="250"/>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Generally, cash equivalents include money market funds and investments with a maturity of three months or less from the date of purchase.</w:t>
      </w:r>
    </w:p>
    <w:p>
      <w:pPr>
        <w:spacing w:after="0" w:line="13" w:lineRule="exact"/>
        <w:rPr>
          <w:rFonts w:ascii="Arial" w:cs="Arial" w:eastAsia="Arial" w:hAnsi="Arial"/>
          <w:sz w:val="14"/>
          <w:szCs w:val="14"/>
          <w:color w:val="auto"/>
        </w:rPr>
      </w:pPr>
    </w:p>
    <w:p>
      <w:pPr>
        <w:ind w:left="500" w:hanging="250"/>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Included in other current liabilities on the Company’s condensed consolidated balance sheets.</w:t>
      </w:r>
    </w:p>
    <w:p>
      <w:pPr>
        <w:spacing w:after="0" w:line="160" w:lineRule="exact"/>
        <w:rPr>
          <w:sz w:val="20"/>
          <w:szCs w:val="20"/>
          <w:color w:val="auto"/>
        </w:rPr>
      </w:pPr>
    </w:p>
    <w:p>
      <w:pPr>
        <w:ind w:right="220" w:firstLine="619"/>
        <w:spacing w:after="0" w:line="256" w:lineRule="auto"/>
        <w:rPr>
          <w:sz w:val="20"/>
          <w:szCs w:val="20"/>
          <w:color w:val="auto"/>
        </w:rPr>
      </w:pPr>
      <w:r>
        <w:rPr>
          <w:rFonts w:ascii="Arial" w:cs="Arial" w:eastAsia="Arial" w:hAnsi="Arial"/>
          <w:sz w:val="14"/>
          <w:szCs w:val="14"/>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24" w:lineRule="exact"/>
        <w:rPr>
          <w:sz w:val="20"/>
          <w:szCs w:val="20"/>
          <w:color w:val="auto"/>
        </w:rPr>
      </w:pPr>
    </w:p>
    <w:p>
      <w:pPr>
        <w:ind w:right="60" w:firstLine="619"/>
        <w:spacing w:after="0" w:line="358" w:lineRule="auto"/>
        <w:rPr>
          <w:sz w:val="20"/>
          <w:szCs w:val="20"/>
          <w:color w:val="auto"/>
        </w:rPr>
      </w:pPr>
      <w:r>
        <w:rPr>
          <w:rFonts w:ascii="Arial" w:cs="Arial" w:eastAsia="Arial" w:hAnsi="Arial"/>
          <w:sz w:val="11"/>
          <w:szCs w:val="11"/>
          <w:color w:val="auto"/>
        </w:rPr>
        <w:t>The Company's Level 3 liabilities at June 30, 2022 and December 31, 2021 included the remaining Series A warrants issued by the Company in connection with the public offering of common stock in October 2017. The Series A warrants, which expire in October 2022, provide holders the right to purchase shares of the Company’s common stock at an exercise price of $3.50 per share. As of June 30, 2022 and December 31, 2021, there were Series A warrants outstanding to purchase 1,000 shares of the Company’s common stock (see Note 8, “Stockholders’ Equity”).</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15" w:name="page16"/>
    <w:bookmarkEnd w:id="15"/>
    <w:p>
      <w:pPr>
        <w:ind w:right="200" w:firstLine="619"/>
        <w:spacing w:after="0" w:line="278" w:lineRule="auto"/>
        <w:rPr>
          <w:sz w:val="20"/>
          <w:szCs w:val="20"/>
          <w:color w:val="auto"/>
        </w:rPr>
      </w:pPr>
      <w:r>
        <w:rPr>
          <w:rFonts w:ascii="Arial" w:cs="Arial" w:eastAsia="Arial" w:hAnsi="Arial"/>
          <w:sz w:val="13"/>
          <w:szCs w:val="13"/>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as well as estimated stock price volatility, dividend yield, remaining warrant term and risk-free interest rate.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June 30, 2022 and December 31, 2021 are presented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Series A Warrants</w:t>
            </w:r>
          </w:p>
        </w:tc>
        <w:tc>
          <w:tcPr>
            <w:tcW w:w="420" w:type="dxa"/>
            <w:vAlign w:val="bottom"/>
            <w:tcBorders>
              <w:bottom w:val="single" w:sz="8" w:color="auto"/>
            </w:tcBorders>
          </w:tcPr>
          <w:p>
            <w:pPr>
              <w:spacing w:after="0"/>
              <w:rPr>
                <w:sz w:val="14"/>
                <w:szCs w:val="14"/>
                <w:color w:val="auto"/>
              </w:rPr>
            </w:pPr>
          </w:p>
        </w:tc>
      </w:tr>
      <w:tr>
        <w:trPr>
          <w:trHeight w:val="156"/>
        </w:trPr>
        <w:tc>
          <w:tcPr>
            <w:tcW w:w="74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w w:val="97"/>
              </w:rPr>
              <w:t>June 30, 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w w:val="90"/>
              </w:rPr>
              <w:t>December 31, 2021</w:t>
            </w:r>
          </w:p>
        </w:tc>
        <w:tc>
          <w:tcPr>
            <w:tcW w:w="420" w:type="dxa"/>
            <w:vAlign w:val="bottom"/>
            <w:tcBorders>
              <w:bottom w:val="single" w:sz="8" w:color="auto"/>
            </w:tcBorders>
          </w:tcPr>
          <w:p>
            <w:pPr>
              <w:spacing w:after="0"/>
              <w:rPr>
                <w:sz w:val="13"/>
                <w:szCs w:val="13"/>
                <w:color w:val="auto"/>
              </w:rPr>
            </w:pPr>
          </w:p>
        </w:tc>
      </w:tr>
      <w:tr>
        <w:trPr>
          <w:trHeight w:val="168"/>
        </w:trPr>
        <w:tc>
          <w:tcPr>
            <w:tcW w:w="7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Risk-free interest rate</w:t>
            </w:r>
          </w:p>
        </w:tc>
        <w:tc>
          <w:tcPr>
            <w:tcW w:w="1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r>
      <w:tr>
        <w:trPr>
          <w:trHeight w:val="175"/>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50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63.3 %</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39.1 %</w:t>
            </w:r>
          </w:p>
        </w:tc>
      </w:tr>
      <w:tr>
        <w:trPr>
          <w:trHeight w:val="174"/>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r>
    </w:tbl>
    <w:p>
      <w:pPr>
        <w:spacing w:after="0" w:line="19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The following table presents a summary of changes in the fair value of the Company’s Level 3 financial liabilities for the six months ended June 30, 2022 and 2021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gridSpan w:val="3"/>
          </w:tcPr>
          <w:p>
            <w:pPr>
              <w:jc w:val="center"/>
              <w:ind w:right="11"/>
              <w:spacing w:after="0"/>
              <w:rPr>
                <w:sz w:val="20"/>
                <w:szCs w:val="20"/>
                <w:color w:val="auto"/>
              </w:rPr>
            </w:pPr>
            <w:r>
              <w:rPr>
                <w:rFonts w:ascii="Arial" w:cs="Arial" w:eastAsia="Arial" w:hAnsi="Arial"/>
                <w:sz w:val="12"/>
                <w:szCs w:val="12"/>
                <w:b w:val="1"/>
                <w:bCs w:val="1"/>
                <w:color w:val="auto"/>
                <w:w w:val="94"/>
              </w:rPr>
              <w:t>Six Months Ended</w:t>
            </w:r>
          </w:p>
        </w:tc>
        <w:tc>
          <w:tcPr>
            <w:tcW w:w="960" w:type="dxa"/>
            <w:vAlign w:val="bottom"/>
          </w:tcPr>
          <w:p>
            <w:pPr>
              <w:spacing w:after="0"/>
              <w:rPr>
                <w:sz w:val="12"/>
                <w:szCs w:val="12"/>
                <w:color w:val="auto"/>
              </w:rPr>
            </w:pPr>
          </w:p>
        </w:tc>
      </w:tr>
      <w:tr>
        <w:trPr>
          <w:trHeight w:val="163"/>
        </w:trPr>
        <w:tc>
          <w:tcPr>
            <w:tcW w:w="80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2"/>
                <w:szCs w:val="12"/>
                <w:b w:val="1"/>
                <w:bCs w:val="1"/>
                <w:color w:val="auto"/>
                <w:w w:val="91"/>
              </w:rPr>
              <w:t>June 30,</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80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2"/>
                <w:szCs w:val="12"/>
                <w:b w:val="1"/>
                <w:bCs w:val="1"/>
                <w:color w:val="auto"/>
              </w:rPr>
              <w:t>2021</w:t>
            </w:r>
          </w:p>
        </w:tc>
      </w:tr>
      <w:tr>
        <w:trPr>
          <w:trHeight w:val="168"/>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14,261</w:t>
            </w:r>
          </w:p>
        </w:tc>
      </w:tr>
      <w:tr>
        <w:trPr>
          <w:trHeight w:val="175"/>
        </w:trPr>
        <w:tc>
          <w:tcPr>
            <w:tcW w:w="8080" w:type="dxa"/>
            <w:vAlign w:val="bottom"/>
          </w:tcPr>
          <w:p>
            <w:pPr>
              <w:ind w:left="20"/>
              <w:spacing w:after="0"/>
              <w:rPr>
                <w:sz w:val="20"/>
                <w:szCs w:val="20"/>
                <w:color w:val="auto"/>
              </w:rPr>
            </w:pPr>
            <w:r>
              <w:rPr>
                <w:rFonts w:ascii="Arial" w:cs="Arial" w:eastAsia="Arial" w:hAnsi="Arial"/>
                <w:sz w:val="14"/>
                <w:szCs w:val="14"/>
                <w:color w:val="auto"/>
              </w:rPr>
              <w:t>(Gain) loss recognized from the change in fair value of common stock warrants</w:t>
            </w:r>
          </w:p>
        </w:tc>
        <w:tc>
          <w:tcPr>
            <w:tcW w:w="1060" w:type="dxa"/>
            <w:vAlign w:val="bottom"/>
          </w:tcPr>
          <w:p>
            <w:pPr>
              <w:spacing w:after="0"/>
              <w:rPr>
                <w:sz w:val="15"/>
                <w:szCs w:val="15"/>
                <w:color w:val="auto"/>
              </w:rPr>
            </w:pPr>
          </w:p>
        </w:tc>
        <w:tc>
          <w:tcPr>
            <w:tcW w:w="680" w:type="dxa"/>
            <w:vAlign w:val="bottom"/>
          </w:tcPr>
          <w:p>
            <w:pPr>
              <w:jc w:val="center"/>
              <w:ind w:left="334"/>
              <w:spacing w:after="0"/>
              <w:rPr>
                <w:sz w:val="20"/>
                <w:szCs w:val="20"/>
                <w:color w:val="auto"/>
              </w:rPr>
            </w:pPr>
            <w:r>
              <w:rPr>
                <w:rFonts w:ascii="Arial" w:cs="Arial" w:eastAsia="Arial" w:hAnsi="Arial"/>
                <w:sz w:val="14"/>
                <w:szCs w:val="14"/>
                <w:color w:val="auto"/>
                <w:w w:val="96"/>
              </w:rPr>
              <w:t>(91)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962</w:t>
            </w:r>
          </w:p>
        </w:tc>
      </w:tr>
      <w:tr>
        <w:trPr>
          <w:trHeight w:val="175"/>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 exercised during the period</w:t>
            </w:r>
          </w:p>
        </w:tc>
        <w:tc>
          <w:tcPr>
            <w:tcW w:w="10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(12,434)</w:t>
            </w:r>
          </w:p>
        </w:tc>
      </w:tr>
      <w:tr>
        <w:trPr>
          <w:trHeight w:val="166"/>
        </w:trPr>
        <w:tc>
          <w:tcPr>
            <w:tcW w:w="8080" w:type="dxa"/>
            <w:vAlign w:val="bottom"/>
          </w:tcPr>
          <w:p>
            <w:pPr>
              <w:ind w:left="100"/>
              <w:spacing w:after="0"/>
              <w:rPr>
                <w:sz w:val="20"/>
                <w:szCs w:val="20"/>
                <w:color w:val="auto"/>
              </w:rPr>
            </w:pPr>
            <w:r>
              <w:rPr>
                <w:rFonts w:ascii="Arial" w:cs="Arial" w:eastAsia="Arial" w:hAnsi="Arial"/>
                <w:sz w:val="14"/>
                <w:szCs w:val="14"/>
                <w:color w:val="auto"/>
              </w:rPr>
              <w:t>Balance at end of period</w:t>
            </w: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w:t>
            </w: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Leases</w:t>
      </w:r>
    </w:p>
    <w:p>
      <w:pPr>
        <w:spacing w:after="0" w:line="152" w:lineRule="exact"/>
        <w:rPr>
          <w:sz w:val="20"/>
          <w:szCs w:val="20"/>
          <w:color w:val="auto"/>
        </w:rPr>
      </w:pPr>
    </w:p>
    <w:p>
      <w:pPr>
        <w:ind w:firstLine="619"/>
        <w:spacing w:after="0" w:line="249" w:lineRule="auto"/>
        <w:rPr>
          <w:sz w:val="20"/>
          <w:szCs w:val="20"/>
          <w:color w:val="auto"/>
        </w:rPr>
      </w:pPr>
      <w:r>
        <w:rPr>
          <w:rFonts w:ascii="Arial" w:cs="Arial" w:eastAsia="Arial" w:hAnsi="Arial"/>
          <w:sz w:val="14"/>
          <w:szCs w:val="14"/>
          <w:color w:val="auto"/>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condensed consolidated balance sheets. The Company is required to recognize operating lease right-of-use assets and liabilities, and begin recording lease expense when the Company takes possession of the leased property (the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prior to that date.</w:t>
      </w:r>
    </w:p>
    <w:p>
      <w:pPr>
        <w:spacing w:after="0" w:line="120" w:lineRule="exact"/>
        <w:rPr>
          <w:sz w:val="20"/>
          <w:szCs w:val="20"/>
          <w:color w:val="auto"/>
        </w:rPr>
      </w:pPr>
    </w:p>
    <w:p>
      <w:pPr>
        <w:ind w:right="40" w:firstLine="619"/>
        <w:spacing w:after="0" w:line="305" w:lineRule="auto"/>
        <w:rPr>
          <w:sz w:val="20"/>
          <w:szCs w:val="20"/>
          <w:color w:val="auto"/>
        </w:rPr>
      </w:pPr>
      <w:r>
        <w:rPr>
          <w:rFonts w:ascii="Arial" w:cs="Arial" w:eastAsia="Arial" w:hAnsi="Arial"/>
          <w:sz w:val="13"/>
          <w:szCs w:val="13"/>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Vista Sorrento Lease</w:t>
      </w:r>
    </w:p>
    <w:p>
      <w:pPr>
        <w:spacing w:after="0" w:line="148" w:lineRule="exact"/>
        <w:rPr>
          <w:sz w:val="20"/>
          <w:szCs w:val="20"/>
          <w:color w:val="auto"/>
        </w:rPr>
      </w:pPr>
    </w:p>
    <w:p>
      <w:pPr>
        <w:ind w:right="40" w:firstLine="619"/>
        <w:spacing w:after="0" w:line="331" w:lineRule="auto"/>
        <w:rPr>
          <w:sz w:val="20"/>
          <w:szCs w:val="20"/>
          <w:color w:val="auto"/>
        </w:rPr>
      </w:pPr>
      <w:r>
        <w:rPr>
          <w:rFonts w:ascii="Arial" w:cs="Arial" w:eastAsia="Arial" w:hAnsi="Arial"/>
          <w:sz w:val="11"/>
          <w:szCs w:val="11"/>
          <w:color w:val="auto"/>
        </w:rPr>
        <w:t>In March 2021, the Company entered into a second amendment (Second Amendment) to its lease agreement for office space located on Vista Sorrento Parkway in San Diego, California (Vista Sorrento Lease) covering 59,013 square feet of general administrative office space (Existing Premises).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operating lease right-of-use assets and corresponding operating lease liabilities of $15.1 million on the condensed consolidated balance sheet in the first quarter of 2021 related to the Second Amendment.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i w:val="1"/>
          <w:iCs w:val="1"/>
          <w:color w:val="auto"/>
        </w:rPr>
        <w:t>Tech Center Lease</w:t>
      </w:r>
    </w:p>
    <w:p>
      <w:pPr>
        <w:spacing w:after="0" w:line="148" w:lineRule="exact"/>
        <w:rPr>
          <w:sz w:val="20"/>
          <w:szCs w:val="20"/>
          <w:color w:val="auto"/>
        </w:rPr>
      </w:pPr>
    </w:p>
    <w:p>
      <w:pPr>
        <w:ind w:right="140" w:firstLine="619"/>
        <w:spacing w:after="0" w:line="278" w:lineRule="auto"/>
        <w:rPr>
          <w:sz w:val="20"/>
          <w:szCs w:val="20"/>
          <w:color w:val="auto"/>
        </w:rPr>
      </w:pPr>
      <w:r>
        <w:rPr>
          <w:rFonts w:ascii="Arial" w:cs="Arial" w:eastAsia="Arial" w:hAnsi="Arial"/>
          <w:sz w:val="13"/>
          <w:szCs w:val="13"/>
          <w:color w:val="auto"/>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occupying 77,458 square feet of leased space, located on Roselle Street in San Diego, California, that is scheduled to expire in May 2023.</w:t>
      </w:r>
    </w:p>
    <w:p>
      <w:pPr>
        <w:spacing w:after="0" w:line="101" w:lineRule="exact"/>
        <w:rPr>
          <w:sz w:val="20"/>
          <w:szCs w:val="20"/>
          <w:color w:val="auto"/>
        </w:rPr>
      </w:pPr>
    </w:p>
    <w:p>
      <w:pPr>
        <w:jc w:val="both"/>
        <w:ind w:right="40" w:firstLine="619"/>
        <w:spacing w:after="0" w:line="343" w:lineRule="auto"/>
        <w:rPr>
          <w:sz w:val="20"/>
          <w:szCs w:val="20"/>
          <w:color w:val="auto"/>
        </w:rPr>
      </w:pPr>
      <w:r>
        <w:rPr>
          <w:rFonts w:ascii="Arial" w:cs="Arial" w:eastAsia="Arial" w:hAnsi="Arial"/>
          <w:sz w:val="11"/>
          <w:szCs w:val="11"/>
          <w:color w:val="auto"/>
        </w:rPr>
        <w:t>The initial lease term Phase I Commencement Date occurred in March 2022 when the Company was tendered possession of the Phase I portion of the Premises, and rent payments commence in September 2022 (the Phase I Rent Commencement Date). The Phase II Commencement Date is expected to occur upon the earlier of (i) the date upon which the Company first commences business in the Phase II portion of the Premises, and (ii) May 1, 2025 (the Phase II Rent Commencement Date). The Tech Center Lease term expires in April 2035. The Company has two options to extend the term of the lease, with each option providing for an additional period of five years. The Tech Center Lease term was determined assuming the renewal options would not be exercised.</w:t>
      </w:r>
    </w:p>
    <w:p>
      <w:pPr>
        <w:spacing w:after="0" w:line="71" w:lineRule="exact"/>
        <w:rPr>
          <w:sz w:val="20"/>
          <w:szCs w:val="20"/>
          <w:color w:val="auto"/>
        </w:rPr>
      </w:pPr>
    </w:p>
    <w:p>
      <w:pPr>
        <w:ind w:right="100" w:firstLine="619"/>
        <w:spacing w:after="0" w:line="256" w:lineRule="auto"/>
        <w:rPr>
          <w:sz w:val="20"/>
          <w:szCs w:val="20"/>
          <w:color w:val="auto"/>
        </w:rPr>
      </w:pPr>
      <w:r>
        <w:rPr>
          <w:rFonts w:ascii="Arial" w:cs="Arial" w:eastAsia="Arial" w:hAnsi="Arial"/>
          <w:sz w:val="14"/>
          <w:szCs w:val="14"/>
          <w:color w:val="auto"/>
        </w:rPr>
        <w:t>The Tech Center Lease also includes a first right of offer with respect to an additional 34,569 rentable square feet of general office space should the space become available. The lease term and associated base rent for the additional space will not be known until the Company is notified that the additional space has become available, and the Company elects to lease the space on terms mutually satisfactory to the Company and the landlord.</w:t>
      </w:r>
    </w:p>
    <w:p>
      <w:pPr>
        <w:spacing w:after="0" w:line="124" w:lineRule="exact"/>
        <w:rPr>
          <w:sz w:val="20"/>
          <w:szCs w:val="20"/>
          <w:color w:val="auto"/>
        </w:rPr>
      </w:pPr>
    </w:p>
    <w:p>
      <w:pPr>
        <w:ind w:right="20" w:firstLine="619"/>
        <w:spacing w:after="0" w:line="272" w:lineRule="auto"/>
        <w:rPr>
          <w:sz w:val="20"/>
          <w:szCs w:val="20"/>
          <w:color w:val="auto"/>
        </w:rPr>
      </w:pPr>
      <w:r>
        <w:rPr>
          <w:rFonts w:ascii="Arial" w:cs="Arial" w:eastAsia="Arial" w:hAnsi="Arial"/>
          <w:sz w:val="13"/>
          <w:szCs w:val="13"/>
          <w:color w:val="auto"/>
        </w:rPr>
        <w:t>The initial base rent for the Tech Center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condensed consolidated balance sheet on the Phase I Commencement Date in the first quarter of 2022.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High Bluff Lease</w:t>
      </w:r>
    </w:p>
    <w:p>
      <w:pPr>
        <w:spacing w:after="0" w:line="169" w:lineRule="exact"/>
        <w:rPr>
          <w:sz w:val="20"/>
          <w:szCs w:val="20"/>
          <w:color w:val="auto"/>
        </w:rPr>
      </w:pPr>
    </w:p>
    <w:p>
      <w:pPr>
        <w:ind w:right="80" w:firstLine="619"/>
        <w:spacing w:after="0" w:line="252" w:lineRule="auto"/>
        <w:rPr>
          <w:sz w:val="20"/>
          <w:szCs w:val="20"/>
          <w:color w:val="auto"/>
        </w:rPr>
      </w:pPr>
      <w:r>
        <w:rPr>
          <w:rFonts w:ascii="Arial" w:cs="Arial" w:eastAsia="Arial" w:hAnsi="Arial"/>
          <w:sz w:val="14"/>
          <w:szCs w:val="14"/>
          <w:color w:val="auto"/>
        </w:rPr>
        <w:t>In May 2021, the Company entered into a lease agreement for approximately 31,372 square feet of general office space located on High Bluff Drive, in San Diego, California (High Bluff Lease). The High Bluff Lease is a direct lease agreement for property the Company previously occupied subject to a sublease agreement. The lease term began in April 2022 following the termination of the High Bluff sublease in March 2022, and is scheduled to expire in March 2024. The Company recognized operating lease right-of-use assets and corresponding operating lease liabilities of $3.0 million on the condensed consolidated balance sheet on the Commencement Date in the second quarter of 2022.</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Supplemental Lease Disclosure Information</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Company’s lease costs recorded in the condensed consolidated statements of operations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2"/>
                <w:szCs w:val="12"/>
                <w:b w:val="1"/>
                <w:bCs w:val="1"/>
                <w:color w:val="auto"/>
              </w:rPr>
              <w:t>Six Months Ended June 30,</w:t>
            </w:r>
          </w:p>
        </w:tc>
      </w:tr>
      <w:tr>
        <w:trPr>
          <w:trHeight w:val="156"/>
        </w:trPr>
        <w:tc>
          <w:tcPr>
            <w:tcW w:w="5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2021</w:t>
            </w:r>
          </w:p>
        </w:tc>
      </w:tr>
      <w:tr>
        <w:trPr>
          <w:trHeight w:val="168"/>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r>
      <w:tr>
        <w:trPr>
          <w:trHeight w:val="17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91"/>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cost</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06"/>
        </w:trPr>
        <w:tc>
          <w:tcPr>
            <w:tcW w:w="5300" w:type="dxa"/>
            <w:vAlign w:val="bottom"/>
          </w:tcPr>
          <w:p>
            <w:pPr>
              <w:spacing w:after="0"/>
              <w:rPr>
                <w:sz w:val="24"/>
                <w:szCs w:val="24"/>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color w:val="auto"/>
              </w:rPr>
              <w:t>15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4"/>
        </w:trPr>
        <w:tc>
          <w:tcPr>
            <w:tcW w:w="5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7" w:name="page18"/>
    <w:bookmarkEnd w:id="17"/>
    <w:p>
      <w:pPr>
        <w:ind w:left="620"/>
        <w:spacing w:after="0"/>
        <w:rPr>
          <w:sz w:val="20"/>
          <w:szCs w:val="20"/>
          <w:color w:val="auto"/>
        </w:rPr>
      </w:pPr>
      <w:r>
        <w:rPr>
          <w:rFonts w:ascii="Arial" w:cs="Arial" w:eastAsia="Arial" w:hAnsi="Arial"/>
          <w:sz w:val="14"/>
          <w:szCs w:val="14"/>
          <w:color w:val="auto"/>
        </w:rPr>
        <w:t>Maturities of operating lease liabilities at June 30, 2022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80" w:type="dxa"/>
            <w:vAlign w:val="bottom"/>
          </w:tcPr>
          <w:p>
            <w:pPr>
              <w:ind w:left="20"/>
              <w:spacing w:after="0"/>
              <w:rPr>
                <w:sz w:val="20"/>
                <w:szCs w:val="20"/>
                <w:color w:val="auto"/>
              </w:rPr>
            </w:pPr>
            <w:r>
              <w:rPr>
                <w:rFonts w:ascii="Arial" w:cs="Arial" w:eastAsia="Arial" w:hAnsi="Arial"/>
                <w:sz w:val="12"/>
                <w:szCs w:val="12"/>
                <w:b w:val="1"/>
                <w:bCs w:val="1"/>
                <w:color w:val="auto"/>
              </w:rPr>
              <w:t>Years Ending December 31,</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840" w:type="dxa"/>
            <w:vAlign w:val="bottom"/>
            <w:shd w:val="clear" w:color="auto" w:fill="CCEEFF"/>
          </w:tcPr>
          <w:p>
            <w:pPr>
              <w:spacing w:after="0"/>
              <w:rPr>
                <w:sz w:val="15"/>
                <w:szCs w:val="15"/>
                <w:color w:val="auto"/>
              </w:rPr>
            </w:pPr>
          </w:p>
        </w:tc>
        <w:tc>
          <w:tcPr>
            <w:tcW w:w="720" w:type="dxa"/>
            <w:vAlign w:val="bottom"/>
            <w:shd w:val="clear" w:color="auto" w:fill="CFF0FC"/>
          </w:tcPr>
          <w:p>
            <w:pPr>
              <w:jc w:val="right"/>
              <w:ind w:right="571"/>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5,086</w:t>
            </w:r>
          </w:p>
        </w:tc>
        <w:tc>
          <w:tcPr>
            <w:tcW w:w="0" w:type="dxa"/>
            <w:vAlign w:val="bottom"/>
          </w:tcPr>
          <w:p>
            <w:pPr>
              <w:spacing w:after="0"/>
              <w:rPr>
                <w:sz w:val="1"/>
                <w:szCs w:val="1"/>
                <w:color w:val="auto"/>
              </w:rPr>
            </w:pPr>
          </w:p>
        </w:tc>
      </w:tr>
      <w:tr>
        <w:trPr>
          <w:trHeight w:val="175"/>
        </w:trPr>
        <w:tc>
          <w:tcPr>
            <w:tcW w:w="7080" w:type="dxa"/>
            <w:vAlign w:val="bottom"/>
          </w:tcPr>
          <w:p>
            <w:pPr>
              <w:ind w:left="20"/>
              <w:spacing w:after="0"/>
              <w:rPr>
                <w:sz w:val="20"/>
                <w:szCs w:val="20"/>
                <w:color w:val="auto"/>
              </w:rPr>
            </w:pPr>
            <w:r>
              <w:rPr>
                <w:rFonts w:ascii="Arial" w:cs="Arial" w:eastAsia="Arial" w:hAnsi="Arial"/>
                <w:sz w:val="14"/>
                <w:szCs w:val="14"/>
                <w:color w:val="auto"/>
              </w:rPr>
              <w:t>2023</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14,399</w:t>
            </w:r>
          </w:p>
        </w:tc>
        <w:tc>
          <w:tcPr>
            <w:tcW w:w="0" w:type="dxa"/>
            <w:vAlign w:val="bottom"/>
          </w:tcPr>
          <w:p>
            <w:pPr>
              <w:spacing w:after="0"/>
              <w:rPr>
                <w:sz w:val="1"/>
                <w:szCs w:val="1"/>
                <w:color w:val="auto"/>
              </w:rPr>
            </w:pPr>
          </w:p>
        </w:tc>
      </w:tr>
      <w:tr>
        <w:trPr>
          <w:trHeight w:val="176"/>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17,460</w:t>
            </w:r>
          </w:p>
        </w:tc>
        <w:tc>
          <w:tcPr>
            <w:tcW w:w="0" w:type="dxa"/>
            <w:vAlign w:val="bottom"/>
          </w:tcPr>
          <w:p>
            <w:pPr>
              <w:spacing w:after="0"/>
              <w:rPr>
                <w:sz w:val="1"/>
                <w:szCs w:val="1"/>
                <w:color w:val="auto"/>
              </w:rPr>
            </w:pPr>
          </w:p>
        </w:tc>
      </w:tr>
      <w:tr>
        <w:trPr>
          <w:trHeight w:val="175"/>
        </w:trPr>
        <w:tc>
          <w:tcPr>
            <w:tcW w:w="7080" w:type="dxa"/>
            <w:vAlign w:val="bottom"/>
          </w:tcPr>
          <w:p>
            <w:pPr>
              <w:ind w:left="20"/>
              <w:spacing w:after="0"/>
              <w:rPr>
                <w:sz w:val="20"/>
                <w:szCs w:val="20"/>
                <w:color w:val="auto"/>
              </w:rPr>
            </w:pPr>
            <w:r>
              <w:rPr>
                <w:rFonts w:ascii="Arial" w:cs="Arial" w:eastAsia="Arial" w:hAnsi="Arial"/>
                <w:sz w:val="14"/>
                <w:szCs w:val="14"/>
                <w:color w:val="auto"/>
              </w:rPr>
              <w:t>2025</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76"/>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17,528</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120,235</w:t>
            </w:r>
          </w:p>
        </w:tc>
        <w:tc>
          <w:tcPr>
            <w:tcW w:w="0" w:type="dxa"/>
            <w:vAlign w:val="bottom"/>
          </w:tcPr>
          <w:p>
            <w:pPr>
              <w:spacing w:after="0"/>
              <w:rPr>
                <w:sz w:val="1"/>
                <w:szCs w:val="1"/>
                <w:color w:val="auto"/>
              </w:rPr>
            </w:pPr>
          </w:p>
        </w:tc>
      </w:tr>
      <w:tr>
        <w:trPr>
          <w:trHeight w:val="166"/>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lease payments</w:t>
            </w: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192,183</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amount representing interest</w:t>
            </w:r>
          </w:p>
        </w:tc>
        <w:tc>
          <w:tcPr>
            <w:tcW w:w="8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(52,456)</w:t>
            </w:r>
          </w:p>
        </w:tc>
        <w:tc>
          <w:tcPr>
            <w:tcW w:w="0" w:type="dxa"/>
            <w:vAlign w:val="bottom"/>
          </w:tcPr>
          <w:p>
            <w:pPr>
              <w:spacing w:after="0"/>
              <w:rPr>
                <w:sz w:val="1"/>
                <w:szCs w:val="1"/>
                <w:color w:val="auto"/>
              </w:rPr>
            </w:pPr>
          </w:p>
        </w:tc>
      </w:tr>
      <w:tr>
        <w:trPr>
          <w:trHeight w:val="166"/>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139,727</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operating lease liabilities</w:t>
            </w:r>
          </w:p>
        </w:tc>
        <w:tc>
          <w:tcPr>
            <w:tcW w:w="8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(9,925)</w:t>
            </w:r>
          </w:p>
        </w:tc>
        <w:tc>
          <w:tcPr>
            <w:tcW w:w="0" w:type="dxa"/>
            <w:vAlign w:val="bottom"/>
          </w:tcPr>
          <w:p>
            <w:pPr>
              <w:spacing w:after="0"/>
              <w:rPr>
                <w:sz w:val="1"/>
                <w:szCs w:val="1"/>
                <w:color w:val="auto"/>
              </w:rPr>
            </w:pPr>
          </w:p>
        </w:tc>
      </w:tr>
      <w:tr>
        <w:trPr>
          <w:trHeight w:val="19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 long-term</w:t>
            </w: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FF0FC"/>
          </w:tcPr>
          <w:p>
            <w:pPr>
              <w:jc w:val="right"/>
              <w:ind w:right="571"/>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129,802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4"/>
                <w:szCs w:val="14"/>
                <w:color w:val="212529"/>
                <w:w w:val="88"/>
              </w:rPr>
              <w:t>The weighted-average remaining lease term and weighted-average discount rate for operating leases were as follows:</w:t>
            </w:r>
          </w:p>
        </w:tc>
        <w:tc>
          <w:tcPr>
            <w:tcW w:w="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2"/>
                <w:szCs w:val="12"/>
                <w:b w:val="1"/>
                <w:bCs w:val="1"/>
                <w:color w:val="auto"/>
              </w:rPr>
              <w:t>June 30, 2022</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December 31, 2021</w:t>
            </w:r>
          </w:p>
        </w:tc>
        <w:tc>
          <w:tcPr>
            <w:tcW w:w="0" w:type="dxa"/>
            <w:vAlign w:val="bottom"/>
          </w:tcPr>
          <w:p>
            <w:pPr>
              <w:spacing w:after="0"/>
              <w:rPr>
                <w:sz w:val="1"/>
                <w:szCs w:val="1"/>
                <w:color w:val="auto"/>
              </w:rPr>
            </w:pPr>
          </w:p>
        </w:tc>
      </w:tr>
      <w:tr>
        <w:trPr>
          <w:trHeight w:val="168"/>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4"/>
        </w:trPr>
        <w:tc>
          <w:tcPr>
            <w:tcW w:w="7080" w:type="dxa"/>
            <w:vAlign w:val="bottom"/>
          </w:tcPr>
          <w:p>
            <w:pPr>
              <w:ind w:left="20"/>
              <w:spacing w:after="0"/>
              <w:rPr>
                <w:sz w:val="20"/>
                <w:szCs w:val="20"/>
                <w:color w:val="auto"/>
              </w:rPr>
            </w:pPr>
            <w:r>
              <w:rPr>
                <w:rFonts w:ascii="Arial" w:cs="Arial" w:eastAsia="Arial" w:hAnsi="Arial"/>
                <w:sz w:val="14"/>
                <w:szCs w:val="14"/>
                <w:color w:val="auto"/>
              </w:rPr>
              <w:t>Weighted-average discount rate used to determine operating lease liabilities</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5.3 %</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40" w:firstLine="619"/>
        <w:spacing w:after="0" w:line="283" w:lineRule="auto"/>
        <w:rPr>
          <w:sz w:val="20"/>
          <w:szCs w:val="20"/>
          <w:color w:val="auto"/>
        </w:rPr>
      </w:pPr>
      <w:r>
        <w:rPr>
          <w:rFonts w:ascii="Arial" w:cs="Arial" w:eastAsia="Arial" w:hAnsi="Arial"/>
          <w:sz w:val="14"/>
          <w:szCs w:val="14"/>
          <w:color w:val="auto"/>
        </w:rPr>
        <w:t>Cash paid for amounts included in the measurement of lease liabilities, representing operating cash flows from operating leases, was $5.9 million and $4.7 million for the six months ended June 30, 2022 and 2021, respectively</w:t>
      </w:r>
      <w:r>
        <w:rPr>
          <w:rFonts w:ascii="Arial" w:cs="Arial" w:eastAsia="Arial" w:hAnsi="Arial"/>
          <w:sz w:val="16"/>
          <w:szCs w:val="16"/>
          <w:color w:val="008080"/>
        </w:rPr>
        <w: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 For Which Accounting Has Not Yet Commenced</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Tech Center Lease - Phase II</w:t>
      </w:r>
    </w:p>
    <w:p>
      <w:pPr>
        <w:spacing w:after="0" w:line="138" w:lineRule="exact"/>
        <w:rPr>
          <w:sz w:val="20"/>
          <w:szCs w:val="20"/>
          <w:color w:val="auto"/>
        </w:rPr>
      </w:pPr>
    </w:p>
    <w:p>
      <w:pPr>
        <w:ind w:right="40" w:firstLine="619"/>
        <w:spacing w:after="0" w:line="278" w:lineRule="auto"/>
        <w:rPr>
          <w:sz w:val="20"/>
          <w:szCs w:val="20"/>
          <w:color w:val="auto"/>
        </w:rPr>
      </w:pPr>
      <w:r>
        <w:rPr>
          <w:rFonts w:ascii="Arial" w:cs="Arial" w:eastAsia="Arial" w:hAnsi="Arial"/>
          <w:sz w:val="13"/>
          <w:szCs w:val="13"/>
          <w:color w:val="auto"/>
        </w:rPr>
        <w:t>As of June 30, 2022, the Commencement Date for Phase II of the Tech Center Lease had not yet occurred. Accordingly, the condensed consolidated balance sheet at June 30, 2022 does not include operating lease right-of-use assets and operating lease liabilities, and the condensed consolidated statements of operations for the three and six months ended June 30, 2022 do not include any lease costs, related to Phase II of the Tech Center Lease. In addition, the above disclosures of the Company’s lease costs, maturities of operating lease liabilities, and the weighted-average remaining lease term and weighted-average discount rate, do not include any amounts related to Phase II of the Tech Center Lease.</w:t>
      </w:r>
    </w:p>
    <w:p>
      <w:pPr>
        <w:spacing w:after="0" w:line="112" w:lineRule="exact"/>
        <w:rPr>
          <w:sz w:val="20"/>
          <w:szCs w:val="20"/>
          <w:color w:val="auto"/>
        </w:rPr>
      </w:pPr>
    </w:p>
    <w:p>
      <w:pPr>
        <w:ind w:right="180" w:firstLine="619"/>
        <w:spacing w:after="0" w:line="252" w:lineRule="auto"/>
        <w:rPr>
          <w:sz w:val="20"/>
          <w:szCs w:val="20"/>
          <w:color w:val="auto"/>
        </w:rPr>
      </w:pPr>
      <w:r>
        <w:rPr>
          <w:rFonts w:ascii="Arial" w:cs="Arial" w:eastAsia="Arial" w:hAnsi="Arial"/>
          <w:sz w:val="14"/>
          <w:szCs w:val="14"/>
          <w:color w:val="auto"/>
        </w:rPr>
        <w:t>The Company currently estimates that Phase II Commencement Date will occur in the first quarter of 2025, at which time the Phase II operating lease right-of-use assets and liabilities will be recorded. Future minimum payments for monthly base rent due under Phase II of the Tech Center Lease, are currently estimated to total $34.7 million from 2025 through 2035, subject to a number of factors, including the actual Commencement Date of Phase II. Because the incremental borrowing rate will not be available until the Phase II Commencement Date, we are not yet able to determine the Phase II operating lease right-of-use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Debt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Senior Notes</w:t>
      </w:r>
    </w:p>
    <w:p>
      <w:pPr>
        <w:spacing w:after="0" w:line="138" w:lineRule="exact"/>
        <w:rPr>
          <w:sz w:val="20"/>
          <w:szCs w:val="20"/>
          <w:color w:val="auto"/>
        </w:rPr>
      </w:pPr>
    </w:p>
    <w:p>
      <w:pPr>
        <w:ind w:right="40" w:firstLine="619"/>
        <w:spacing w:after="0" w:line="284" w:lineRule="auto"/>
        <w:rPr>
          <w:sz w:val="20"/>
          <w:szCs w:val="20"/>
          <w:color w:val="auto"/>
        </w:rPr>
      </w:pPr>
      <w:r>
        <w:rPr>
          <w:rFonts w:ascii="Arial" w:cs="Arial" w:eastAsia="Arial" w:hAnsi="Arial"/>
          <w:sz w:val="13"/>
          <w:szCs w:val="13"/>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18" w:name="page19"/>
    <w:bookmarkEnd w:id="18"/>
    <w:p>
      <w:pPr>
        <w:ind w:right="40" w:firstLine="619"/>
        <w:spacing w:after="0" w:line="266" w:lineRule="auto"/>
        <w:rPr>
          <w:sz w:val="20"/>
          <w:szCs w:val="20"/>
          <w:color w:val="auto"/>
        </w:rPr>
      </w:pPr>
      <w:r>
        <w:rPr>
          <w:rFonts w:ascii="Arial" w:cs="Arial" w:eastAsia="Arial" w:hAnsi="Arial"/>
          <w:sz w:val="14"/>
          <w:szCs w:val="14"/>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59" w:lineRule="exact"/>
        <w:rPr>
          <w:sz w:val="20"/>
          <w:szCs w:val="20"/>
          <w:color w:val="auto"/>
        </w:rPr>
      </w:pPr>
    </w:p>
    <w:p>
      <w:pPr>
        <w:ind w:right="220" w:firstLine="619"/>
        <w:spacing w:after="0" w:line="343" w:lineRule="auto"/>
        <w:rPr>
          <w:sz w:val="20"/>
          <w:szCs w:val="20"/>
          <w:color w:val="auto"/>
        </w:rPr>
      </w:pPr>
      <w:r>
        <w:rPr>
          <w:rFonts w:ascii="Arial" w:cs="Arial" w:eastAsia="Arial" w:hAnsi="Arial"/>
          <w:sz w:val="11"/>
          <w:szCs w:val="11"/>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The Company expects to settle conversions through a combination settlement, which involves payment in cash equal to the principal portion and delivery of shares of common stock for the excess of the conversion value over the principal portion.</w:t>
      </w:r>
    </w:p>
    <w:p>
      <w:pPr>
        <w:spacing w:after="0" w:line="123" w:lineRule="exact"/>
        <w:rPr>
          <w:sz w:val="20"/>
          <w:szCs w:val="20"/>
          <w:color w:val="auto"/>
        </w:rPr>
      </w:pPr>
    </w:p>
    <w:p>
      <w:pPr>
        <w:ind w:right="200" w:firstLine="619"/>
        <w:spacing w:after="0" w:line="252" w:lineRule="auto"/>
        <w:rPr>
          <w:sz w:val="20"/>
          <w:szCs w:val="20"/>
          <w:color w:val="auto"/>
        </w:rPr>
      </w:pPr>
      <w:r>
        <w:rPr>
          <w:rFonts w:ascii="Arial" w:cs="Arial" w:eastAsia="Arial" w:hAnsi="Arial"/>
          <w:sz w:val="14"/>
          <w:szCs w:val="14"/>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1"/>
          <w:szCs w:val="11"/>
          <w:color w:val="auto"/>
        </w:rPr>
        <w:t>Holders of the Notes may convert all or a portion of their Notes at their option prior to November 1, 2024, in multiples of $1,000 principal amounts, only under the following circumstances:</w:t>
      </w:r>
    </w:p>
    <w:p>
      <w:pPr>
        <w:spacing w:after="0" w:line="224" w:lineRule="exact"/>
        <w:rPr>
          <w:sz w:val="20"/>
          <w:szCs w:val="20"/>
          <w:color w:val="auto"/>
        </w:rPr>
      </w:pPr>
    </w:p>
    <w:p>
      <w:pPr>
        <w:ind w:left="1000" w:right="60" w:hanging="379"/>
        <w:spacing w:after="0" w:line="305" w:lineRule="auto"/>
        <w:tabs>
          <w:tab w:leader="none" w:pos="996"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135" w:lineRule="exact"/>
        <w:rPr>
          <w:rFonts w:ascii="Arial" w:cs="Arial" w:eastAsia="Arial" w:hAnsi="Arial"/>
          <w:sz w:val="13"/>
          <w:szCs w:val="13"/>
          <w:color w:val="auto"/>
        </w:rPr>
      </w:pPr>
    </w:p>
    <w:p>
      <w:pPr>
        <w:ind w:left="1000" w:right="100" w:hanging="379"/>
        <w:spacing w:after="0" w:line="404" w:lineRule="auto"/>
        <w:tabs>
          <w:tab w:leader="none" w:pos="996" w:val="left"/>
        </w:tabs>
        <w:numPr>
          <w:ilvl w:val="0"/>
          <w:numId w:val="3"/>
        </w:numPr>
        <w:rPr>
          <w:rFonts w:ascii="Arial" w:cs="Arial" w:eastAsia="Arial" w:hAnsi="Arial"/>
          <w:sz w:val="11"/>
          <w:szCs w:val="11"/>
          <w:color w:val="auto"/>
        </w:rPr>
      </w:pPr>
      <w:r>
        <w:rPr>
          <w:rFonts w:ascii="Arial" w:cs="Arial" w:eastAsia="Arial" w:hAnsi="Arial"/>
          <w:sz w:val="11"/>
          <w:szCs w:val="11"/>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89" w:lineRule="exact"/>
        <w:rPr>
          <w:rFonts w:ascii="Arial" w:cs="Arial" w:eastAsia="Arial" w:hAnsi="Arial"/>
          <w:sz w:val="11"/>
          <w:szCs w:val="11"/>
          <w:color w:val="auto"/>
        </w:rPr>
      </w:pPr>
    </w:p>
    <w:p>
      <w:pPr>
        <w:ind w:left="980" w:hanging="359"/>
        <w:spacing w:after="0"/>
        <w:tabs>
          <w:tab w:leader="none" w:pos="9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the Company calls any or all of the Notes for redemption, at any time prior to the close of business on the scheduled trading day immediately preceding the redemption date; or</w:t>
      </w:r>
    </w:p>
    <w:p>
      <w:pPr>
        <w:spacing w:after="0" w:line="201" w:lineRule="exact"/>
        <w:rPr>
          <w:rFonts w:ascii="Arial" w:cs="Arial" w:eastAsia="Arial" w:hAnsi="Arial"/>
          <w:sz w:val="13"/>
          <w:szCs w:val="13"/>
          <w:color w:val="auto"/>
        </w:rPr>
      </w:pPr>
    </w:p>
    <w:p>
      <w:pPr>
        <w:ind w:left="980" w:hanging="359"/>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the occurrence of specified corporate events.</w:t>
      </w:r>
    </w:p>
    <w:p>
      <w:pPr>
        <w:spacing w:after="0" w:line="190" w:lineRule="exact"/>
        <w:rPr>
          <w:sz w:val="20"/>
          <w:szCs w:val="20"/>
          <w:color w:val="auto"/>
        </w:rPr>
      </w:pPr>
    </w:p>
    <w:p>
      <w:pPr>
        <w:ind w:right="100" w:firstLine="619"/>
        <w:spacing w:after="0" w:line="266" w:lineRule="auto"/>
        <w:rPr>
          <w:sz w:val="20"/>
          <w:szCs w:val="20"/>
          <w:color w:val="auto"/>
        </w:rPr>
      </w:pPr>
      <w:r>
        <w:rPr>
          <w:rFonts w:ascii="Arial" w:cs="Arial" w:eastAsia="Arial" w:hAnsi="Arial"/>
          <w:sz w:val="14"/>
          <w:szCs w:val="14"/>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59" w:lineRule="exact"/>
        <w:rPr>
          <w:sz w:val="20"/>
          <w:szCs w:val="20"/>
          <w:color w:val="auto"/>
        </w:rPr>
      </w:pPr>
    </w:p>
    <w:p>
      <w:pPr>
        <w:ind w:right="40" w:firstLine="619"/>
        <w:spacing w:after="0" w:line="256" w:lineRule="auto"/>
        <w:rPr>
          <w:sz w:val="20"/>
          <w:szCs w:val="20"/>
          <w:color w:val="auto"/>
        </w:rPr>
      </w:pPr>
      <w:r>
        <w:rPr>
          <w:rFonts w:ascii="Arial" w:cs="Arial" w:eastAsia="Arial" w:hAnsi="Arial"/>
          <w:sz w:val="14"/>
          <w:szCs w:val="14"/>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net carrying amount of the Notes on the condensed consolidated balance sheets consisted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3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 2022</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rPr>
              <w:t>December 31, 2021</w:t>
            </w:r>
          </w:p>
        </w:tc>
      </w:tr>
      <w:tr>
        <w:trPr>
          <w:trHeight w:val="168"/>
        </w:trPr>
        <w:tc>
          <w:tcPr>
            <w:tcW w:w="7340" w:type="dxa"/>
            <w:vAlign w:val="bottom"/>
            <w:shd w:val="clear" w:color="auto" w:fill="CFF0FC"/>
          </w:tcPr>
          <w:p>
            <w:pPr>
              <w:ind w:left="20"/>
              <w:spacing w:after="0" w:line="157" w:lineRule="exact"/>
              <w:rPr>
                <w:sz w:val="20"/>
                <w:szCs w:val="20"/>
                <w:color w:val="auto"/>
              </w:rPr>
            </w:pPr>
            <w:r>
              <w:rPr>
                <w:rFonts w:ascii="Arial" w:cs="Arial" w:eastAsia="Arial" w:hAnsi="Arial"/>
                <w:sz w:val="14"/>
                <w:szCs w:val="14"/>
                <w:color w:val="auto"/>
              </w:rPr>
              <w:t>Principal amount</w:t>
            </w:r>
          </w:p>
        </w:tc>
        <w:tc>
          <w:tcPr>
            <w:tcW w:w="1380" w:type="dxa"/>
            <w:vAlign w:val="bottom"/>
            <w:shd w:val="clear" w:color="auto" w:fill="CFF0FC"/>
          </w:tcPr>
          <w:p>
            <w:pPr>
              <w:jc w:val="right"/>
              <w:ind w:right="12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287,500</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287,500</w:t>
            </w:r>
          </w:p>
        </w:tc>
      </w:tr>
      <w:tr>
        <w:trPr>
          <w:trHeight w:val="175"/>
        </w:trPr>
        <w:tc>
          <w:tcPr>
            <w:tcW w:w="73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Unamortized debt issuance costs</w:t>
            </w:r>
          </w:p>
        </w:tc>
        <w:tc>
          <w:tcPr>
            <w:tcW w:w="1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(5,155)</w:t>
            </w: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(6,033)</w:t>
            </w:r>
          </w:p>
        </w:tc>
      </w:tr>
      <w:tr>
        <w:trPr>
          <w:trHeight w:val="191"/>
        </w:trPr>
        <w:tc>
          <w:tcPr>
            <w:tcW w:w="734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Net carrying amount</w:t>
            </w:r>
          </w:p>
        </w:tc>
        <w:tc>
          <w:tcPr>
            <w:tcW w:w="1380" w:type="dxa"/>
            <w:vAlign w:val="bottom"/>
            <w:tcBorders>
              <w:bottom w:val="single" w:sz="8" w:color="auto"/>
            </w:tcBorders>
            <w:shd w:val="clear" w:color="auto" w:fill="CFF0FC"/>
          </w:tcPr>
          <w:p>
            <w:pPr>
              <w:jc w:val="right"/>
              <w:ind w:right="12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282,345</w:t>
            </w: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281,467</w:t>
            </w: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00" w:firstLine="619"/>
        <w:spacing w:after="0" w:line="266" w:lineRule="auto"/>
        <w:rPr>
          <w:sz w:val="20"/>
          <w:szCs w:val="20"/>
          <w:color w:val="auto"/>
        </w:rPr>
      </w:pPr>
      <w:r>
        <w:rPr>
          <w:rFonts w:ascii="Arial" w:cs="Arial" w:eastAsia="Arial" w:hAnsi="Arial"/>
          <w:sz w:val="14"/>
          <w:szCs w:val="14"/>
          <w:color w:val="auto"/>
        </w:rPr>
        <w:t>As of June 30, 2022, the unamortized debt issuance costs of $5.2 million associated with the Notes will be amortized to interest expense, at an effective interest rate of 2.2% over the remaining period of approximately three years.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9" w:name="page20"/>
    <w:bookmarkEnd w:id="19"/>
    <w:p>
      <w:pPr>
        <w:ind w:left="620"/>
        <w:spacing w:after="0"/>
        <w:rPr>
          <w:sz w:val="20"/>
          <w:szCs w:val="20"/>
          <w:color w:val="auto"/>
        </w:rPr>
      </w:pPr>
      <w:r>
        <w:rPr>
          <w:rFonts w:ascii="Arial" w:cs="Arial" w:eastAsia="Arial" w:hAnsi="Arial"/>
          <w:sz w:val="14"/>
          <w:szCs w:val="14"/>
          <w:color w:val="auto"/>
        </w:rPr>
        <w:t>The following table details interest expense related to the Notes recognized for the three and six months ended June 30, 2022 and 2021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gridSpan w:val="3"/>
            <w:vMerge w:val="restart"/>
          </w:tcPr>
          <w:p>
            <w:pPr>
              <w:jc w:val="right"/>
              <w:ind w:right="374"/>
              <w:spacing w:after="0"/>
              <w:rPr>
                <w:sz w:val="20"/>
                <w:szCs w:val="20"/>
                <w:color w:val="auto"/>
              </w:rPr>
            </w:pPr>
            <w:r>
              <w:rPr>
                <w:rFonts w:ascii="Arial" w:cs="Arial" w:eastAsia="Arial" w:hAnsi="Arial"/>
                <w:sz w:val="12"/>
                <w:szCs w:val="12"/>
                <w:b w:val="1"/>
                <w:bCs w:val="1"/>
                <w:color w:val="auto"/>
                <w:w w:val="92"/>
              </w:rPr>
              <w:t>Three Months Ended 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Six Months Ended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2"/>
                <w:szCs w:val="12"/>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5"/>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interest expense</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5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debt issuance costs</w:t>
            </w:r>
          </w:p>
        </w:tc>
        <w:tc>
          <w:tcPr>
            <w:tcW w:w="10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91"/>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interest expense</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3,052</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20" w:firstLine="619"/>
        <w:spacing w:after="0" w:line="305" w:lineRule="auto"/>
        <w:rPr>
          <w:sz w:val="20"/>
          <w:szCs w:val="20"/>
          <w:color w:val="auto"/>
        </w:rPr>
      </w:pPr>
      <w:r>
        <w:rPr>
          <w:rFonts w:ascii="Arial" w:cs="Arial" w:eastAsia="Arial" w:hAnsi="Arial"/>
          <w:sz w:val="13"/>
          <w:szCs w:val="13"/>
          <w:color w:val="auto"/>
        </w:rPr>
        <w:t>The Notes will have a dilutive effect to the extent the average market price per share of common stock for a given reporting period exceeds the conversion price of $112.57. As of June 30, 2022, the if-converted value of the Notes did not exceed the principal amount. As of December 31, 2021, the if-converted value of the Notes exceeded the principal amount by $96.9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Capped Call Transactions</w:t>
      </w:r>
    </w:p>
    <w:p>
      <w:pPr>
        <w:spacing w:after="0" w:line="190"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59" w:lineRule="exact"/>
        <w:rPr>
          <w:sz w:val="20"/>
          <w:szCs w:val="20"/>
          <w:color w:val="auto"/>
        </w:rPr>
      </w:pPr>
    </w:p>
    <w:p>
      <w:pPr>
        <w:ind w:right="120" w:firstLine="619"/>
        <w:spacing w:after="0" w:line="358" w:lineRule="auto"/>
        <w:rPr>
          <w:sz w:val="20"/>
          <w:szCs w:val="20"/>
          <w:color w:val="auto"/>
        </w:rPr>
      </w:pPr>
      <w:r>
        <w:rPr>
          <w:rFonts w:ascii="Arial" w:cs="Arial" w:eastAsia="Arial" w:hAnsi="Arial"/>
          <w:sz w:val="11"/>
          <w:szCs w:val="11"/>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Line of Credit</w:t>
      </w:r>
    </w:p>
    <w:p>
      <w:pPr>
        <w:spacing w:after="0" w:line="19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3"/>
          <w:szCs w:val="13"/>
          <w:color w:val="auto"/>
        </w:rPr>
        <w:t>On May 18, 2022, the Company entered into a three-year Revolving Line of Credit Agreement, that provides the Company with an available principal borrowing amount of $100.0 million (the Line of Credit).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prior to the May 1, 2025 maturity date of the Company’s Convertible Senior Notes, that the Company does not satisfy a predefined liquidity threshold. During the term of the Line of Credit, the Company is required to maintain compliance with two financial maintenance covenants: a minimum consolidated interest coverage ratio and a maximum consolidated net leverage ratio. The Company was in compliance with these financial maintenance covenants as of June 30, 2022. The Line of Credit is secured by a first priority security interest in substantially all of the assets of the Company and its subsidiaries.</w:t>
      </w:r>
    </w:p>
    <w:p>
      <w:pPr>
        <w:spacing w:after="0" w:line="108" w:lineRule="exact"/>
        <w:rPr>
          <w:sz w:val="20"/>
          <w:szCs w:val="20"/>
          <w:color w:val="auto"/>
        </w:rPr>
      </w:pPr>
    </w:p>
    <w:p>
      <w:pPr>
        <w:ind w:right="160" w:firstLine="619"/>
        <w:spacing w:after="0" w:line="251" w:lineRule="auto"/>
        <w:rPr>
          <w:sz w:val="20"/>
          <w:szCs w:val="20"/>
          <w:color w:val="auto"/>
        </w:rPr>
      </w:pPr>
      <w:r>
        <w:rPr>
          <w:rFonts w:ascii="Arial" w:cs="Arial" w:eastAsia="Arial" w:hAnsi="Arial"/>
          <w:sz w:val="14"/>
          <w:szCs w:val="14"/>
          <w:color w:val="auto"/>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prior to the maturity date, without premium or penalty. As of June 30, 2022, the Company had no outstanding borrowings under the Line of Credit.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8"/>
        </w:trPr>
        <w:tc>
          <w:tcPr>
            <w:tcW w:w="9940" w:type="dxa"/>
            <w:vAlign w:val="bottom"/>
          </w:tcPr>
          <w:p>
            <w:pPr>
              <w:spacing w:after="0"/>
              <w:rPr>
                <w:sz w:val="20"/>
                <w:szCs w:val="20"/>
                <w:color w:val="auto"/>
              </w:rPr>
            </w:pPr>
            <w:r>
              <w:rPr>
                <w:rFonts w:ascii="Arial" w:cs="Arial" w:eastAsia="Arial" w:hAnsi="Arial"/>
                <w:sz w:val="14"/>
                <w:szCs w:val="14"/>
                <w:b w:val="1"/>
                <w:bCs w:val="1"/>
                <w:color w:val="auto"/>
              </w:rPr>
              <w:t>8. Stockholders’ Equity</w:t>
            </w:r>
          </w:p>
        </w:tc>
        <w:tc>
          <w:tcPr>
            <w:tcW w:w="1320" w:type="dxa"/>
            <w:vAlign w:val="bottom"/>
          </w:tcPr>
          <w:p>
            <w:pPr>
              <w:spacing w:after="0"/>
              <w:rPr>
                <w:sz w:val="15"/>
                <w:szCs w:val="15"/>
                <w:color w:val="auto"/>
              </w:rPr>
            </w:pPr>
          </w:p>
        </w:tc>
      </w:tr>
      <w:tr>
        <w:trPr>
          <w:trHeight w:val="309"/>
        </w:trPr>
        <w:tc>
          <w:tcPr>
            <w:tcW w:w="9940" w:type="dxa"/>
            <w:vAlign w:val="bottom"/>
          </w:tcPr>
          <w:p>
            <w:pPr>
              <w:spacing w:after="0"/>
              <w:rPr>
                <w:sz w:val="20"/>
                <w:szCs w:val="20"/>
                <w:color w:val="auto"/>
              </w:rPr>
            </w:pPr>
            <w:r>
              <w:rPr>
                <w:rFonts w:ascii="Arial" w:cs="Arial" w:eastAsia="Arial" w:hAnsi="Arial"/>
                <w:sz w:val="14"/>
                <w:szCs w:val="14"/>
                <w:b w:val="1"/>
                <w:bCs w:val="1"/>
                <w:i w:val="1"/>
                <w:iCs w:val="1"/>
                <w:color w:val="auto"/>
              </w:rPr>
              <w:t>Shares Reserved for Future Issuance</w:t>
            </w:r>
          </w:p>
        </w:tc>
        <w:tc>
          <w:tcPr>
            <w:tcW w:w="1320" w:type="dxa"/>
            <w:vAlign w:val="bottom"/>
          </w:tcPr>
          <w:p>
            <w:pPr>
              <w:spacing w:after="0"/>
              <w:rPr>
                <w:sz w:val="24"/>
                <w:szCs w:val="24"/>
                <w:color w:val="auto"/>
              </w:rPr>
            </w:pPr>
          </w:p>
        </w:tc>
      </w:tr>
      <w:tr>
        <w:trPr>
          <w:trHeight w:val="299"/>
        </w:trPr>
        <w:tc>
          <w:tcPr>
            <w:tcW w:w="9940" w:type="dxa"/>
            <w:vAlign w:val="bottom"/>
          </w:tcPr>
          <w:p>
            <w:pPr>
              <w:ind w:left="620"/>
              <w:spacing w:after="0"/>
              <w:rPr>
                <w:sz w:val="20"/>
                <w:szCs w:val="20"/>
                <w:color w:val="auto"/>
              </w:rPr>
            </w:pPr>
            <w:r>
              <w:rPr>
                <w:rFonts w:ascii="Arial" w:cs="Arial" w:eastAsia="Arial" w:hAnsi="Arial"/>
                <w:sz w:val="14"/>
                <w:szCs w:val="14"/>
                <w:color w:val="auto"/>
              </w:rPr>
              <w:t>The following shares of the Company's common stock were reserved for future issuance at June 30, 2022 (in thousands):</w:t>
            </w:r>
          </w:p>
        </w:tc>
        <w:tc>
          <w:tcPr>
            <w:tcW w:w="1320" w:type="dxa"/>
            <w:vAlign w:val="bottom"/>
          </w:tcPr>
          <w:p>
            <w:pPr>
              <w:spacing w:after="0"/>
              <w:rPr>
                <w:sz w:val="24"/>
                <w:szCs w:val="24"/>
                <w:color w:val="auto"/>
              </w:rPr>
            </w:pPr>
          </w:p>
        </w:tc>
      </w:tr>
      <w:tr>
        <w:trPr>
          <w:trHeight w:val="94"/>
        </w:trPr>
        <w:tc>
          <w:tcPr>
            <w:tcW w:w="99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75"/>
        </w:trPr>
        <w:tc>
          <w:tcPr>
            <w:tcW w:w="9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reserved for issuance upon conversion of Convertible Senior Notes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w:t>
            </w:r>
          </w:p>
        </w:tc>
      </w:tr>
      <w:tr>
        <w:trPr>
          <w:trHeight w:val="175"/>
        </w:trPr>
        <w:tc>
          <w:tcPr>
            <w:tcW w:w="9940" w:type="dxa"/>
            <w:vAlign w:val="bottom"/>
          </w:tcPr>
          <w:p>
            <w:pPr>
              <w:ind w:left="20"/>
              <w:spacing w:after="0"/>
              <w:rPr>
                <w:sz w:val="20"/>
                <w:szCs w:val="20"/>
                <w:color w:val="auto"/>
              </w:rPr>
            </w:pPr>
            <w:r>
              <w:rPr>
                <w:rFonts w:ascii="Arial" w:cs="Arial" w:eastAsia="Arial" w:hAnsi="Arial"/>
                <w:sz w:val="14"/>
                <w:szCs w:val="14"/>
                <w:color w:val="auto"/>
              </w:rPr>
              <w:t>Shares underlying outstanding warrants</w:t>
            </w:r>
          </w:p>
        </w:tc>
        <w:tc>
          <w:tcPr>
            <w:tcW w:w="13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76"/>
        </w:trPr>
        <w:tc>
          <w:tcPr>
            <w:tcW w:w="9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underlying outstanding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w:t>
            </w:r>
          </w:p>
        </w:tc>
      </w:tr>
      <w:tr>
        <w:trPr>
          <w:trHeight w:val="175"/>
        </w:trPr>
        <w:tc>
          <w:tcPr>
            <w:tcW w:w="9940" w:type="dxa"/>
            <w:vAlign w:val="bottom"/>
          </w:tcPr>
          <w:p>
            <w:pPr>
              <w:ind w:left="20"/>
              <w:spacing w:after="0"/>
              <w:rPr>
                <w:sz w:val="20"/>
                <w:szCs w:val="20"/>
                <w:color w:val="auto"/>
              </w:rPr>
            </w:pPr>
            <w:r>
              <w:rPr>
                <w:rFonts w:ascii="Arial" w:cs="Arial" w:eastAsia="Arial" w:hAnsi="Arial"/>
                <w:sz w:val="14"/>
                <w:szCs w:val="14"/>
                <w:color w:val="auto"/>
              </w:rPr>
              <w:t>Shares underlying unvested restricted stock units</w:t>
            </w:r>
          </w:p>
        </w:tc>
        <w:tc>
          <w:tcPr>
            <w:tcW w:w="1320" w:type="dxa"/>
            <w:vAlign w:val="bottom"/>
          </w:tcPr>
          <w:p>
            <w:pPr>
              <w:jc w:val="right"/>
              <w:spacing w:after="0"/>
              <w:rPr>
                <w:sz w:val="20"/>
                <w:szCs w:val="20"/>
                <w:color w:val="auto"/>
              </w:rPr>
            </w:pPr>
            <w:r>
              <w:rPr>
                <w:rFonts w:ascii="Arial" w:cs="Arial" w:eastAsia="Arial" w:hAnsi="Arial"/>
                <w:sz w:val="14"/>
                <w:szCs w:val="14"/>
                <w:color w:val="auto"/>
              </w:rPr>
              <w:t>1,474</w:t>
            </w:r>
          </w:p>
        </w:tc>
      </w:tr>
      <w:tr>
        <w:trPr>
          <w:trHeight w:val="176"/>
        </w:trPr>
        <w:tc>
          <w:tcPr>
            <w:tcW w:w="9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authorized for issuance pursuant to awards granted under the ESPP</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r>
      <w:tr>
        <w:trPr>
          <w:trHeight w:val="17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authorized for future equity award grants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r>
      <w:tr>
        <w:trPr>
          <w:trHeight w:val="191"/>
        </w:trPr>
        <w:tc>
          <w:tcPr>
            <w:tcW w:w="9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Warrants outstanding to purchase shares of the Company's common stock as of June 30, 2022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20" w:type="dxa"/>
            <w:vAlign w:val="bottom"/>
            <w:gridSpan w:val="2"/>
          </w:tcPr>
          <w:p>
            <w:pPr>
              <w:ind w:left="2240"/>
              <w:spacing w:after="0"/>
              <w:rPr>
                <w:sz w:val="20"/>
                <w:szCs w:val="20"/>
                <w:color w:val="auto"/>
              </w:rPr>
            </w:pPr>
            <w:r>
              <w:rPr>
                <w:rFonts w:ascii="Arial" w:cs="Arial" w:eastAsia="Arial" w:hAnsi="Arial"/>
                <w:sz w:val="12"/>
                <w:szCs w:val="12"/>
                <w:b w:val="1"/>
                <w:bCs w:val="1"/>
                <w:color w:val="auto"/>
              </w:rPr>
              <w:t>Issue Date</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Exercise Price Per Share</w:t>
            </w:r>
          </w:p>
        </w:tc>
        <w:tc>
          <w:tcPr>
            <w:tcW w:w="1360" w:type="dxa"/>
            <w:vAlign w:val="bottom"/>
          </w:tcPr>
          <w:p>
            <w:pPr>
              <w:jc w:val="right"/>
              <w:ind w:right="13"/>
              <w:spacing w:after="0"/>
              <w:rPr>
                <w:sz w:val="20"/>
                <w:szCs w:val="20"/>
                <w:color w:val="auto"/>
              </w:rPr>
            </w:pPr>
            <w:r>
              <w:rPr>
                <w:rFonts w:ascii="Arial" w:cs="Arial" w:eastAsia="Arial" w:hAnsi="Arial"/>
                <w:sz w:val="12"/>
                <w:szCs w:val="12"/>
                <w:b w:val="1"/>
                <w:bCs w:val="1"/>
                <w:color w:val="auto"/>
                <w:w w:val="99"/>
              </w:rPr>
              <w:t>Warrants Outstanding</w:t>
            </w:r>
          </w:p>
        </w:tc>
        <w:tc>
          <w:tcPr>
            <w:tcW w:w="10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2"/>
                <w:szCs w:val="12"/>
                <w:b w:val="1"/>
                <w:bCs w:val="1"/>
                <w:color w:val="auto"/>
                <w:w w:val="94"/>
              </w:rPr>
              <w:t>Expiration Date of Warrants Outstanding</w:t>
            </w:r>
          </w:p>
        </w:tc>
      </w:tr>
      <w:tr>
        <w:trPr>
          <w:trHeight w:val="168"/>
        </w:trPr>
        <w:tc>
          <w:tcPr>
            <w:tcW w:w="5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October 2017</w:t>
            </w:r>
          </w:p>
        </w:tc>
        <w:tc>
          <w:tcPr>
            <w:tcW w:w="8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5"/>
              </w:rPr>
              <w:t>$3.50</w:t>
            </w:r>
          </w:p>
        </w:tc>
        <w:tc>
          <w:tcPr>
            <w:tcW w:w="10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CFF0FC"/>
            </w:tcBorders>
            <w:shd w:val="clear" w:color="auto" w:fill="CFF0FC"/>
          </w:tcPr>
          <w:p>
            <w:pPr>
              <w:spacing w:after="0"/>
              <w:rPr>
                <w:sz w:val="14"/>
                <w:szCs w:val="14"/>
                <w:color w:val="auto"/>
              </w:rPr>
            </w:pPr>
          </w:p>
        </w:tc>
        <w:tc>
          <w:tcPr>
            <w:tcW w:w="3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October 2022</w:t>
            </w: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March 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$23.50</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193,788</w:t>
            </w:r>
          </w:p>
        </w:tc>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color w:val="auto"/>
                <w:w w:val="91"/>
              </w:rPr>
              <w:t>March 2027</w:t>
            </w:r>
          </w:p>
        </w:tc>
      </w:tr>
      <w:tr>
        <w:trPr>
          <w:trHeight w:val="175"/>
        </w:trPr>
        <w:tc>
          <w:tcPr>
            <w:tcW w:w="5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July 2012 - August 2012</w:t>
            </w: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$73.73</w:t>
            </w:r>
          </w:p>
        </w:tc>
        <w:tc>
          <w:tcPr>
            <w:tcW w:w="100" w:type="dxa"/>
            <w:vAlign w:val="bottom"/>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FF0FC"/>
          </w:tcPr>
          <w:p>
            <w:pPr>
              <w:spacing w:after="0"/>
              <w:rPr>
                <w:sz w:val="15"/>
                <w:szCs w:val="15"/>
                <w:color w:val="auto"/>
              </w:rPr>
            </w:pPr>
          </w:p>
        </w:tc>
        <w:tc>
          <w:tcPr>
            <w:tcW w:w="32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July 2022 - August 2022</w:t>
            </w:r>
          </w:p>
        </w:tc>
      </w:tr>
      <w:tr>
        <w:trPr>
          <w:trHeight w:val="166"/>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196,147</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60" w:firstLine="619"/>
        <w:spacing w:after="0" w:line="256" w:lineRule="auto"/>
        <w:rPr>
          <w:sz w:val="20"/>
          <w:szCs w:val="20"/>
          <w:color w:val="auto"/>
        </w:rPr>
      </w:pPr>
      <w:r>
        <w:rPr>
          <w:rFonts w:ascii="Arial" w:cs="Arial" w:eastAsia="Arial" w:hAnsi="Arial"/>
          <w:sz w:val="14"/>
          <w:szCs w:val="14"/>
          <w:color w:val="auto"/>
        </w:rPr>
        <w:t>Each warrant allows the holder to purchase one share of the Company's common stock at the exercise price per share of the respective warrant. The Company issued 3,843 and 5,678 shares of its common stock, respectively, upon the exercise of warrants during the three and six months ended June 30, 2022, and 522 and 125,522 shares of its common stock, respectively, upon the exercise of warrants during the three and six months ended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Plans</w:t>
      </w:r>
    </w:p>
    <w:p>
      <w:pPr>
        <w:spacing w:after="0" w:line="138" w:lineRule="exact"/>
        <w:rPr>
          <w:sz w:val="20"/>
          <w:szCs w:val="20"/>
          <w:color w:val="auto"/>
        </w:rPr>
      </w:pPr>
    </w:p>
    <w:p>
      <w:pPr>
        <w:ind w:right="540" w:firstLine="619"/>
        <w:spacing w:after="0" w:line="404" w:lineRule="auto"/>
        <w:rPr>
          <w:sz w:val="20"/>
          <w:szCs w:val="20"/>
          <w:color w:val="auto"/>
        </w:rPr>
      </w:pPr>
      <w:r>
        <w:rPr>
          <w:rFonts w:ascii="Arial" w:cs="Arial" w:eastAsia="Arial" w:hAnsi="Arial"/>
          <w:sz w:val="11"/>
          <w:szCs w:val="11"/>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38" w:lineRule="exact"/>
        <w:rPr>
          <w:sz w:val="20"/>
          <w:szCs w:val="20"/>
          <w:color w:val="auto"/>
        </w:rPr>
      </w:pPr>
    </w:p>
    <w:p>
      <w:pPr>
        <w:ind w:right="200" w:firstLine="619"/>
        <w:spacing w:after="0" w:line="266" w:lineRule="auto"/>
        <w:rPr>
          <w:sz w:val="20"/>
          <w:szCs w:val="20"/>
          <w:color w:val="auto"/>
        </w:rPr>
      </w:pPr>
      <w:r>
        <w:rPr>
          <w:rFonts w:ascii="Arial" w:cs="Arial" w:eastAsia="Arial" w:hAnsi="Arial"/>
          <w:sz w:val="14"/>
          <w:szCs w:val="14"/>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Common Stock Options</w:t>
      </w:r>
    </w:p>
    <w:p>
      <w:pPr>
        <w:spacing w:after="0" w:line="138" w:lineRule="exact"/>
        <w:rPr>
          <w:sz w:val="20"/>
          <w:szCs w:val="20"/>
          <w:color w:val="auto"/>
        </w:rPr>
      </w:pPr>
    </w:p>
    <w:p>
      <w:pPr>
        <w:ind w:right="180" w:firstLine="619"/>
        <w:spacing w:after="0" w:line="252" w:lineRule="auto"/>
        <w:rPr>
          <w:sz w:val="20"/>
          <w:szCs w:val="20"/>
          <w:color w:val="auto"/>
        </w:rPr>
      </w:pPr>
      <w:r>
        <w:rPr>
          <w:rFonts w:ascii="Arial" w:cs="Arial" w:eastAsia="Arial" w:hAnsi="Arial"/>
          <w:sz w:val="14"/>
          <w:szCs w:val="14"/>
          <w:color w:val="auto"/>
        </w:rPr>
        <w:t>Common stock options have an exercise price equal to the closing price of the Company's common stock on the applicable grant date, and have a maximum term of ten years. Stock options granted prior to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21" w:name="page22"/>
    <w:bookmarkEnd w:id="21"/>
    <w:p>
      <w:pPr>
        <w:ind w:right="220" w:firstLine="619"/>
        <w:spacing w:after="0" w:line="266" w:lineRule="auto"/>
        <w:rPr>
          <w:sz w:val="20"/>
          <w:szCs w:val="20"/>
          <w:color w:val="auto"/>
        </w:rPr>
      </w:pPr>
      <w:r>
        <w:rPr>
          <w:rFonts w:ascii="Arial" w:cs="Arial" w:eastAsia="Arial" w:hAnsi="Arial"/>
          <w:sz w:val="14"/>
          <w:szCs w:val="14"/>
          <w:color w:val="auto"/>
        </w:rPr>
        <w:t>The Company estimates the fair value of stock options using the Black-Scholes option-pricing model on the grant date. The total number of common stock options granted and the respective assumptions used in the Black-Scholes option-pricing model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4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2"/>
                <w:szCs w:val="12"/>
                <w:b w:val="1"/>
                <w:bCs w:val="1"/>
                <w:color w:val="auto"/>
              </w:rPr>
              <w:t>Three Months Ended June 30,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3"/>
              </w:rPr>
              <w:t>Six Months Ended June 30,</w:t>
            </w:r>
          </w:p>
        </w:tc>
        <w:tc>
          <w:tcPr>
            <w:tcW w:w="1000" w:type="dxa"/>
            <w:vAlign w:val="bottom"/>
            <w:tcBorders>
              <w:bottom w:val="single" w:sz="8" w:color="auto"/>
            </w:tcBorders>
          </w:tcPr>
          <w:p>
            <w:pPr>
              <w:spacing w:after="0"/>
              <w:rPr>
                <w:sz w:val="14"/>
                <w:szCs w:val="14"/>
                <w:color w:val="auto"/>
              </w:rPr>
            </w:pPr>
          </w:p>
        </w:tc>
      </w:tr>
      <w:tr>
        <w:trPr>
          <w:trHeight w:val="156"/>
        </w:trPr>
        <w:tc>
          <w:tcPr>
            <w:tcW w:w="41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2022</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72"/>
              <w:spacing w:after="0"/>
              <w:rPr>
                <w:sz w:val="20"/>
                <w:szCs w:val="20"/>
                <w:color w:val="auto"/>
              </w:rPr>
            </w:pPr>
            <w:r>
              <w:rPr>
                <w:rFonts w:ascii="Arial" w:cs="Arial" w:eastAsia="Arial" w:hAnsi="Arial"/>
                <w:sz w:val="12"/>
                <w:szCs w:val="12"/>
                <w:b w:val="1"/>
                <w:bCs w:val="1"/>
                <w:color w:val="auto"/>
                <w:w w:val="89"/>
              </w:rPr>
              <w:t>2021</w:t>
            </w:r>
          </w:p>
        </w:tc>
      </w:tr>
      <w:tr>
        <w:trPr>
          <w:trHeight w:val="16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granted</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83,008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94"/>
              </w:rPr>
              <w:t>239,608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83,008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355,008</w:t>
            </w:r>
          </w:p>
        </w:tc>
      </w:tr>
      <w:tr>
        <w:trPr>
          <w:trHeight w:val="175"/>
        </w:trPr>
        <w:tc>
          <w:tcPr>
            <w:tcW w:w="4140" w:type="dxa"/>
            <w:vAlign w:val="bottom"/>
          </w:tcPr>
          <w:p>
            <w:pPr>
              <w:ind w:left="20"/>
              <w:spacing w:after="0"/>
              <w:rPr>
                <w:sz w:val="20"/>
                <w:szCs w:val="20"/>
                <w:color w:val="auto"/>
              </w:rPr>
            </w:pPr>
            <w:r>
              <w:rPr>
                <w:rFonts w:ascii="Arial" w:cs="Arial" w:eastAsia="Arial" w:hAnsi="Arial"/>
                <w:sz w:val="14"/>
                <w:szCs w:val="14"/>
                <w:color w:val="auto"/>
              </w:rPr>
              <w:t>Weighted average grant date fair value (per share)</w:t>
            </w:r>
          </w:p>
        </w:tc>
        <w:tc>
          <w:tcPr>
            <w:tcW w:w="1100" w:type="dxa"/>
            <w:vAlign w:val="bottom"/>
          </w:tcPr>
          <w:p>
            <w:pPr>
              <w:jc w:val="right"/>
              <w:ind w:right="93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42.16</w:t>
            </w:r>
          </w:p>
        </w:tc>
        <w:tc>
          <w:tcPr>
            <w:tcW w:w="80" w:type="dxa"/>
            <w:vAlign w:val="bottom"/>
          </w:tcPr>
          <w:p>
            <w:pPr>
              <w:spacing w:after="0"/>
              <w:rPr>
                <w:sz w:val="15"/>
                <w:szCs w:val="15"/>
                <w:color w:val="auto"/>
              </w:rPr>
            </w:pPr>
          </w:p>
        </w:tc>
        <w:tc>
          <w:tcPr>
            <w:tcW w:w="1040" w:type="dxa"/>
            <w:vAlign w:val="bottom"/>
          </w:tcPr>
          <w:p>
            <w:pPr>
              <w:jc w:val="right"/>
              <w:ind w:right="895"/>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54.92</w:t>
            </w:r>
          </w:p>
        </w:tc>
        <w:tc>
          <w:tcPr>
            <w:tcW w:w="80" w:type="dxa"/>
            <w:vAlign w:val="bottom"/>
          </w:tcPr>
          <w:p>
            <w:pPr>
              <w:spacing w:after="0"/>
              <w:rPr>
                <w:sz w:val="15"/>
                <w:szCs w:val="15"/>
                <w:color w:val="auto"/>
              </w:rPr>
            </w:pPr>
          </w:p>
        </w:tc>
        <w:tc>
          <w:tcPr>
            <w:tcW w:w="1020" w:type="dxa"/>
            <w:vAlign w:val="bottom"/>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42.16</w:t>
            </w:r>
          </w:p>
        </w:tc>
        <w:tc>
          <w:tcPr>
            <w:tcW w:w="80" w:type="dxa"/>
            <w:vAlign w:val="bottom"/>
          </w:tcPr>
          <w:p>
            <w:pPr>
              <w:spacing w:after="0"/>
              <w:rPr>
                <w:sz w:val="15"/>
                <w:szCs w:val="15"/>
                <w:color w:val="auto"/>
              </w:rPr>
            </w:pP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56.89</w:t>
            </w:r>
          </w:p>
        </w:tc>
      </w:tr>
      <w:tr>
        <w:trPr>
          <w:trHeight w:val="17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75"/>
        </w:trPr>
        <w:tc>
          <w:tcPr>
            <w:tcW w:w="41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0.0 %</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0.0 %</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17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72.0 %</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74.9 %</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75.1 %</w:t>
            </w:r>
          </w:p>
        </w:tc>
      </w:tr>
      <w:tr>
        <w:trPr>
          <w:trHeight w:val="174"/>
        </w:trPr>
        <w:tc>
          <w:tcPr>
            <w:tcW w:w="414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196"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Restricted Stock Units</w:t>
      </w:r>
    </w:p>
    <w:p>
      <w:pPr>
        <w:spacing w:after="0" w:line="138" w:lineRule="exact"/>
        <w:rPr>
          <w:sz w:val="20"/>
          <w:szCs w:val="20"/>
          <w:color w:val="auto"/>
        </w:rPr>
      </w:pPr>
    </w:p>
    <w:p>
      <w:pPr>
        <w:ind w:firstLine="619"/>
        <w:spacing w:after="0" w:line="249" w:lineRule="auto"/>
        <w:rPr>
          <w:sz w:val="20"/>
          <w:szCs w:val="20"/>
          <w:color w:val="auto"/>
        </w:rPr>
      </w:pPr>
      <w:r>
        <w:rPr>
          <w:rFonts w:ascii="Arial" w:cs="Arial" w:eastAsia="Arial" w:hAnsi="Arial"/>
          <w:sz w:val="14"/>
          <w:szCs w:val="14"/>
          <w:color w:val="auto"/>
        </w:rPr>
        <w:t>Restricted stock units (RSUs) have a grant value equal to the closing price of the Company’s common stock on the award date. RSUs granted prior to March 2022, generally vest over a four-year period based on continued service to the Company as to 25% of the underlying shares on the first anniversary of the award, with the balance of the RSUs vesting quarterly over the following three years. RSUs granted in March 2022 and thereafter vest over a three-year period based on continued service to the Company as to 33% of the underlying shares on the first anniversary of the award, with the balance of the RSUs vesting quarterly over the following two years. In addition, the Company granted 53,662 performance-based RSUs, during the three and six month periods ended June 30, 2022 and 25,674 performance-based RSUs, during the three and six month periods ended June 30, 2021.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total number of RSUs granted, which includes performance-based RSUs, and the respective weighted average grant date fair value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8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2"/>
                <w:szCs w:val="12"/>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940" w:type="dxa"/>
            <w:vAlign w:val="bottom"/>
            <w:tcBorders>
              <w:bottom w:val="single" w:sz="8" w:color="auto"/>
            </w:tcBorders>
          </w:tcPr>
          <w:p>
            <w:pPr>
              <w:spacing w:after="0"/>
              <w:rPr>
                <w:sz w:val="14"/>
                <w:szCs w:val="14"/>
                <w:color w:val="auto"/>
              </w:rPr>
            </w:pPr>
          </w:p>
        </w:tc>
      </w:tr>
      <w:tr>
        <w:trPr>
          <w:trHeight w:val="156"/>
        </w:trPr>
        <w:tc>
          <w:tcPr>
            <w:tcW w:w="44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4"/>
              <w:spacing w:after="0"/>
              <w:rPr>
                <w:sz w:val="20"/>
                <w:szCs w:val="20"/>
                <w:color w:val="auto"/>
              </w:rPr>
            </w:pPr>
            <w:r>
              <w:rPr>
                <w:rFonts w:ascii="Arial" w:cs="Arial" w:eastAsia="Arial" w:hAnsi="Arial"/>
                <w:sz w:val="12"/>
                <w:szCs w:val="12"/>
                <w:b w:val="1"/>
                <w:bCs w:val="1"/>
                <w:color w:val="auto"/>
                <w:w w:val="82"/>
              </w:rPr>
              <w:t>2021</w:t>
            </w:r>
          </w:p>
        </w:tc>
      </w:tr>
      <w:tr>
        <w:trPr>
          <w:trHeight w:val="168"/>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RSUs granted</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820,173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339,386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1,007,249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342,594</w:t>
            </w:r>
          </w:p>
        </w:tc>
      </w:tr>
      <w:tr>
        <w:trPr>
          <w:trHeight w:val="174"/>
        </w:trPr>
        <w:tc>
          <w:tcPr>
            <w:tcW w:w="4480" w:type="dxa"/>
            <w:vAlign w:val="bottom"/>
          </w:tcPr>
          <w:p>
            <w:pPr>
              <w:ind w:left="20"/>
              <w:spacing w:after="0"/>
              <w:rPr>
                <w:sz w:val="20"/>
                <w:szCs w:val="20"/>
                <w:color w:val="auto"/>
              </w:rPr>
            </w:pPr>
            <w:r>
              <w:rPr>
                <w:rFonts w:ascii="Arial" w:cs="Arial" w:eastAsia="Arial" w:hAnsi="Arial"/>
                <w:sz w:val="14"/>
                <w:szCs w:val="14"/>
                <w:color w:val="auto"/>
              </w:rPr>
              <w:t>Weighted average grant date fair value (per share)</w:t>
            </w:r>
          </w:p>
        </w:tc>
        <w:tc>
          <w:tcPr>
            <w:tcW w:w="1040" w:type="dxa"/>
            <w:vAlign w:val="bottom"/>
          </w:tcPr>
          <w:p>
            <w:pPr>
              <w:jc w:val="right"/>
              <w:ind w:right="896"/>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66.88</w:t>
            </w:r>
          </w:p>
        </w:tc>
        <w:tc>
          <w:tcPr>
            <w:tcW w:w="80" w:type="dxa"/>
            <w:vAlign w:val="bottom"/>
          </w:tcPr>
          <w:p>
            <w:pPr>
              <w:spacing w:after="0"/>
              <w:rPr>
                <w:sz w:val="15"/>
                <w:szCs w:val="15"/>
                <w:color w:val="auto"/>
              </w:rPr>
            </w:pPr>
          </w:p>
        </w:tc>
        <w:tc>
          <w:tcPr>
            <w:tcW w:w="1040" w:type="dxa"/>
            <w:vAlign w:val="bottom"/>
          </w:tcPr>
          <w:p>
            <w:pPr>
              <w:jc w:val="right"/>
              <w:ind w:right="89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82.31</w:t>
            </w:r>
          </w:p>
        </w:tc>
        <w:tc>
          <w:tcPr>
            <w:tcW w:w="8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74.88</w:t>
            </w:r>
          </w:p>
        </w:tc>
        <w:tc>
          <w:tcPr>
            <w:tcW w:w="80" w:type="dxa"/>
            <w:vAlign w:val="bottom"/>
          </w:tcPr>
          <w:p>
            <w:pPr>
              <w:spacing w:after="0"/>
              <w:rPr>
                <w:sz w:val="15"/>
                <w:szCs w:val="15"/>
                <w:color w:val="auto"/>
              </w:rPr>
            </w:pPr>
          </w:p>
        </w:tc>
        <w:tc>
          <w:tcPr>
            <w:tcW w:w="700" w:type="dxa"/>
            <w:vAlign w:val="bottom"/>
          </w:tcPr>
          <w:p>
            <w:pPr>
              <w:jc w:val="right"/>
              <w:ind w:right="55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82.41</w:t>
            </w:r>
          </w:p>
        </w:tc>
      </w:tr>
    </w:tbl>
    <w:p>
      <w:pPr>
        <w:spacing w:after="0" w:line="196"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Employee Stock Purchase Plan</w:t>
      </w:r>
    </w:p>
    <w:p>
      <w:pPr>
        <w:spacing w:after="0" w:line="169" w:lineRule="exact"/>
        <w:rPr>
          <w:sz w:val="20"/>
          <w:szCs w:val="20"/>
          <w:color w:val="auto"/>
        </w:rPr>
      </w:pPr>
    </w:p>
    <w:p>
      <w:pPr>
        <w:jc w:val="both"/>
        <w:ind w:firstLine="619"/>
        <w:spacing w:after="0" w:line="305" w:lineRule="auto"/>
        <w:rPr>
          <w:sz w:val="20"/>
          <w:szCs w:val="20"/>
          <w:color w:val="auto"/>
        </w:rPr>
      </w:pPr>
      <w:r>
        <w:rPr>
          <w:rFonts w:ascii="Arial" w:cs="Arial" w:eastAsia="Arial" w:hAnsi="Arial"/>
          <w:sz w:val="13"/>
          <w:szCs w:val="13"/>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2940" w:type="dxa"/>
            <w:vAlign w:val="bottom"/>
            <w:gridSpan w:val="4"/>
            <w:vMerge w:val="restart"/>
          </w:tcPr>
          <w:p>
            <w:pPr>
              <w:jc w:val="right"/>
              <w:ind w:right="315"/>
              <w:spacing w:after="0"/>
              <w:rPr>
                <w:sz w:val="20"/>
                <w:szCs w:val="20"/>
                <w:color w:val="auto"/>
              </w:rPr>
            </w:pPr>
            <w:r>
              <w:rPr>
                <w:rFonts w:ascii="Arial" w:cs="Arial" w:eastAsia="Arial" w:hAnsi="Arial"/>
                <w:sz w:val="12"/>
                <w:szCs w:val="12"/>
                <w:b w:val="1"/>
                <w:bCs w:val="1"/>
                <w:color w:val="auto"/>
              </w:rPr>
              <w:t>Three Months Ended June 30,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3"/>
          </w:tcPr>
          <w:p>
            <w:pPr>
              <w:jc w:val="center"/>
              <w:ind w:left="654"/>
              <w:spacing w:after="0"/>
              <w:rPr>
                <w:sz w:val="20"/>
                <w:szCs w:val="20"/>
                <w:color w:val="auto"/>
              </w:rPr>
            </w:pPr>
            <w:r>
              <w:rPr>
                <w:rFonts w:ascii="Arial" w:cs="Arial" w:eastAsia="Arial" w:hAnsi="Arial"/>
                <w:sz w:val="12"/>
                <w:szCs w:val="12"/>
                <w:b w:val="1"/>
                <w:bCs w:val="1"/>
                <w:color w:val="auto"/>
                <w:w w:val="94"/>
              </w:rPr>
              <w:t>Six Months Ended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94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2"/>
                <w:szCs w:val="12"/>
                <w:b w:val="1"/>
                <w:bCs w:val="1"/>
                <w:color w:val="auto"/>
                <w:w w:val="91"/>
              </w:rPr>
              <w:t>June 30,</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grant date fair value (per share)</w:t>
            </w: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26.57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26.57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47.1 %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47.1 %</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47.5 %</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59"/>
        </w:trPr>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22" w:name="page23"/>
    <w:bookmarkEnd w:id="22"/>
    <w:p>
      <w:pPr>
        <w:ind w:right="580" w:firstLine="619"/>
        <w:spacing w:after="0" w:line="266" w:lineRule="auto"/>
        <w:rPr>
          <w:sz w:val="20"/>
          <w:szCs w:val="20"/>
          <w:color w:val="auto"/>
        </w:rPr>
      </w:pPr>
      <w:r>
        <w:rPr>
          <w:rFonts w:ascii="Arial" w:cs="Arial" w:eastAsia="Arial" w:hAnsi="Arial"/>
          <w:sz w:val="14"/>
          <w:szCs w:val="14"/>
          <w:color w:val="auto"/>
        </w:rPr>
        <w:t>The following table summarizes the allocation of stock-based compensation expense included in the condensed consolidated statements of operations for all stock-based compensation arrangements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gridSpan w:val="3"/>
            <w:vMerge w:val="restart"/>
          </w:tcPr>
          <w:p>
            <w:pPr>
              <w:jc w:val="right"/>
              <w:ind w:right="294"/>
              <w:spacing w:after="0"/>
              <w:rPr>
                <w:sz w:val="20"/>
                <w:szCs w:val="20"/>
                <w:color w:val="auto"/>
              </w:rPr>
            </w:pPr>
            <w:r>
              <w:rPr>
                <w:rFonts w:ascii="Arial" w:cs="Arial" w:eastAsia="Arial" w:hAnsi="Arial"/>
                <w:sz w:val="12"/>
                <w:szCs w:val="12"/>
                <w:b w:val="1"/>
                <w:bCs w:val="1"/>
                <w:color w:val="auto"/>
                <w:w w:val="92"/>
              </w:rPr>
              <w:t>Three Months Ended June 30,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Six Months Ended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2"/>
                <w:szCs w:val="12"/>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4"/>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13,732</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10,881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25,586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20,292</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4,498</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4,565</w:t>
            </w:r>
          </w:p>
        </w:tc>
        <w:tc>
          <w:tcPr>
            <w:tcW w:w="0" w:type="dxa"/>
            <w:vAlign w:val="bottom"/>
          </w:tcPr>
          <w:p>
            <w:pPr>
              <w:spacing w:after="0"/>
              <w:rPr>
                <w:sz w:val="1"/>
                <w:szCs w:val="1"/>
                <w:color w:val="auto"/>
              </w:rPr>
            </w:pPr>
          </w:p>
        </w:tc>
      </w:tr>
      <w:tr>
        <w:trPr>
          <w:trHeight w:val="166"/>
        </w:trPr>
        <w:tc>
          <w:tcPr>
            <w:tcW w:w="4080" w:type="dxa"/>
            <w:vAlign w:val="bottom"/>
          </w:tcPr>
          <w:p>
            <w:pPr>
              <w:ind w:left="140"/>
              <w:spacing w:after="0"/>
              <w:rPr>
                <w:sz w:val="20"/>
                <w:szCs w:val="20"/>
                <w:color w:val="auto"/>
              </w:rPr>
            </w:pPr>
            <w:r>
              <w:rPr>
                <w:rFonts w:ascii="Arial" w:cs="Arial" w:eastAsia="Arial" w:hAnsi="Arial"/>
                <w:sz w:val="14"/>
                <w:szCs w:val="14"/>
                <w:color w:val="auto"/>
              </w:rPr>
              <w:t>Total stock-based compensation expense</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20,130</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38,241</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The total stock-based compensation expense capitalized as part of the cost of the Company’s inventories was $0.8 million at June 30, 2022, and $1.0 million at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Employee Benefits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401(k) Plan</w:t>
      </w:r>
    </w:p>
    <w:p>
      <w:pPr>
        <w:spacing w:after="0" w:line="138" w:lineRule="exact"/>
        <w:rPr>
          <w:sz w:val="20"/>
          <w:szCs w:val="20"/>
          <w:color w:val="auto"/>
        </w:rPr>
      </w:pPr>
    </w:p>
    <w:p>
      <w:pPr>
        <w:ind w:right="20" w:firstLine="619"/>
        <w:spacing w:after="0" w:line="278" w:lineRule="auto"/>
        <w:rPr>
          <w:sz w:val="20"/>
          <w:szCs w:val="20"/>
          <w:color w:val="auto"/>
        </w:rPr>
      </w:pPr>
      <w:r>
        <w:rPr>
          <w:rFonts w:ascii="Arial" w:cs="Arial" w:eastAsia="Arial" w:hAnsi="Arial"/>
          <w:sz w:val="13"/>
          <w:szCs w:val="13"/>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Company did not provide a matching contribution prior to 2022, but began making a discretionary match in the first quarter of 2022.</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Income Taxes</w:t>
      </w:r>
    </w:p>
    <w:p>
      <w:pPr>
        <w:spacing w:after="0" w:line="142" w:lineRule="exact"/>
        <w:rPr>
          <w:sz w:val="20"/>
          <w:szCs w:val="20"/>
          <w:color w:val="auto"/>
        </w:rPr>
      </w:pPr>
    </w:p>
    <w:p>
      <w:pPr>
        <w:ind w:right="140" w:firstLine="619"/>
        <w:spacing w:after="0" w:line="274" w:lineRule="auto"/>
        <w:rPr>
          <w:sz w:val="20"/>
          <w:szCs w:val="20"/>
          <w:color w:val="auto"/>
        </w:rPr>
      </w:pPr>
      <w:r>
        <w:rPr>
          <w:rFonts w:ascii="Arial" w:cs="Arial" w:eastAsia="Arial" w:hAnsi="Arial"/>
          <w:sz w:val="13"/>
          <w:szCs w:val="13"/>
          <w:color w:val="auto"/>
        </w:rPr>
        <w:t>For the three and six months ended June 30, 2022, the Company recognized income tax expense of $2.1 million and $0.4 million, respectively, on a pre-tax loss of $13.0 million and $29.4 million, respectively. The Company calculated the provision for income taxes for the three and six months ended June 30, 2022, using the discrete effective tax rate method as the annual effective tax rate method would not provide a reliable estimate. Income tax expense for the three months ended June 30, 2022 was primarily attributable to the change from the annual effective tax rate method used in the first quarter of 2022 to the discrete effective tax rate method, and state and foreign income tax expense as a result of current taxable income in certain jurisdictions. Income tax expense for the six months ended June 30, 2022 was primarily attributable to state and foreign income tax expense as a result of current taxable income in certain jurisdictions.</w:t>
      </w:r>
    </w:p>
    <w:p>
      <w:pPr>
        <w:spacing w:after="0" w:line="106" w:lineRule="exact"/>
        <w:rPr>
          <w:sz w:val="20"/>
          <w:szCs w:val="20"/>
          <w:color w:val="auto"/>
        </w:rPr>
      </w:pPr>
    </w:p>
    <w:p>
      <w:pPr>
        <w:ind w:firstLine="619"/>
        <w:spacing w:after="0" w:line="278" w:lineRule="auto"/>
        <w:rPr>
          <w:sz w:val="20"/>
          <w:szCs w:val="20"/>
          <w:color w:val="auto"/>
        </w:rPr>
      </w:pPr>
      <w:r>
        <w:rPr>
          <w:rFonts w:ascii="Arial" w:cs="Arial" w:eastAsia="Arial" w:hAnsi="Arial"/>
          <w:sz w:val="13"/>
          <w:szCs w:val="13"/>
          <w:color w:val="auto"/>
        </w:rPr>
        <w:t>For the three and six months ended June 30, 2021, the Company recognized income tax expense of $0.1 million on a pre-tax income of $4.1 million, and an income tax benefit of $0.1 million on a pre-tax loss of $1.1 million respectively. The Company calculated the provision (benefit) for income taxes for the three and six months ended June 30, 2021, by applying an estimate of the annual effective tax rate for the full year to ordinary income (loss) adjusted by the tax impact of discrete items. The income tax benefit for the six months ended June 30, 2021 was primarily attributable to the pre-tax loss position, partially offset by state and foreign income tax expense as a result of current taxable income in certain jurisdictions.</w:t>
      </w:r>
    </w:p>
    <w:p>
      <w:pPr>
        <w:spacing w:after="0" w:line="112" w:lineRule="exact"/>
        <w:rPr>
          <w:sz w:val="20"/>
          <w:szCs w:val="20"/>
          <w:color w:val="auto"/>
        </w:rPr>
      </w:pPr>
    </w:p>
    <w:p>
      <w:pPr>
        <w:ind w:right="280" w:firstLine="619"/>
        <w:spacing w:after="0" w:line="266" w:lineRule="auto"/>
        <w:rPr>
          <w:sz w:val="20"/>
          <w:szCs w:val="20"/>
          <w:color w:val="auto"/>
        </w:rPr>
      </w:pPr>
      <w:r>
        <w:rPr>
          <w:rFonts w:ascii="Arial" w:cs="Arial" w:eastAsia="Arial" w:hAnsi="Arial"/>
          <w:sz w:val="14"/>
          <w:szCs w:val="14"/>
          <w:color w:val="auto"/>
        </w:rPr>
        <w:t>The Company continues to maintain a full valuation allowance against its net deferred tax assets as of June 30, 2022, based on the current assessment that it is not more likely than not these future benefits will be realized before expiration.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Business Segment and Geographic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48" w:lineRule="exact"/>
        <w:rPr>
          <w:sz w:val="20"/>
          <w:szCs w:val="20"/>
          <w:color w:val="auto"/>
        </w:rPr>
      </w:pPr>
    </w:p>
    <w:p>
      <w:pPr>
        <w:ind w:right="100" w:firstLine="619"/>
        <w:spacing w:after="0" w:line="252" w:lineRule="auto"/>
        <w:rPr>
          <w:sz w:val="20"/>
          <w:szCs w:val="20"/>
          <w:color w:val="auto"/>
        </w:rPr>
      </w:pPr>
      <w:r>
        <w:rPr>
          <w:rFonts w:ascii="Arial" w:cs="Arial" w:eastAsia="Arial" w:hAnsi="Arial"/>
          <w:sz w:val="14"/>
          <w:szCs w:val="14"/>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181"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48" w:lineRule="exact"/>
        <w:rPr>
          <w:sz w:val="20"/>
          <w:szCs w:val="20"/>
          <w:color w:val="auto"/>
        </w:rPr>
      </w:pPr>
    </w:p>
    <w:p>
      <w:pPr>
        <w:ind w:right="260" w:firstLine="619"/>
        <w:spacing w:after="0" w:line="252" w:lineRule="auto"/>
        <w:rPr>
          <w:sz w:val="20"/>
          <w:szCs w:val="20"/>
          <w:color w:val="auto"/>
        </w:rPr>
      </w:pPr>
      <w:r>
        <w:rPr>
          <w:rFonts w:ascii="Arial" w:cs="Arial" w:eastAsia="Arial" w:hAnsi="Arial"/>
          <w:sz w:val="14"/>
          <w:szCs w:val="14"/>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Saudi Arabia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 by Geographic Region and Customer Sales Channel</w:t>
      </w:r>
    </w:p>
    <w:p>
      <w:pPr>
        <w:spacing w:after="0" w:line="138" w:lineRule="exact"/>
        <w:rPr>
          <w:sz w:val="20"/>
          <w:szCs w:val="20"/>
          <w:color w:val="auto"/>
        </w:rPr>
      </w:pPr>
    </w:p>
    <w:p>
      <w:pPr>
        <w:ind w:right="220" w:firstLine="619"/>
        <w:spacing w:after="0" w:line="305" w:lineRule="auto"/>
        <w:rPr>
          <w:sz w:val="20"/>
          <w:szCs w:val="20"/>
          <w:color w:val="auto"/>
        </w:rPr>
      </w:pPr>
      <w:r>
        <w:rPr>
          <w:rFonts w:ascii="Arial" w:cs="Arial" w:eastAsia="Arial" w:hAnsi="Arial"/>
          <w:sz w:val="13"/>
          <w:szCs w:val="13"/>
          <w:color w:val="auto"/>
        </w:rPr>
        <w:t>During the three and six months ended June 30, 2022 and 2021,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2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2"/>
                <w:szCs w:val="12"/>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r>
      <w:tr>
        <w:trPr>
          <w:trHeight w:val="156"/>
        </w:trPr>
        <w:tc>
          <w:tcPr>
            <w:tcW w:w="49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68"/>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shd w:val="clear" w:color="auto" w:fill="CCEEFF"/>
          </w:tcPr>
          <w:p>
            <w:pPr>
              <w:jc w:val="right"/>
              <w:ind w:right="815"/>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145,667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127,580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276,950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230,919</w:t>
            </w:r>
          </w:p>
        </w:tc>
      </w:tr>
      <w:tr>
        <w:trPr>
          <w:trHeight w:val="17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Outside the United States</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54,595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44,559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99,219</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82,257</w:t>
            </w:r>
          </w:p>
        </w:tc>
      </w:tr>
      <w:tr>
        <w:trPr>
          <w:trHeight w:val="191"/>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Sales</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200,262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172,139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376,169</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313,176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619"/>
        <w:spacing w:after="0" w:line="358" w:lineRule="auto"/>
        <w:rPr>
          <w:sz w:val="20"/>
          <w:szCs w:val="20"/>
          <w:color w:val="auto"/>
        </w:rPr>
      </w:pPr>
      <w:r>
        <w:rPr>
          <w:rFonts w:ascii="Arial" w:cs="Arial" w:eastAsia="Arial" w:hAnsi="Arial"/>
          <w:sz w:val="11"/>
          <w:szCs w:val="11"/>
          <w:color w:val="auto"/>
        </w:rPr>
        <w:t>Sales to distributors accounted for 65% and 68% of the Company’s total United States sales for the three months ended June 30, 2022 and 2021, respectively, and 65% and 68% of the Company’s total United States sales for the six months ended June 30, 2022 and 2021, respectively. Sales to distributors accounted for 96% and 95% of the Company’s total sales outside the United States for the three months ended June 30, 2022 and 2021, respectively, and 96% and 95% of the Company’s total sales outside the United States for the six months ended June 30, 2022 and 2021,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and Regulatory Matters</w:t>
      </w:r>
    </w:p>
    <w:p>
      <w:pPr>
        <w:spacing w:after="0" w:line="200" w:lineRule="exact"/>
        <w:rPr>
          <w:sz w:val="20"/>
          <w:szCs w:val="20"/>
          <w:color w:val="auto"/>
        </w:rPr>
      </w:pPr>
    </w:p>
    <w:p>
      <w:pPr>
        <w:ind w:right="60" w:firstLine="619"/>
        <w:spacing w:after="0" w:line="323" w:lineRule="auto"/>
        <w:rPr>
          <w:sz w:val="20"/>
          <w:szCs w:val="20"/>
          <w:color w:val="auto"/>
        </w:rPr>
      </w:pPr>
      <w:r>
        <w:rPr>
          <w:rFonts w:ascii="Arial" w:cs="Arial" w:eastAsia="Arial" w:hAnsi="Arial"/>
          <w:sz w:val="11"/>
          <w:szCs w:val="11"/>
          <w:color w:val="auto"/>
        </w:rPr>
        <w:t xml:space="preserve">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1"/>
          <w:szCs w:val="11"/>
          <w:i w:val="1"/>
          <w:iCs w:val="1"/>
          <w:color w:val="auto"/>
        </w:rPr>
        <w:t>Joseph Deluna et al v. Tandem Diabetes</w:t>
      </w:r>
      <w:r>
        <w:rPr>
          <w:rFonts w:ascii="Arial" w:cs="Arial" w:eastAsia="Arial" w:hAnsi="Arial"/>
          <w:sz w:val="11"/>
          <w:szCs w:val="11"/>
          <w:color w:val="auto"/>
        </w:rPr>
        <w:t xml:space="preserve"> </w:t>
      </w:r>
      <w:r>
        <w:rPr>
          <w:rFonts w:ascii="Arial" w:cs="Arial" w:eastAsia="Arial" w:hAnsi="Arial"/>
          <w:sz w:val="11"/>
          <w:szCs w:val="11"/>
          <w:i w:val="1"/>
          <w:iCs w:val="1"/>
          <w:color w:val="auto"/>
        </w:rPr>
        <w:t>Care, Inc</w:t>
      </w:r>
      <w:r>
        <w:rPr>
          <w:rFonts w:ascii="Arial" w:cs="Arial" w:eastAsia="Arial" w:hAnsi="Arial"/>
          <w:sz w:val="11"/>
          <w:szCs w:val="11"/>
          <w:color w:val="auto"/>
        </w:rPr>
        <w:t>. The consolidated case alleges violations of the Confidentiality of Medical Information Act (CMIA), California Consumer Privacy Act (CCPA), California’s Unfair Competition Law (UCL), and</w:t>
      </w:r>
      <w:r>
        <w:rPr>
          <w:rFonts w:ascii="Arial" w:cs="Arial" w:eastAsia="Arial" w:hAnsi="Arial"/>
          <w:sz w:val="11"/>
          <w:szCs w:val="11"/>
          <w:i w:val="1"/>
          <w:iCs w:val="1"/>
          <w:color w:val="auto"/>
        </w:rPr>
        <w:t xml:space="preserve"> </w:t>
      </w:r>
      <w:r>
        <w:rPr>
          <w:rFonts w:ascii="Arial" w:cs="Arial" w:eastAsia="Arial" w:hAnsi="Arial"/>
          <w:sz w:val="11"/>
          <w:szCs w:val="11"/>
          <w:color w:val="auto"/>
        </w:rPr>
        <w:t>breach of contract. The Company filed a 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and the Company filed a motion for summary adjudication on plaintiffs’ CMIA claim on April 7, 2022. Both motions are fully briefed, and the Court’s order on each motion is pending. The Company anticipates the Court will hear argument on both motions in the third quarter of 2022, though not yet scheduled. Although the Company continues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24" w:name="page25"/>
    <w:bookmarkEnd w:id="24"/>
    <w:p>
      <w:pPr>
        <w:ind w:right="40" w:firstLine="619"/>
        <w:spacing w:after="0" w:line="325" w:lineRule="auto"/>
        <w:rPr>
          <w:sz w:val="20"/>
          <w:szCs w:val="20"/>
          <w:color w:val="auto"/>
        </w:rPr>
      </w:pPr>
      <w:r>
        <w:rPr>
          <w:rFonts w:ascii="Arial" w:cs="Arial" w:eastAsia="Arial" w:hAnsi="Arial"/>
          <w:sz w:val="11"/>
          <w:szCs w:val="11"/>
          <w:color w:val="auto"/>
        </w:rPr>
        <w:t>In September 2020, the Company was named as a defendant in a lawsuit entitled Buck Walsh, individually and on behalf of others similarly situated v. Tandem Diabetes Care, Inc., which was filed in the Superior Court of the State of California in the County of San Diego. The alleged violations include business and 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2021. In October 2021, a settlement of the class action related claims was preliminarily approved by an independent arbitrator mutually acceptable to both parties. The class action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was approved by the independent arbitrator on April 18, 2022. This lawsuit was resolved and closed upon disbursement of the settlement amount in May 2022.</w:t>
      </w:r>
    </w:p>
    <w:p>
      <w:pPr>
        <w:spacing w:after="0" w:line="301" w:lineRule="exact"/>
        <w:rPr>
          <w:sz w:val="20"/>
          <w:szCs w:val="20"/>
          <w:color w:val="auto"/>
        </w:rPr>
      </w:pPr>
    </w:p>
    <w:p>
      <w:pPr>
        <w:ind w:firstLine="619"/>
        <w:spacing w:after="0" w:line="274" w:lineRule="auto"/>
        <w:rPr>
          <w:sz w:val="20"/>
          <w:szCs w:val="20"/>
          <w:color w:val="auto"/>
        </w:rPr>
      </w:pPr>
      <w:r>
        <w:rPr>
          <w:rFonts w:ascii="Arial" w:cs="Arial" w:eastAsia="Arial" w:hAnsi="Arial"/>
          <w:sz w:val="13"/>
          <w:szCs w:val="13"/>
          <w:color w:val="auto"/>
        </w:rPr>
        <w:t>From time to time, the Company is involved in various other legal proceedings, regulatory matters, and other disputes or claims arising from or related to the normal course of its business activities, including actions with respect to intellectual property, data privacy, employment, regulatory, product liability and contractual matters. Although the results of legal proceedings, disputes and other claims cannot be predicted with certainty, the Company believes it is not currently a party to any other legal proceeding(s) which, if determined adversely to the Company, would, individually or taken together, have a material adverse effect on the Company’s business, operating results, financial condition or cash flows. However, regardless of the merit of the claims raised or the outcome, legal proceedings may have an adverse impact on the Company as a result of defense and settlement costs, diversion of management time and resources, and other factors.</w:t>
      </w:r>
    </w:p>
    <w:p>
      <w:pPr>
        <w:spacing w:after="0" w:line="137" w:lineRule="exact"/>
        <w:rPr>
          <w:sz w:val="20"/>
          <w:szCs w:val="20"/>
          <w:color w:val="auto"/>
        </w:rPr>
      </w:pPr>
    </w:p>
    <w:p>
      <w:pPr>
        <w:jc w:val="both"/>
        <w:ind w:right="20" w:firstLine="619"/>
        <w:spacing w:after="0" w:line="284" w:lineRule="auto"/>
        <w:rPr>
          <w:sz w:val="20"/>
          <w:szCs w:val="20"/>
          <w:color w:val="auto"/>
        </w:rPr>
      </w:pPr>
      <w:r>
        <w:rPr>
          <w:rFonts w:ascii="Arial" w:cs="Arial" w:eastAsia="Arial" w:hAnsi="Arial"/>
          <w:sz w:val="13"/>
          <w:szCs w:val="13"/>
          <w:color w:val="auto"/>
        </w:rPr>
        <w:t>Except as set forth above, as of June 30, 2022,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138" w:lineRule="exact"/>
        <w:rPr>
          <w:sz w:val="20"/>
          <w:szCs w:val="20"/>
          <w:color w:val="auto"/>
        </w:rPr>
      </w:pPr>
    </w:p>
    <w:p>
      <w:pPr>
        <w:jc w:val="both"/>
        <w:ind w:right="100" w:firstLine="619"/>
        <w:spacing w:after="0" w:line="284" w:lineRule="auto"/>
        <w:rPr>
          <w:sz w:val="20"/>
          <w:szCs w:val="20"/>
          <w:color w:val="auto"/>
        </w:rPr>
      </w:pPr>
      <w:r>
        <w:rPr>
          <w:rFonts w:ascii="Arial" w:cs="Arial" w:eastAsia="Arial" w:hAnsi="Arial"/>
          <w:sz w:val="13"/>
          <w:szCs w:val="13"/>
          <w:color w:val="auto"/>
        </w:rPr>
        <w:t>The Company leases general office space, research and development, manufacturing and warehouse facilities, and equipment under noncancelable operating leases for use in its operations (see Note 6, “Leases”). In connection with one of the operating leases, the Company has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42" w:lineRule="exact"/>
        <w:rPr>
          <w:sz w:val="20"/>
          <w:szCs w:val="20"/>
          <w:color w:val="auto"/>
        </w:rPr>
      </w:pPr>
    </w:p>
    <w:p>
      <w:pPr>
        <w:ind w:right="260" w:firstLine="619"/>
        <w:spacing w:after="0" w:line="266" w:lineRule="auto"/>
        <w:rPr>
          <w:sz w:val="20"/>
          <w:szCs w:val="20"/>
          <w:color w:val="auto"/>
        </w:rPr>
      </w:pPr>
      <w:r>
        <w:rPr>
          <w:rFonts w:ascii="Arial" w:cs="Arial" w:eastAsia="Arial" w:hAnsi="Arial"/>
          <w:sz w:val="14"/>
          <w:szCs w:val="14"/>
          <w:i w:val="1"/>
          <w:iCs w:val="1"/>
          <w:color w:val="auto"/>
        </w:rPr>
        <w:t>You should read the following discussion and analysis together with our financial statements and related notes in Part I, Item 1 of this Quarterly Report on Form 10-Q for the quarter ended June 30, 2022 (Quarterly Report).</w:t>
      </w:r>
    </w:p>
    <w:p>
      <w:pPr>
        <w:spacing w:after="0" w:line="118" w:lineRule="exact"/>
        <w:rPr>
          <w:sz w:val="20"/>
          <w:szCs w:val="20"/>
          <w:color w:val="auto"/>
        </w:rPr>
      </w:pPr>
    </w:p>
    <w:p>
      <w:pPr>
        <w:ind w:firstLine="619"/>
        <w:spacing w:after="0" w:line="325" w:lineRule="auto"/>
        <w:rPr>
          <w:sz w:val="20"/>
          <w:szCs w:val="20"/>
          <w:color w:val="auto"/>
        </w:rPr>
      </w:pPr>
      <w:r>
        <w:rPr>
          <w:rFonts w:ascii="Arial" w:cs="Arial" w:eastAsia="Arial" w:hAnsi="Arial"/>
          <w:sz w:val="11"/>
          <w:szCs w:val="11"/>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on our business,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249" w:lineRule="exact"/>
        <w:rPr>
          <w:sz w:val="20"/>
          <w:szCs w:val="20"/>
          <w:color w:val="auto"/>
        </w:rPr>
      </w:pPr>
    </w:p>
    <w:p>
      <w:pPr>
        <w:ind w:right="60" w:firstLine="619"/>
        <w:spacing w:after="0" w:line="250" w:lineRule="auto"/>
        <w:rPr>
          <w:sz w:val="20"/>
          <w:szCs w:val="20"/>
          <w:color w:val="auto"/>
        </w:rPr>
      </w:pPr>
      <w:r>
        <w:rPr>
          <w:rFonts w:ascii="Arial" w:cs="Arial" w:eastAsia="Arial" w:hAnsi="Arial"/>
          <w:sz w:val="14"/>
          <w:szCs w:val="14"/>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18" w:lineRule="exact"/>
        <w:rPr>
          <w:sz w:val="20"/>
          <w:szCs w:val="20"/>
          <w:color w:val="auto"/>
        </w:rPr>
      </w:pPr>
    </w:p>
    <w:p>
      <w:pPr>
        <w:ind w:right="160" w:firstLine="619"/>
        <w:spacing w:after="0" w:line="256" w:lineRule="auto"/>
        <w:rPr>
          <w:sz w:val="20"/>
          <w:szCs w:val="20"/>
          <w:color w:val="auto"/>
        </w:rPr>
      </w:pPr>
      <w:r>
        <w:rPr>
          <w:rFonts w:ascii="Arial" w:cs="Arial" w:eastAsia="Arial" w:hAnsi="Arial"/>
          <w:sz w:val="14"/>
          <w:szCs w:val="14"/>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24" w:lineRule="exact"/>
        <w:rPr>
          <w:sz w:val="20"/>
          <w:szCs w:val="20"/>
          <w:color w:val="auto"/>
        </w:rPr>
      </w:pPr>
    </w:p>
    <w:p>
      <w:pPr>
        <w:ind w:right="120" w:firstLine="619"/>
        <w:spacing w:after="0" w:line="266" w:lineRule="auto"/>
        <w:rPr>
          <w:sz w:val="20"/>
          <w:szCs w:val="20"/>
          <w:color w:val="auto"/>
        </w:rPr>
      </w:pPr>
      <w:r>
        <w:rPr>
          <w:rFonts w:ascii="Arial" w:cs="Arial" w:eastAsia="Arial" w:hAnsi="Arial"/>
          <w:sz w:val="14"/>
          <w:szCs w:val="14"/>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4"/>
          <w:szCs w:val="14"/>
          <w:i w:val="1"/>
          <w:iCs w:val="1"/>
          <w:color w:val="auto"/>
        </w:rPr>
        <w:t>We qualify all of our forward-looking statements by these cautionary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2" w:lineRule="exact"/>
        <w:rPr>
          <w:sz w:val="20"/>
          <w:szCs w:val="20"/>
          <w:color w:val="auto"/>
        </w:rPr>
      </w:pPr>
    </w:p>
    <w:p>
      <w:pPr>
        <w:ind w:right="80" w:firstLine="619"/>
        <w:spacing w:after="0" w:line="284" w:lineRule="auto"/>
        <w:rPr>
          <w:sz w:val="20"/>
          <w:szCs w:val="20"/>
          <w:color w:val="auto"/>
        </w:rPr>
      </w:pPr>
      <w:r>
        <w:rPr>
          <w:rFonts w:ascii="Arial" w:cs="Arial" w:eastAsia="Arial" w:hAnsi="Arial"/>
          <w:sz w:val="13"/>
          <w:szCs w:val="13"/>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portfolio of delivery devices, software, and data insight solutions to people living with diabetes, as well as their caregivers and healthcare providers.</w:t>
      </w:r>
    </w:p>
    <w:p>
      <w:pPr>
        <w:spacing w:after="0" w:line="140" w:lineRule="exact"/>
        <w:rPr>
          <w:sz w:val="20"/>
          <w:szCs w:val="20"/>
          <w:color w:val="auto"/>
        </w:rPr>
      </w:pPr>
    </w:p>
    <w:p>
      <w:pPr>
        <w:ind w:right="60" w:firstLine="619"/>
        <w:spacing w:after="0" w:line="224" w:lineRule="auto"/>
        <w:rPr>
          <w:sz w:val="20"/>
          <w:szCs w:val="20"/>
          <w:color w:val="auto"/>
        </w:rPr>
      </w:pPr>
      <w:r>
        <w:rPr>
          <w:rFonts w:ascii="Arial" w:cs="Arial" w:eastAsia="Arial" w:hAnsi="Arial"/>
          <w:sz w:val="14"/>
          <w:szCs w:val="14"/>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Insulin Delivery System (t:slim X2) hardware platform represents 100% of our new pump shipments. In the four-year period ended June 30, 2022, we shipped more than 375,000 insulin pumps, which is representative of our estimated global installed customer base, assuming the typical four-year reimbursement cycle. More than 265,000 of these pumps were shipped to customers in the United States and nearly 110,000 were shipped to more than 20 countries in which we operate outside the United States.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6" w:name="page27"/>
    <w:bookmarkEnd w:id="26"/>
    <w:p>
      <w:pPr>
        <w:ind w:right="20" w:firstLine="619"/>
        <w:spacing w:after="0" w:line="292" w:lineRule="auto"/>
        <w:rPr>
          <w:sz w:val="20"/>
          <w:szCs w:val="20"/>
          <w:color w:val="auto"/>
        </w:rPr>
      </w:pPr>
      <w:r>
        <w:rPr>
          <w:rFonts w:ascii="Arial" w:cs="Arial" w:eastAsia="Arial" w:hAnsi="Arial"/>
          <w:sz w:val="11"/>
          <w:szCs w:val="11"/>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We have commercially offered two different automated insulin dosing (AID) algorithms on t:slim X2, including our Control-IQ technology, which is an advanced hybrid-closed loop feature, designed to help increase a user's time in their targeted glycemic range. It was the first system cleared by the U.S. Food and Drug Administration (FDA) to deliver automatic correction boluses in addition to adjusting insulin to help prevent high and low blood sugar based on continuous glucose monitoring (CGM) readings. Our Control-IQ technology launched in the United States in the first quarter of 2020, and is now available in all of the countries in which we operate. Our Control-IQ technology uses information from Dexcom Inc.’s (Dexcom) G6 sensor, which is the third generation of Dexcom CGM that we have integrated and commercially launched with our pump technology.</w:t>
      </w:r>
    </w:p>
    <w:p>
      <w:pPr>
        <w:spacing w:after="0" w:line="129" w:lineRule="exact"/>
        <w:rPr>
          <w:sz w:val="20"/>
          <w:szCs w:val="20"/>
          <w:color w:val="auto"/>
        </w:rPr>
      </w:pPr>
    </w:p>
    <w:p>
      <w:pPr>
        <w:ind w:right="80" w:firstLine="619"/>
        <w:spacing w:after="0" w:line="251" w:lineRule="auto"/>
        <w:rPr>
          <w:sz w:val="20"/>
          <w:szCs w:val="20"/>
          <w:color w:val="auto"/>
        </w:rPr>
      </w:pPr>
      <w:r>
        <w:rPr>
          <w:rFonts w:ascii="Arial" w:cs="Arial" w:eastAsia="Arial" w:hAnsi="Arial"/>
          <w:sz w:val="13"/>
          <w:szCs w:val="13"/>
          <w:color w:val="auto"/>
        </w:rPr>
        <w:t>The t:slim X2 is unique in that it is the only pump on which remote software updates have been made commercially available in the United States. Now available in the countries we serve worldwide, our Tandem Device Updater (TDU), is a revolutionary tool that allows people to update their t:slim X2 software from a personal computer. This offering is a competitive advantage as it allows us to bring new features, such as our AID technology and CGM integration, to our customers faster than the industry has been able to do historically.</w:t>
      </w:r>
    </w:p>
    <w:p>
      <w:pPr>
        <w:spacing w:after="0" w:line="150" w:lineRule="exact"/>
        <w:rPr>
          <w:sz w:val="20"/>
          <w:szCs w:val="20"/>
          <w:color w:val="auto"/>
        </w:rPr>
      </w:pPr>
    </w:p>
    <w:p>
      <w:pPr>
        <w:ind w:right="20" w:firstLine="619"/>
        <w:spacing w:after="0" w:line="230" w:lineRule="auto"/>
        <w:rPr>
          <w:sz w:val="20"/>
          <w:szCs w:val="20"/>
          <w:color w:val="auto"/>
        </w:rPr>
      </w:pPr>
      <w:r>
        <w:rPr>
          <w:rFonts w:ascii="Arial" w:cs="Arial" w:eastAsia="Arial" w:hAnsi="Arial"/>
          <w:sz w:val="14"/>
          <w:szCs w:val="14"/>
          <w:color w:val="auto"/>
        </w:rPr>
        <w:t>In February 2022, the FDA provided clearance for our t:slim X2 pump users to bolus insulin from a compatible smartphone. This is the first-ever FDA-cleared smartphone app capable of initiating insulin delivery on both iOS and Android operating systems. We launched our mobile bolus feature to all t:slim X2 users in the United States in July 2022, along with the pump software update to use this new feature, at no cost.</w:t>
      </w:r>
    </w:p>
    <w:p>
      <w:pPr>
        <w:spacing w:after="0" w:line="156" w:lineRule="exact"/>
        <w:rPr>
          <w:sz w:val="20"/>
          <w:szCs w:val="20"/>
          <w:color w:val="auto"/>
        </w:rPr>
      </w:pPr>
    </w:p>
    <w:p>
      <w:pPr>
        <w:ind w:firstLine="619"/>
        <w:spacing w:after="0" w:line="304" w:lineRule="auto"/>
        <w:rPr>
          <w:sz w:val="20"/>
          <w:szCs w:val="20"/>
          <w:color w:val="auto"/>
        </w:rPr>
      </w:pPr>
      <w:r>
        <w:rPr>
          <w:rFonts w:ascii="Arial" w:cs="Arial" w:eastAsia="Arial" w:hAnsi="Arial"/>
          <w:sz w:val="11"/>
          <w:szCs w:val="11"/>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Additionally, we sell accessories such as belt clips and cases for use with pumps which are designed to enhance usability.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Global Pandemic Impact and Considerations</w:t>
      </w:r>
    </w:p>
    <w:p>
      <w:pPr>
        <w:spacing w:after="0" w:line="190" w:lineRule="exact"/>
        <w:rPr>
          <w:sz w:val="20"/>
          <w:szCs w:val="20"/>
          <w:color w:val="auto"/>
        </w:rPr>
      </w:pPr>
    </w:p>
    <w:p>
      <w:pPr>
        <w:ind w:right="40" w:firstLine="619"/>
        <w:spacing w:after="0" w:line="271" w:lineRule="auto"/>
        <w:rPr>
          <w:sz w:val="20"/>
          <w:szCs w:val="20"/>
          <w:color w:val="auto"/>
        </w:rPr>
      </w:pPr>
      <w:r>
        <w:rPr>
          <w:rFonts w:ascii="Arial" w:cs="Arial" w:eastAsia="Arial" w:hAnsi="Arial"/>
          <w:sz w:val="13"/>
          <w:szCs w:val="13"/>
          <w:color w:val="auto"/>
        </w:rPr>
        <w:t>Our business has been impacted in a variety of ways since the onset of the COVID-19 global pandemic in early 2020, and will likely continue to be impacted for the remainder of 2022. Specific factors that have influenced our financial results and the way in which we operate include fluctuations in shelter-in-place restrictions, supply chain constraints, generalized labor shortages impacting global markets, the timing and extent of vaccine availability and surges in infection and hospitalization rates as new COVID variants have emerged. Most notably, our sales results reflected a high degree of variability across the quarters during this time, unlike historical seasonal trends. Our raw material costs and inventory levels have also fluctuated as we respond to supply chain constraints due to the timing of availability of components from the various suppliers we use to build our products. In addition, we experienced extended regulatory review timelines for new product submissions in the United States. Throughout this time, we have responded to each of these unique challenges, while prioritizing the health and safety of our employees and customers and working diligently to maintain a continuous supply of products, training and customer support.</w:t>
      </w:r>
    </w:p>
    <w:p>
      <w:pPr>
        <w:spacing w:after="0" w:line="159" w:lineRule="exact"/>
        <w:rPr>
          <w:sz w:val="20"/>
          <w:szCs w:val="20"/>
          <w:color w:val="auto"/>
        </w:rPr>
      </w:pPr>
    </w:p>
    <w:p>
      <w:pPr>
        <w:ind w:right="260" w:firstLine="619"/>
        <w:spacing w:after="0" w:line="358" w:lineRule="auto"/>
        <w:rPr>
          <w:sz w:val="20"/>
          <w:szCs w:val="20"/>
          <w:color w:val="auto"/>
        </w:rPr>
      </w:pPr>
      <w:r>
        <w:rPr>
          <w:rFonts w:ascii="Arial" w:cs="Arial" w:eastAsia="Arial" w:hAnsi="Arial"/>
          <w:sz w:val="11"/>
          <w:szCs w:val="11"/>
          <w:color w:val="auto"/>
        </w:rPr>
        <w:t>Overall, we anticipate that our sales and operating results will continue to be impacted and subject to unpredictable variability. The full extent of the impact of the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 and any resulting changes to general economic conditions in the countries in which we operate and sell our products.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Products Under Development</w:t>
      </w:r>
    </w:p>
    <w:p>
      <w:pPr>
        <w:spacing w:after="0" w:line="138" w:lineRule="exact"/>
        <w:rPr>
          <w:sz w:val="20"/>
          <w:szCs w:val="20"/>
          <w:color w:val="auto"/>
        </w:rPr>
      </w:pPr>
    </w:p>
    <w:p>
      <w:pPr>
        <w:ind w:right="420" w:firstLine="619"/>
        <w:spacing w:after="0" w:line="305" w:lineRule="auto"/>
        <w:rPr>
          <w:sz w:val="20"/>
          <w:szCs w:val="20"/>
          <w:color w:val="auto"/>
        </w:rPr>
      </w:pPr>
      <w:r>
        <w:rPr>
          <w:rFonts w:ascii="Arial" w:cs="Arial" w:eastAsia="Arial" w:hAnsi="Arial"/>
          <w:sz w:val="13"/>
          <w:szCs w:val="13"/>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27" w:name="page28"/>
    <w:bookmarkEnd w:id="27"/>
    <w:p>
      <w:pPr>
        <w:ind w:left="500"/>
        <w:spacing w:after="0"/>
        <w:rPr>
          <w:sz w:val="20"/>
          <w:szCs w:val="20"/>
          <w:color w:val="auto"/>
        </w:rPr>
      </w:pPr>
      <w:r>
        <w:rPr>
          <w:rFonts w:ascii="Arial" w:cs="Arial" w:eastAsia="Arial" w:hAnsi="Arial"/>
          <w:sz w:val="14"/>
          <w:szCs w:val="14"/>
          <w:b w:val="1"/>
          <w:bCs w:val="1"/>
          <w:i w:val="1"/>
          <w:iCs w:val="1"/>
          <w:color w:val="auto"/>
        </w:rPr>
        <w:t>Delivery Devices</w:t>
      </w:r>
    </w:p>
    <w:p>
      <w:pPr>
        <w:spacing w:after="0" w:line="179" w:lineRule="exact"/>
        <w:rPr>
          <w:sz w:val="20"/>
          <w:szCs w:val="20"/>
          <w:color w:val="auto"/>
        </w:rPr>
      </w:pPr>
    </w:p>
    <w:p>
      <w:pPr>
        <w:ind w:right="100" w:firstLine="619"/>
        <w:spacing w:after="0" w:line="271" w:lineRule="auto"/>
        <w:rPr>
          <w:sz w:val="20"/>
          <w:szCs w:val="20"/>
          <w:color w:val="auto"/>
        </w:rPr>
      </w:pPr>
      <w:r>
        <w:rPr>
          <w:rFonts w:ascii="Arial" w:cs="Arial" w:eastAsia="Arial" w:hAnsi="Arial"/>
          <w:sz w:val="13"/>
          <w:szCs w:val="13"/>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Mobi</w:t>
      </w:r>
    </w:p>
    <w:p>
      <w:pPr>
        <w:spacing w:after="0" w:line="179" w:lineRule="exact"/>
        <w:rPr>
          <w:sz w:val="20"/>
          <w:szCs w:val="20"/>
          <w:color w:val="auto"/>
        </w:rPr>
      </w:pPr>
    </w:p>
    <w:p>
      <w:pPr>
        <w:ind w:firstLine="619"/>
        <w:spacing w:after="0" w:line="230" w:lineRule="auto"/>
        <w:rPr>
          <w:sz w:val="20"/>
          <w:szCs w:val="20"/>
          <w:color w:val="auto"/>
        </w:rPr>
      </w:pPr>
      <w:r>
        <w:rPr>
          <w:rFonts w:ascii="Arial" w:cs="Arial" w:eastAsia="Arial" w:hAnsi="Arial"/>
          <w:sz w:val="14"/>
          <w:szCs w:val="14"/>
          <w:color w:val="auto"/>
        </w:rPr>
        <w:t>Formerly referred to by its development name, t:sport, Tandem Mobi is approximately half the size of our t:slim X2 pump, and is being designed for people who seek even greater discretion and flexibility with the use of their insulin pump. In addition to being waterproof, Mobi’s features include a 200-unit cartridge, an on-pump bolus button, inductive charging, and an AID algorithm. We anticipate that Mobi will be our first insulin pump to support full pump-control from our mobile application.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t:slim X3</w:t>
      </w:r>
    </w:p>
    <w:p>
      <w:pPr>
        <w:spacing w:after="0" w:line="179" w:lineRule="exact"/>
        <w:rPr>
          <w:sz w:val="20"/>
          <w:szCs w:val="20"/>
          <w:color w:val="auto"/>
        </w:rPr>
      </w:pPr>
    </w:p>
    <w:p>
      <w:pPr>
        <w:ind w:right="200" w:firstLine="619"/>
        <w:spacing w:after="0" w:line="230" w:lineRule="auto"/>
        <w:rPr>
          <w:sz w:val="20"/>
          <w:szCs w:val="20"/>
          <w:color w:val="auto"/>
        </w:rPr>
      </w:pPr>
      <w:r>
        <w:rPr>
          <w:rFonts w:ascii="Arial" w:cs="Arial" w:eastAsia="Arial" w:hAnsi="Arial"/>
          <w:sz w:val="14"/>
          <w:szCs w:val="14"/>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Mobi: Tubeless</w:t>
      </w:r>
    </w:p>
    <w:p>
      <w:pPr>
        <w:spacing w:after="0" w:line="179" w:lineRule="exact"/>
        <w:rPr>
          <w:sz w:val="20"/>
          <w:szCs w:val="20"/>
          <w:color w:val="auto"/>
        </w:rPr>
      </w:pPr>
    </w:p>
    <w:p>
      <w:pPr>
        <w:ind w:right="180" w:firstLine="619"/>
        <w:spacing w:after="0" w:line="237" w:lineRule="auto"/>
        <w:rPr>
          <w:sz w:val="20"/>
          <w:szCs w:val="20"/>
          <w:color w:val="auto"/>
        </w:rPr>
      </w:pPr>
      <w:r>
        <w:rPr>
          <w:rFonts w:ascii="Arial" w:cs="Arial" w:eastAsia="Arial" w:hAnsi="Arial"/>
          <w:sz w:val="14"/>
          <w:szCs w:val="14"/>
          <w:color w:val="auto"/>
        </w:rPr>
        <w:t>This offering is being developed to provide an alternative tubeless infusion site option for Mobi pump users. A goal of this design is to allow people living with diabetes to customize the way they wear their pump with each cartridge change to best suit their personal preferences and lifestyle.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Patch</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patch pump design is in its early stages and is being developed for people living with diabetes who want a disposable tubeless solution.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Infusion Sets</w:t>
      </w:r>
    </w:p>
    <w:p>
      <w:pPr>
        <w:spacing w:after="0" w:line="148" w:lineRule="exact"/>
        <w:rPr>
          <w:sz w:val="20"/>
          <w:szCs w:val="20"/>
          <w:color w:val="auto"/>
        </w:rPr>
      </w:pPr>
    </w:p>
    <w:p>
      <w:pPr>
        <w:ind w:right="160" w:firstLine="495"/>
        <w:spacing w:after="0" w:line="266" w:lineRule="auto"/>
        <w:rPr>
          <w:sz w:val="20"/>
          <w:szCs w:val="20"/>
          <w:color w:val="auto"/>
        </w:rPr>
      </w:pPr>
      <w:r>
        <w:rPr>
          <w:rFonts w:ascii="Arial" w:cs="Arial" w:eastAsia="Arial" w:hAnsi="Arial"/>
          <w:sz w:val="14"/>
          <w:szCs w:val="14"/>
          <w:color w:val="auto"/>
        </w:rPr>
        <w:t>Infusion sets provide additional choice and flexibility to people living with diabetes. Our goals for infusion set innovation focus on solutions that extend wear time and enhance user experience, while reducing occlusions, body burden and waste.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Device Software</w:t>
      </w:r>
    </w:p>
    <w:p>
      <w:pPr>
        <w:spacing w:after="0" w:line="138" w:lineRule="exact"/>
        <w:rPr>
          <w:sz w:val="20"/>
          <w:szCs w:val="20"/>
          <w:color w:val="auto"/>
        </w:rPr>
      </w:pPr>
    </w:p>
    <w:p>
      <w:pPr>
        <w:ind w:right="200" w:firstLine="619"/>
        <w:spacing w:after="0" w:line="266" w:lineRule="auto"/>
        <w:rPr>
          <w:sz w:val="20"/>
          <w:szCs w:val="20"/>
          <w:color w:val="auto"/>
        </w:rPr>
      </w:pPr>
      <w:r>
        <w:rPr>
          <w:rFonts w:ascii="Arial" w:cs="Arial" w:eastAsia="Arial" w:hAnsi="Arial"/>
          <w:sz w:val="14"/>
          <w:szCs w:val="14"/>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Control-IQ Advancements</w:t>
      </w:r>
    </w:p>
    <w:p>
      <w:pPr>
        <w:spacing w:after="0" w:line="179" w:lineRule="exact"/>
        <w:rPr>
          <w:sz w:val="20"/>
          <w:szCs w:val="20"/>
          <w:color w:val="auto"/>
        </w:rPr>
      </w:pPr>
    </w:p>
    <w:p>
      <w:pPr>
        <w:ind w:firstLine="619"/>
        <w:spacing w:after="0" w:line="251" w:lineRule="auto"/>
        <w:rPr>
          <w:sz w:val="20"/>
          <w:szCs w:val="20"/>
          <w:color w:val="auto"/>
        </w:rPr>
      </w:pPr>
      <w:r>
        <w:rPr>
          <w:rFonts w:ascii="Arial" w:cs="Arial" w:eastAsia="Arial" w:hAnsi="Arial"/>
          <w:sz w:val="13"/>
          <w:szCs w:val="13"/>
          <w:color w:val="auto"/>
        </w:rPr>
        <w:t>We are driving innovation in our algorithms, emphasizing automation, personalization and simplification, all intended to continue to improve therapeutic outcomes and provide a positive patient experience characterized by simplicity and ease of use. Additionally, we have initiated clinical studies to expand the indications of our Control-IQ technology to include people with type 1 diabetes ages 2 to 5 years old, as well as people living with type 2 diabetes. We are also researching the use of different insulins with our Control-IQ technology.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Mobile Control</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1"/>
          <w:szCs w:val="11"/>
          <w:color w:val="auto"/>
        </w:rPr>
        <w:t>We are working to expand our mobile control capability. In the future, our t:connect mobile app is planned to include additional pump control features, such as full operation of our Mobi pump.</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Integration</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Building a robust ecosystem and portfolio around our flagship insulin pumps requires product development efforts to integrate, add and enhance complementary system components.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51" w:right="339" w:bottom="1440" w:gutter="0" w:footer="0" w:header="0"/>
        </w:sectPr>
      </w:pPr>
    </w:p>
    <w:bookmarkStart w:id="28" w:name="page29"/>
    <w:bookmarkEnd w:id="28"/>
    <w:p>
      <w:pPr>
        <w:ind w:right="360" w:firstLine="619"/>
        <w:spacing w:after="0" w:line="404" w:lineRule="auto"/>
        <w:rPr>
          <w:sz w:val="20"/>
          <w:szCs w:val="20"/>
          <w:color w:val="auto"/>
        </w:rPr>
      </w:pPr>
      <w:r>
        <w:rPr>
          <w:rFonts w:ascii="Arial" w:cs="Arial" w:eastAsia="Arial" w:hAnsi="Arial"/>
          <w:sz w:val="11"/>
          <w:szCs w:val="11"/>
          <w:i w:val="1"/>
          <w:iCs w:val="1"/>
          <w:color w:val="auto"/>
        </w:rPr>
        <w:t>Dexcom CGM</w:t>
      </w:r>
      <w:r>
        <w:rPr>
          <w:rFonts w:ascii="Arial" w:cs="Arial" w:eastAsia="Arial" w:hAnsi="Arial"/>
          <w:sz w:val="11"/>
          <w:szCs w:val="11"/>
          <w:color w:val="auto"/>
        </w:rPr>
        <w:t>: In November 2020, we entered into an agreement with Dexcom to extend our current collaboration to include integration with their future G7 CGM technology. Following</w:t>
      </w:r>
      <w:r>
        <w:rPr>
          <w:rFonts w:ascii="Arial" w:cs="Arial" w:eastAsia="Arial" w:hAnsi="Arial"/>
          <w:sz w:val="11"/>
          <w:szCs w:val="11"/>
          <w:i w:val="1"/>
          <w:iCs w:val="1"/>
          <w:color w:val="auto"/>
        </w:rPr>
        <w:t xml:space="preserve"> </w:t>
      </w:r>
      <w:r>
        <w:rPr>
          <w:rFonts w:ascii="Arial" w:cs="Arial" w:eastAsia="Arial" w:hAnsi="Arial"/>
          <w:sz w:val="11"/>
          <w:szCs w:val="11"/>
          <w:color w:val="auto"/>
        </w:rPr>
        <w:t>integrated product development work, and required regulatory clearances or approvals, this will be the fourth generation of Dexcom CGM that we intend to integrate with our devices.</w:t>
      </w:r>
    </w:p>
    <w:p>
      <w:pPr>
        <w:spacing w:after="0" w:line="90" w:lineRule="exact"/>
        <w:rPr>
          <w:sz w:val="20"/>
          <w:szCs w:val="20"/>
          <w:color w:val="auto"/>
        </w:rPr>
      </w:pPr>
    </w:p>
    <w:p>
      <w:pPr>
        <w:ind w:firstLine="619"/>
        <w:spacing w:after="0" w:line="256" w:lineRule="auto"/>
        <w:rPr>
          <w:sz w:val="20"/>
          <w:szCs w:val="20"/>
          <w:color w:val="auto"/>
        </w:rPr>
      </w:pPr>
      <w:r>
        <w:rPr>
          <w:rFonts w:ascii="Arial" w:cs="Arial" w:eastAsia="Arial" w:hAnsi="Arial"/>
          <w:sz w:val="14"/>
          <w:szCs w:val="14"/>
          <w:i w:val="1"/>
          <w:iCs w:val="1"/>
          <w:color w:val="auto"/>
        </w:rPr>
        <w:t>Abbott CGM</w:t>
      </w:r>
      <w:r>
        <w:rPr>
          <w:rFonts w:ascii="Arial" w:cs="Arial" w:eastAsia="Arial" w:hAnsi="Arial"/>
          <w:sz w:val="14"/>
          <w:szCs w:val="14"/>
          <w:color w:val="auto"/>
        </w:rPr>
        <w:t>: In June 2020, we announced an agreement with Abbott Laboratories (Abbott), to develop and commercialize integrated diabetes solutions that combine Abbott’s CGM technology</w:t>
      </w:r>
      <w:r>
        <w:rPr>
          <w:rFonts w:ascii="Arial" w:cs="Arial" w:eastAsia="Arial" w:hAnsi="Arial"/>
          <w:sz w:val="14"/>
          <w:szCs w:val="14"/>
          <w:i w:val="1"/>
          <w:iCs w:val="1"/>
          <w:color w:val="auto"/>
        </w:rPr>
        <w:t xml:space="preserve"> </w:t>
      </w:r>
      <w:r>
        <w:rPr>
          <w:rFonts w:ascii="Arial" w:cs="Arial" w:eastAsia="Arial" w:hAnsi="Arial"/>
          <w:sz w:val="14"/>
          <w:szCs w:val="14"/>
          <w:color w:val="auto"/>
        </w:rPr>
        <w:t>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Data and Insights</w:t>
      </w:r>
    </w:p>
    <w:p>
      <w:pPr>
        <w:spacing w:after="0" w:line="179" w:lineRule="exact"/>
        <w:rPr>
          <w:sz w:val="20"/>
          <w:szCs w:val="20"/>
          <w:color w:val="auto"/>
        </w:rPr>
      </w:pPr>
    </w:p>
    <w:p>
      <w:pPr>
        <w:ind w:right="20" w:firstLine="619"/>
        <w:spacing w:after="0" w:line="226" w:lineRule="auto"/>
        <w:rPr>
          <w:sz w:val="20"/>
          <w:szCs w:val="20"/>
          <w:color w:val="auto"/>
        </w:rPr>
      </w:pPr>
      <w:r>
        <w:rPr>
          <w:rFonts w:ascii="Arial" w:cs="Arial" w:eastAsia="Arial" w:hAnsi="Arial"/>
          <w:sz w:val="14"/>
          <w:szCs w:val="14"/>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Key areas of development include making these insights easy to understand, provided in a flexible format with mobile or web apps, and available real time. In addition, we are working to integrate health-related information from third-party sources and use our data to support current and future products under development.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Tandem Source</w:t>
      </w:r>
    </w:p>
    <w:p>
      <w:pPr>
        <w:spacing w:after="0" w:line="179" w:lineRule="exact"/>
        <w:rPr>
          <w:sz w:val="20"/>
          <w:szCs w:val="20"/>
          <w:color w:val="auto"/>
        </w:rPr>
      </w:pPr>
    </w:p>
    <w:p>
      <w:pPr>
        <w:jc w:val="both"/>
        <w:ind w:right="240" w:firstLine="619"/>
        <w:spacing w:after="0" w:line="319" w:lineRule="auto"/>
        <w:rPr>
          <w:sz w:val="20"/>
          <w:szCs w:val="20"/>
          <w:color w:val="auto"/>
        </w:rPr>
      </w:pPr>
      <w:r>
        <w:rPr>
          <w:rFonts w:ascii="Arial" w:cs="Arial" w:eastAsia="Arial" w:hAnsi="Arial"/>
          <w:sz w:val="11"/>
          <w:szCs w:val="11"/>
          <w:color w:val="auto"/>
        </w:rPr>
        <w:t>Expanding the capabilities of our t:connect data management application available for customers in the United States, Tandem Source is our second-generation web-based data management application that is being designed to become our single, global platform. This application enhances clinical data visualization, provides added interface customization for users to personalize how they engage with their data and for healthcare providers to better manage their care. In the second quarter of 2021, we began limited testing of an initial version of Tandem Source in the United Kingdom.</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Settings Automation</w:t>
      </w:r>
    </w:p>
    <w:p>
      <w:pPr>
        <w:spacing w:after="0" w:line="179" w:lineRule="exact"/>
        <w:rPr>
          <w:sz w:val="20"/>
          <w:szCs w:val="20"/>
          <w:color w:val="auto"/>
        </w:rPr>
      </w:pPr>
    </w:p>
    <w:p>
      <w:pPr>
        <w:ind w:right="20" w:firstLine="619"/>
        <w:spacing w:after="0" w:line="237" w:lineRule="auto"/>
        <w:rPr>
          <w:sz w:val="20"/>
          <w:szCs w:val="20"/>
          <w:color w:val="auto"/>
        </w:rPr>
      </w:pPr>
      <w:r>
        <w:rPr>
          <w:rFonts w:ascii="Arial" w:cs="Arial" w:eastAsia="Arial" w:hAnsi="Arial"/>
          <w:sz w:val="14"/>
          <w:szCs w:val="14"/>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31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Pump Shipments</w:t>
      </w:r>
    </w:p>
    <w:p>
      <w:pPr>
        <w:spacing w:after="0" w:line="138" w:lineRule="exact"/>
        <w:rPr>
          <w:sz w:val="20"/>
          <w:szCs w:val="20"/>
          <w:color w:val="auto"/>
        </w:rPr>
      </w:pPr>
    </w:p>
    <w:p>
      <w:pPr>
        <w:ind w:right="60" w:firstLine="619"/>
        <w:spacing w:after="0" w:line="256" w:lineRule="auto"/>
        <w:rPr>
          <w:sz w:val="20"/>
          <w:szCs w:val="20"/>
          <w:color w:val="auto"/>
        </w:rPr>
      </w:pPr>
      <w:r>
        <w:rPr>
          <w:rFonts w:ascii="Arial" w:cs="Arial" w:eastAsia="Arial" w:hAnsi="Arial"/>
          <w:sz w:val="14"/>
          <w:szCs w:val="14"/>
          <w:color w:val="auto"/>
        </w:rPr>
        <w:t>From inception in 2012 through June 2018, we derived nearly all of our sales from the shipment of insulin pumps and associated supplies to customers in the United States. Starting in the third quarter of 2018, we commenced sales of our t:slim X2 insulin pump in select geographies outside the United States and now offer our technology solutions in more than 20 countries worldwide. We consider the number of insulin pump units shipped to be an important metric for managing our business.</w:t>
      </w:r>
    </w:p>
    <w:p>
      <w:pPr>
        <w:spacing w:after="0" w:line="145" w:lineRule="exact"/>
        <w:rPr>
          <w:sz w:val="20"/>
          <w:szCs w:val="20"/>
          <w:color w:val="auto"/>
        </w:rPr>
      </w:pPr>
    </w:p>
    <w:p>
      <w:pPr>
        <w:jc w:val="both"/>
        <w:ind w:right="100" w:firstLine="619"/>
        <w:spacing w:after="0" w:line="256" w:lineRule="auto"/>
        <w:rPr>
          <w:sz w:val="20"/>
          <w:szCs w:val="20"/>
          <w:color w:val="auto"/>
        </w:rPr>
      </w:pPr>
      <w:r>
        <w:rPr>
          <w:rFonts w:ascii="Arial" w:cs="Arial" w:eastAsia="Arial" w:hAnsi="Arial"/>
          <w:sz w:val="14"/>
          <w:szCs w:val="14"/>
          <w:color w:val="auto"/>
        </w:rPr>
        <w:t>Insulin pumps in the markets we serve worldwide are generally subject to a four-year reimbursement cycle, imposed by the third-party insurance carrier, government plan or healthcare system that serves as the primary payor. In the past four years, we have shipped more than 375,000 insulin pumps worldwide, which is representative of our estimated global in-warranty installed customer base. Our estimated worldwide installed base has increased approximately 40% compared to the second quarter of 2021.</w:t>
      </w:r>
    </w:p>
    <w:p>
      <w:pPr>
        <w:spacing w:after="0" w:line="145" w:lineRule="exact"/>
        <w:rPr>
          <w:sz w:val="20"/>
          <w:szCs w:val="20"/>
          <w:color w:val="auto"/>
        </w:rPr>
      </w:pPr>
    </w:p>
    <w:p>
      <w:pPr>
        <w:ind w:right="140" w:firstLine="619"/>
        <w:spacing w:after="0" w:line="251" w:lineRule="auto"/>
        <w:rPr>
          <w:sz w:val="20"/>
          <w:szCs w:val="20"/>
          <w:color w:val="auto"/>
        </w:rPr>
      </w:pPr>
      <w:r>
        <w:rPr>
          <w:rFonts w:ascii="Arial" w:cs="Arial" w:eastAsia="Arial" w:hAnsi="Arial"/>
          <w:sz w:val="14"/>
          <w:szCs w:val="14"/>
          <w:color w:val="auto"/>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our typical renewal cycle, or time from original pump purchase to a subsequent pump purchase by the same customer, averages five years. The majority of our insulin pump sales through the current period have been generated by new customers, but the opportunity for existing customers to purchase a renewal insulin pump increases each period as additional customer warranties expire. With programs dedicated to customer retention efforts, we expect such renewal purchases to represent a more significant portion of our shipments in the long-term.</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29" w:name="page30"/>
    <w:bookmarkEnd w:id="29"/>
    <w:p>
      <w:pPr>
        <w:ind w:left="620"/>
        <w:spacing w:after="0"/>
        <w:rPr>
          <w:sz w:val="20"/>
          <w:szCs w:val="20"/>
          <w:color w:val="auto"/>
        </w:rPr>
      </w:pPr>
      <w:r>
        <w:rPr>
          <w:rFonts w:ascii="Arial" w:cs="Arial" w:eastAsia="Arial" w:hAnsi="Arial"/>
          <w:sz w:val="11"/>
          <w:szCs w:val="11"/>
          <w:color w:val="auto"/>
        </w:rPr>
        <w:t>More than 265,000 of pumps were shipped to customers in the United States in the past four years, which aligns with the standard four-year warranty period. Pump shipments to customers in the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United States by fiscal quarter for the last five years, which aligns more closely with our typical renewal cycle,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gridSpan w:val="5"/>
          </w:tcPr>
          <w:p>
            <w:pPr>
              <w:jc w:val="center"/>
              <w:ind w:left="1036"/>
              <w:spacing w:after="0"/>
              <w:rPr>
                <w:sz w:val="20"/>
                <w:szCs w:val="20"/>
                <w:color w:val="auto"/>
              </w:rPr>
            </w:pPr>
            <w:r>
              <w:rPr>
                <w:rFonts w:ascii="Arial" w:cs="Arial" w:eastAsia="Arial" w:hAnsi="Arial"/>
                <w:sz w:val="11"/>
                <w:szCs w:val="11"/>
                <w:b w:val="1"/>
                <w:bCs w:val="1"/>
                <w:color w:val="auto"/>
                <w:w w:val="90"/>
              </w:rPr>
              <w:t>United States Pump Unit Shipments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43"/>
        </w:trPr>
        <w:tc>
          <w:tcPr>
            <w:tcW w:w="430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1"/>
                <w:szCs w:val="11"/>
                <w:b w:val="1"/>
                <w:bCs w:val="1"/>
                <w:color w:val="auto"/>
                <w:w w:val="89"/>
              </w:rPr>
              <w:t>for Each of the Three Months Ended in Respective Years</w:t>
            </w:r>
          </w:p>
        </w:tc>
        <w:tc>
          <w:tcPr>
            <w:tcW w:w="1320" w:type="dxa"/>
            <w:vAlign w:val="bottom"/>
            <w:tcBorders>
              <w:bottom w:val="single" w:sz="8" w:color="auto"/>
            </w:tcBorders>
          </w:tcPr>
          <w:p>
            <w:pPr>
              <w:spacing w:after="0"/>
              <w:rPr>
                <w:sz w:val="12"/>
                <w:szCs w:val="12"/>
                <w:color w:val="auto"/>
              </w:rPr>
            </w:pPr>
          </w:p>
        </w:tc>
      </w:tr>
      <w:tr>
        <w:trPr>
          <w:trHeight w:val="135"/>
        </w:trPr>
        <w:tc>
          <w:tcPr>
            <w:tcW w:w="4300" w:type="dxa"/>
            <w:vAlign w:val="bottom"/>
          </w:tcPr>
          <w:p>
            <w:pPr>
              <w:spacing w:after="0"/>
              <w:rPr>
                <w:sz w:val="11"/>
                <w:szCs w:val="11"/>
                <w:color w:val="auto"/>
              </w:rPr>
            </w:pPr>
          </w:p>
        </w:tc>
        <w:tc>
          <w:tcPr>
            <w:tcW w:w="1400" w:type="dxa"/>
            <w:vAlign w:val="bottom"/>
            <w:gridSpan w:val="2"/>
          </w:tcPr>
          <w:p>
            <w:pPr>
              <w:ind w:left="440"/>
              <w:spacing w:after="0"/>
              <w:rPr>
                <w:sz w:val="20"/>
                <w:szCs w:val="20"/>
                <w:color w:val="auto"/>
              </w:rPr>
            </w:pPr>
            <w:r>
              <w:rPr>
                <w:rFonts w:ascii="Arial" w:cs="Arial" w:eastAsia="Arial" w:hAnsi="Arial"/>
                <w:sz w:val="11"/>
                <w:szCs w:val="11"/>
                <w:b w:val="1"/>
                <w:bCs w:val="1"/>
                <w:color w:val="auto"/>
              </w:rPr>
              <w:t>March 31</w:t>
            </w:r>
          </w:p>
        </w:tc>
        <w:tc>
          <w:tcPr>
            <w:tcW w:w="1400" w:type="dxa"/>
            <w:vAlign w:val="bottom"/>
            <w:gridSpan w:val="2"/>
          </w:tcPr>
          <w:p>
            <w:pPr>
              <w:ind w:left="480"/>
              <w:spacing w:after="0"/>
              <w:rPr>
                <w:sz w:val="20"/>
                <w:szCs w:val="20"/>
                <w:color w:val="auto"/>
              </w:rPr>
            </w:pPr>
            <w:r>
              <w:rPr>
                <w:rFonts w:ascii="Arial" w:cs="Arial" w:eastAsia="Arial" w:hAnsi="Arial"/>
                <w:sz w:val="11"/>
                <w:szCs w:val="11"/>
                <w:b w:val="1"/>
                <w:bCs w:val="1"/>
                <w:color w:val="auto"/>
              </w:rPr>
              <w:t>June 30</w:t>
            </w:r>
          </w:p>
        </w:tc>
        <w:tc>
          <w:tcPr>
            <w:tcW w:w="164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September 30</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w:t>
            </w:r>
          </w:p>
        </w:tc>
        <w:tc>
          <w:tcPr>
            <w:tcW w:w="1320" w:type="dxa"/>
            <w:vAlign w:val="bottom"/>
          </w:tcPr>
          <w:p>
            <w:pPr>
              <w:jc w:val="right"/>
              <w:ind w:right="473"/>
              <w:spacing w:after="0"/>
              <w:rPr>
                <w:sz w:val="20"/>
                <w:szCs w:val="20"/>
                <w:color w:val="auto"/>
              </w:rPr>
            </w:pPr>
            <w:r>
              <w:rPr>
                <w:rFonts w:ascii="Arial" w:cs="Arial" w:eastAsia="Arial" w:hAnsi="Arial"/>
                <w:sz w:val="11"/>
                <w:szCs w:val="11"/>
                <w:b w:val="1"/>
                <w:bCs w:val="1"/>
                <w:color w:val="auto"/>
              </w:rPr>
              <w:t>Total</w:t>
            </w:r>
          </w:p>
        </w:tc>
      </w:tr>
      <w:tr>
        <w:trPr>
          <w:trHeight w:val="167"/>
        </w:trPr>
        <w:tc>
          <w:tcPr>
            <w:tcW w:w="4300" w:type="dxa"/>
            <w:vAlign w:val="bottom"/>
            <w:tcBorders>
              <w:top w:val="single" w:sz="8" w:color="CCEEFF"/>
            </w:tcBorders>
            <w:shd w:val="clear" w:color="auto" w:fill="CCEEFF"/>
          </w:tcPr>
          <w:p>
            <w:pPr>
              <w:jc w:val="right"/>
              <w:ind w:right="3931"/>
              <w:spacing w:after="0"/>
              <w:rPr>
                <w:sz w:val="20"/>
                <w:szCs w:val="20"/>
                <w:color w:val="auto"/>
              </w:rPr>
            </w:pPr>
            <w:r>
              <w:rPr>
                <w:rFonts w:ascii="Arial" w:cs="Arial" w:eastAsia="Arial" w:hAnsi="Arial"/>
                <w:sz w:val="14"/>
                <w:szCs w:val="14"/>
                <w:color w:val="auto"/>
                <w:w w:val="89"/>
              </w:rPr>
              <w:t>2017</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3,427</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17,061</w:t>
            </w:r>
          </w:p>
        </w:tc>
      </w:tr>
      <w:tr>
        <w:trPr>
          <w:trHeight w:val="175"/>
        </w:trPr>
        <w:tc>
          <w:tcPr>
            <w:tcW w:w="4300" w:type="dxa"/>
            <w:vAlign w:val="bottom"/>
          </w:tcPr>
          <w:p>
            <w:pPr>
              <w:jc w:val="right"/>
              <w:ind w:right="3931"/>
              <w:spacing w:after="0"/>
              <w:rPr>
                <w:sz w:val="20"/>
                <w:szCs w:val="20"/>
                <w:color w:val="auto"/>
              </w:rPr>
            </w:pPr>
            <w:r>
              <w:rPr>
                <w:rFonts w:ascii="Arial" w:cs="Arial" w:eastAsia="Arial" w:hAnsi="Arial"/>
                <w:sz w:val="14"/>
                <w:szCs w:val="14"/>
                <w:color w:val="auto"/>
                <w:w w:val="89"/>
              </w:rPr>
              <w:t>2018</w:t>
            </w:r>
          </w:p>
        </w:tc>
        <w:tc>
          <w:tcPr>
            <w:tcW w:w="1320" w:type="dxa"/>
            <w:vAlign w:val="bottom"/>
          </w:tcPr>
          <w:p>
            <w:pPr>
              <w:jc w:val="right"/>
              <w:spacing w:after="0"/>
              <w:rPr>
                <w:sz w:val="20"/>
                <w:szCs w:val="20"/>
                <w:color w:val="auto"/>
              </w:rPr>
            </w:pPr>
            <w:r>
              <w:rPr>
                <w:rFonts w:ascii="Arial" w:cs="Arial" w:eastAsia="Arial" w:hAnsi="Arial"/>
                <w:sz w:val="14"/>
                <w:szCs w:val="14"/>
                <w:color w:val="auto"/>
              </w:rPr>
              <w:t>4,444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5,447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12,935</w:t>
            </w:r>
          </w:p>
        </w:tc>
        <w:tc>
          <w:tcPr>
            <w:tcW w:w="100" w:type="dxa"/>
            <w:vAlign w:val="bottom"/>
          </w:tcPr>
          <w:p>
            <w:pPr>
              <w:spacing w:after="0"/>
              <w:rPr>
                <w:sz w:val="15"/>
                <w:szCs w:val="15"/>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30,205</w:t>
            </w:r>
          </w:p>
        </w:tc>
      </w:tr>
      <w:tr>
        <w:trPr>
          <w:trHeight w:val="176"/>
        </w:trPr>
        <w:tc>
          <w:tcPr>
            <w:tcW w:w="4300" w:type="dxa"/>
            <w:vAlign w:val="bottom"/>
            <w:shd w:val="clear" w:color="auto" w:fill="CCEEFF"/>
          </w:tcPr>
          <w:p>
            <w:pPr>
              <w:jc w:val="right"/>
              <w:ind w:right="3931"/>
              <w:spacing w:after="0"/>
              <w:rPr>
                <w:sz w:val="20"/>
                <w:szCs w:val="20"/>
                <w:color w:val="auto"/>
              </w:rPr>
            </w:pPr>
            <w:r>
              <w:rPr>
                <w:rFonts w:ascii="Arial" w:cs="Arial" w:eastAsia="Arial" w:hAnsi="Arial"/>
                <w:sz w:val="14"/>
                <w:szCs w:val="14"/>
                <w:color w:val="auto"/>
                <w:w w:val="89"/>
              </w:rPr>
              <w:t>2019</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53,735</w:t>
            </w:r>
          </w:p>
        </w:tc>
      </w:tr>
      <w:tr>
        <w:trPr>
          <w:trHeight w:val="175"/>
        </w:trPr>
        <w:tc>
          <w:tcPr>
            <w:tcW w:w="4300" w:type="dxa"/>
            <w:vAlign w:val="bottom"/>
          </w:tcPr>
          <w:p>
            <w:pPr>
              <w:jc w:val="right"/>
              <w:ind w:right="3931"/>
              <w:spacing w:after="0"/>
              <w:rPr>
                <w:sz w:val="20"/>
                <w:szCs w:val="20"/>
                <w:color w:val="auto"/>
              </w:rPr>
            </w:pPr>
            <w:r>
              <w:rPr>
                <w:rFonts w:ascii="Arial" w:cs="Arial" w:eastAsia="Arial" w:hAnsi="Arial"/>
                <w:sz w:val="14"/>
                <w:szCs w:val="14"/>
                <w:color w:val="auto"/>
                <w:w w:val="89"/>
              </w:rPr>
              <w:t>2020</w:t>
            </w:r>
          </w:p>
        </w:tc>
        <w:tc>
          <w:tcPr>
            <w:tcW w:w="1320" w:type="dxa"/>
            <w:vAlign w:val="bottom"/>
          </w:tcPr>
          <w:p>
            <w:pPr>
              <w:jc w:val="right"/>
              <w:spacing w:after="0"/>
              <w:rPr>
                <w:sz w:val="20"/>
                <w:szCs w:val="20"/>
                <w:color w:val="auto"/>
              </w:rPr>
            </w:pPr>
            <w:r>
              <w:rPr>
                <w:rFonts w:ascii="Arial" w:cs="Arial" w:eastAsia="Arial" w:hAnsi="Arial"/>
                <w:sz w:val="14"/>
                <w:szCs w:val="14"/>
                <w:color w:val="auto"/>
              </w:rPr>
              <w:t>13,158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14,735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24,552</w:t>
            </w:r>
          </w:p>
        </w:tc>
        <w:tc>
          <w:tcPr>
            <w:tcW w:w="100" w:type="dxa"/>
            <w:vAlign w:val="bottom"/>
          </w:tcPr>
          <w:p>
            <w:pPr>
              <w:spacing w:after="0"/>
              <w:rPr>
                <w:sz w:val="15"/>
                <w:szCs w:val="15"/>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70,825</w:t>
            </w:r>
          </w:p>
        </w:tc>
      </w:tr>
      <w:tr>
        <w:trPr>
          <w:trHeight w:val="176"/>
        </w:trPr>
        <w:tc>
          <w:tcPr>
            <w:tcW w:w="4300" w:type="dxa"/>
            <w:vAlign w:val="bottom"/>
            <w:shd w:val="clear" w:color="auto" w:fill="CCEEFF"/>
          </w:tcPr>
          <w:p>
            <w:pPr>
              <w:jc w:val="right"/>
              <w:ind w:right="3931"/>
              <w:spacing w:after="0"/>
              <w:rPr>
                <w:sz w:val="20"/>
                <w:szCs w:val="20"/>
                <w:color w:val="auto"/>
              </w:rPr>
            </w:pPr>
            <w:r>
              <w:rPr>
                <w:rFonts w:ascii="Arial" w:cs="Arial" w:eastAsia="Arial" w:hAnsi="Arial"/>
                <w:sz w:val="14"/>
                <w:szCs w:val="14"/>
                <w:color w:val="auto"/>
                <w:w w:val="89"/>
              </w:rPr>
              <w:t>2021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83,317</w:t>
            </w:r>
          </w:p>
        </w:tc>
      </w:tr>
      <w:tr>
        <w:trPr>
          <w:trHeight w:val="174"/>
        </w:trPr>
        <w:tc>
          <w:tcPr>
            <w:tcW w:w="4300" w:type="dxa"/>
            <w:vAlign w:val="bottom"/>
          </w:tcPr>
          <w:p>
            <w:pPr>
              <w:jc w:val="right"/>
              <w:ind w:right="3931"/>
              <w:spacing w:after="0"/>
              <w:rPr>
                <w:sz w:val="20"/>
                <w:szCs w:val="20"/>
                <w:color w:val="auto"/>
              </w:rPr>
            </w:pPr>
            <w:r>
              <w:rPr>
                <w:rFonts w:ascii="Arial" w:cs="Arial" w:eastAsia="Arial" w:hAnsi="Arial"/>
                <w:sz w:val="14"/>
                <w:szCs w:val="14"/>
                <w:color w:val="auto"/>
                <w:w w:val="89"/>
              </w:rPr>
              <w:t>2022</w:t>
            </w:r>
          </w:p>
        </w:tc>
        <w:tc>
          <w:tcPr>
            <w:tcW w:w="1320" w:type="dxa"/>
            <w:vAlign w:val="bottom"/>
          </w:tcPr>
          <w:p>
            <w:pPr>
              <w:jc w:val="right"/>
              <w:spacing w:after="0"/>
              <w:rPr>
                <w:sz w:val="20"/>
                <w:szCs w:val="20"/>
                <w:color w:val="auto"/>
              </w:rPr>
            </w:pPr>
            <w:r>
              <w:rPr>
                <w:rFonts w:ascii="Arial" w:cs="Arial" w:eastAsia="Arial" w:hAnsi="Arial"/>
                <w:sz w:val="14"/>
                <w:szCs w:val="14"/>
                <w:color w:val="auto"/>
              </w:rPr>
              <w:t>18,658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20,818</w:t>
            </w:r>
          </w:p>
        </w:tc>
        <w:tc>
          <w:tcPr>
            <w:tcW w:w="80" w:type="dxa"/>
            <w:vAlign w:val="bottom"/>
          </w:tcPr>
          <w:p>
            <w:pPr>
              <w:spacing w:after="0"/>
              <w:rPr>
                <w:sz w:val="15"/>
                <w:szCs w:val="15"/>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ind w:left="840"/>
              <w:spacing w:after="0"/>
              <w:rPr>
                <w:sz w:val="20"/>
                <w:szCs w:val="20"/>
                <w:color w:val="auto"/>
              </w:rPr>
            </w:pPr>
            <w:r>
              <w:rPr>
                <w:rFonts w:ascii="Arial" w:cs="Arial" w:eastAsia="Arial" w:hAnsi="Arial"/>
                <w:sz w:val="14"/>
                <w:szCs w:val="14"/>
                <w:color w:val="auto"/>
              </w:rPr>
              <w:t>N/A</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39,476</w:t>
            </w:r>
          </w:p>
        </w:tc>
      </w:tr>
    </w:tbl>
    <w:p>
      <w:pPr>
        <w:spacing w:after="0" w:line="200" w:lineRule="exact"/>
        <w:rPr>
          <w:sz w:val="20"/>
          <w:szCs w:val="20"/>
          <w:color w:val="auto"/>
        </w:rPr>
      </w:pPr>
    </w:p>
    <w:p>
      <w:pPr>
        <w:spacing w:after="0" w:line="254" w:lineRule="exact"/>
        <w:rPr>
          <w:sz w:val="20"/>
          <w:szCs w:val="20"/>
          <w:color w:val="auto"/>
        </w:rPr>
      </w:pPr>
    </w:p>
    <w:p>
      <w:pPr>
        <w:ind w:right="200" w:firstLine="619"/>
        <w:spacing w:after="0" w:line="266" w:lineRule="auto"/>
        <w:rPr>
          <w:sz w:val="20"/>
          <w:szCs w:val="20"/>
          <w:color w:val="auto"/>
        </w:rPr>
      </w:pPr>
      <w:r>
        <w:rPr>
          <w:rFonts w:ascii="Arial" w:cs="Arial" w:eastAsia="Arial" w:hAnsi="Arial"/>
          <w:sz w:val="14"/>
          <w:szCs w:val="14"/>
          <w:color w:val="auto"/>
        </w:rPr>
        <w:t>Since commencing sales outside the United States in the third quarter of 2018, we have shipped nearly 110,000 pumps to customers in more than 20 countries, and have yet to complete a full four-year reimbursement cycle. Pump shipments to customers outside the United States by fiscal quarter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360" w:type="dxa"/>
            <w:vAlign w:val="bottom"/>
            <w:gridSpan w:val="6"/>
          </w:tcPr>
          <w:p>
            <w:pPr>
              <w:jc w:val="center"/>
              <w:ind w:right="940"/>
              <w:spacing w:after="0"/>
              <w:rPr>
                <w:sz w:val="20"/>
                <w:szCs w:val="20"/>
                <w:color w:val="auto"/>
              </w:rPr>
            </w:pPr>
            <w:r>
              <w:rPr>
                <w:rFonts w:ascii="Arial" w:cs="Arial" w:eastAsia="Arial" w:hAnsi="Arial"/>
                <w:sz w:val="11"/>
                <w:szCs w:val="11"/>
                <w:b w:val="1"/>
                <w:bCs w:val="1"/>
                <w:color w:val="auto"/>
                <w:w w:val="89"/>
              </w:rPr>
              <w:t>Outside the United States Pump Unit Shipments</w:t>
            </w:r>
          </w:p>
        </w:tc>
        <w:tc>
          <w:tcPr>
            <w:tcW w:w="1320" w:type="dxa"/>
            <w:vAlign w:val="bottom"/>
          </w:tcPr>
          <w:p>
            <w:pPr>
              <w:spacing w:after="0"/>
              <w:rPr>
                <w:sz w:val="10"/>
                <w:szCs w:val="10"/>
                <w:color w:val="auto"/>
              </w:rPr>
            </w:pPr>
          </w:p>
        </w:tc>
      </w:tr>
      <w:tr>
        <w:trPr>
          <w:trHeight w:val="143"/>
        </w:trPr>
        <w:tc>
          <w:tcPr>
            <w:tcW w:w="4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1"/>
                <w:szCs w:val="11"/>
                <w:b w:val="1"/>
                <w:bCs w:val="1"/>
                <w:color w:val="auto"/>
                <w:w w:val="89"/>
              </w:rPr>
              <w:t>for Each of the Three Months Ended in Respective Years</w:t>
            </w:r>
          </w:p>
        </w:tc>
        <w:tc>
          <w:tcPr>
            <w:tcW w:w="1320" w:type="dxa"/>
            <w:vAlign w:val="bottom"/>
            <w:tcBorders>
              <w:bottom w:val="single" w:sz="8" w:color="auto"/>
            </w:tcBorders>
          </w:tcPr>
          <w:p>
            <w:pPr>
              <w:spacing w:after="0"/>
              <w:rPr>
                <w:sz w:val="12"/>
                <w:szCs w:val="12"/>
                <w:color w:val="auto"/>
              </w:rPr>
            </w:pPr>
          </w:p>
        </w:tc>
      </w:tr>
      <w:tr>
        <w:trPr>
          <w:trHeight w:val="135"/>
        </w:trPr>
        <w:tc>
          <w:tcPr>
            <w:tcW w:w="4300" w:type="dxa"/>
            <w:vAlign w:val="bottom"/>
          </w:tcPr>
          <w:p>
            <w:pPr>
              <w:spacing w:after="0"/>
              <w:rPr>
                <w:sz w:val="11"/>
                <w:szCs w:val="11"/>
                <w:color w:val="auto"/>
              </w:rPr>
            </w:pPr>
          </w:p>
        </w:tc>
        <w:tc>
          <w:tcPr>
            <w:tcW w:w="920" w:type="dxa"/>
            <w:vAlign w:val="bottom"/>
          </w:tcPr>
          <w:p>
            <w:pPr>
              <w:ind w:left="440"/>
              <w:spacing w:after="0"/>
              <w:rPr>
                <w:sz w:val="20"/>
                <w:szCs w:val="20"/>
                <w:color w:val="auto"/>
              </w:rPr>
            </w:pPr>
            <w:r>
              <w:rPr>
                <w:rFonts w:ascii="Arial" w:cs="Arial" w:eastAsia="Arial" w:hAnsi="Arial"/>
                <w:sz w:val="11"/>
                <w:szCs w:val="11"/>
                <w:b w:val="1"/>
                <w:bCs w:val="1"/>
                <w:color w:val="auto"/>
                <w:w w:val="96"/>
              </w:rPr>
              <w:t>March 31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480"/>
              <w:spacing w:after="0"/>
              <w:rPr>
                <w:sz w:val="20"/>
                <w:szCs w:val="20"/>
                <w:color w:val="auto"/>
              </w:rPr>
            </w:pPr>
            <w:r>
              <w:rPr>
                <w:rFonts w:ascii="Arial" w:cs="Arial" w:eastAsia="Arial" w:hAnsi="Arial"/>
                <w:sz w:val="11"/>
                <w:szCs w:val="11"/>
                <w:b w:val="1"/>
                <w:bCs w:val="1"/>
                <w:color w:val="auto"/>
                <w:w w:val="87"/>
              </w:rPr>
              <w:t>June 30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September 30</w:t>
            </w:r>
          </w:p>
        </w:tc>
        <w:tc>
          <w:tcPr>
            <w:tcW w:w="1400" w:type="dxa"/>
            <w:vAlign w:val="bottom"/>
            <w:gridSpan w:val="2"/>
          </w:tcPr>
          <w:p>
            <w:pPr>
              <w:ind w:left="340"/>
              <w:spacing w:after="0"/>
              <w:rPr>
                <w:sz w:val="20"/>
                <w:szCs w:val="20"/>
                <w:color w:val="auto"/>
              </w:rPr>
            </w:pPr>
            <w:r>
              <w:rPr>
                <w:rFonts w:ascii="Arial" w:cs="Arial" w:eastAsia="Arial" w:hAnsi="Arial"/>
                <w:sz w:val="11"/>
                <w:szCs w:val="11"/>
                <w:b w:val="1"/>
                <w:bCs w:val="1"/>
                <w:color w:val="auto"/>
              </w:rPr>
              <w:t>December 31</w:t>
            </w:r>
          </w:p>
        </w:tc>
        <w:tc>
          <w:tcPr>
            <w:tcW w:w="1320" w:type="dxa"/>
            <w:vAlign w:val="bottom"/>
          </w:tcPr>
          <w:p>
            <w:pPr>
              <w:jc w:val="right"/>
              <w:ind w:right="474"/>
              <w:spacing w:after="0"/>
              <w:rPr>
                <w:sz w:val="20"/>
                <w:szCs w:val="20"/>
                <w:color w:val="auto"/>
              </w:rPr>
            </w:pPr>
            <w:r>
              <w:rPr>
                <w:rFonts w:ascii="Arial" w:cs="Arial" w:eastAsia="Arial" w:hAnsi="Arial"/>
                <w:sz w:val="11"/>
                <w:szCs w:val="11"/>
                <w:b w:val="1"/>
                <w:bCs w:val="1"/>
                <w:color w:val="auto"/>
              </w:rPr>
              <w:t>Total</w:t>
            </w:r>
          </w:p>
        </w:tc>
      </w:tr>
      <w:tr>
        <w:trPr>
          <w:trHeight w:val="167"/>
        </w:trPr>
        <w:tc>
          <w:tcPr>
            <w:tcW w:w="4300" w:type="dxa"/>
            <w:vAlign w:val="bottom"/>
            <w:tcBorders>
              <w:top w:val="single" w:sz="8" w:color="CFF0FC"/>
            </w:tcBorders>
            <w:shd w:val="clear" w:color="auto" w:fill="CFF0FC"/>
          </w:tcPr>
          <w:p>
            <w:pPr>
              <w:jc w:val="right"/>
              <w:ind w:right="3931"/>
              <w:spacing w:after="0"/>
              <w:rPr>
                <w:sz w:val="20"/>
                <w:szCs w:val="20"/>
                <w:color w:val="auto"/>
              </w:rPr>
            </w:pPr>
            <w:r>
              <w:rPr>
                <w:rFonts w:ascii="Arial" w:cs="Arial" w:eastAsia="Arial" w:hAnsi="Arial"/>
                <w:sz w:val="14"/>
                <w:szCs w:val="14"/>
                <w:color w:val="auto"/>
                <w:w w:val="89"/>
              </w:rPr>
              <w:t>2018</w:t>
            </w:r>
          </w:p>
        </w:tc>
        <w:tc>
          <w:tcPr>
            <w:tcW w:w="9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CFF0FC"/>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Borders>
              <w:top w:val="single" w:sz="8" w:color="CFF0FC"/>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Borders>
              <w:top w:val="single" w:sz="8" w:color="CFF0FC"/>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4"/>
                <w:szCs w:val="14"/>
                <w:color w:val="auto"/>
              </w:rPr>
              <w:t>4,288</w:t>
            </w:r>
          </w:p>
        </w:tc>
      </w:tr>
      <w:tr>
        <w:trPr>
          <w:trHeight w:val="175"/>
        </w:trPr>
        <w:tc>
          <w:tcPr>
            <w:tcW w:w="4300" w:type="dxa"/>
            <w:vAlign w:val="bottom"/>
          </w:tcPr>
          <w:p>
            <w:pPr>
              <w:jc w:val="right"/>
              <w:ind w:right="3931"/>
              <w:spacing w:after="0"/>
              <w:rPr>
                <w:sz w:val="20"/>
                <w:szCs w:val="20"/>
                <w:color w:val="auto"/>
              </w:rPr>
            </w:pPr>
            <w:r>
              <w:rPr>
                <w:rFonts w:ascii="Arial" w:cs="Arial" w:eastAsia="Arial" w:hAnsi="Arial"/>
                <w:sz w:val="14"/>
                <w:szCs w:val="14"/>
                <w:color w:val="auto"/>
                <w:w w:val="89"/>
              </w:rPr>
              <w:t>2019</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5,063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8,459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4"/>
                <w:szCs w:val="14"/>
                <w:color w:val="auto"/>
              </w:rPr>
              <w:t>19,696</w:t>
            </w:r>
          </w:p>
        </w:tc>
      </w:tr>
      <w:tr>
        <w:trPr>
          <w:trHeight w:val="176"/>
        </w:trPr>
        <w:tc>
          <w:tcPr>
            <w:tcW w:w="4300" w:type="dxa"/>
            <w:vAlign w:val="bottom"/>
            <w:shd w:val="clear" w:color="auto" w:fill="CCEEFF"/>
          </w:tcPr>
          <w:p>
            <w:pPr>
              <w:jc w:val="right"/>
              <w:ind w:right="3931"/>
              <w:spacing w:after="0"/>
              <w:rPr>
                <w:sz w:val="20"/>
                <w:szCs w:val="20"/>
                <w:color w:val="auto"/>
              </w:rPr>
            </w:pPr>
            <w:r>
              <w:rPr>
                <w:rFonts w:ascii="Arial" w:cs="Arial" w:eastAsia="Arial" w:hAnsi="Arial"/>
                <w:sz w:val="14"/>
                <w:szCs w:val="14"/>
                <w:color w:val="auto"/>
                <w:w w:val="89"/>
              </w:rPr>
              <w:t>2020</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4,220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19,946</w:t>
            </w:r>
          </w:p>
        </w:tc>
      </w:tr>
      <w:tr>
        <w:trPr>
          <w:trHeight w:val="175"/>
        </w:trPr>
        <w:tc>
          <w:tcPr>
            <w:tcW w:w="4300" w:type="dxa"/>
            <w:vAlign w:val="bottom"/>
          </w:tcPr>
          <w:p>
            <w:pPr>
              <w:jc w:val="right"/>
              <w:ind w:right="3931"/>
              <w:spacing w:after="0"/>
              <w:rPr>
                <w:sz w:val="20"/>
                <w:szCs w:val="20"/>
                <w:color w:val="auto"/>
              </w:rPr>
            </w:pPr>
            <w:r>
              <w:rPr>
                <w:rFonts w:ascii="Arial" w:cs="Arial" w:eastAsia="Arial" w:hAnsi="Arial"/>
                <w:sz w:val="14"/>
                <w:szCs w:val="14"/>
                <w:color w:val="auto"/>
                <w:w w:val="89"/>
              </w:rPr>
              <w:t>2021</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8,708</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13,152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11,262</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11,873</w:t>
            </w:r>
          </w:p>
        </w:tc>
        <w:tc>
          <w:tcPr>
            <w:tcW w:w="10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4"/>
                <w:szCs w:val="14"/>
                <w:color w:val="auto"/>
              </w:rPr>
              <w:t>44,995</w:t>
            </w:r>
          </w:p>
        </w:tc>
      </w:tr>
      <w:tr>
        <w:trPr>
          <w:trHeight w:val="176"/>
        </w:trPr>
        <w:tc>
          <w:tcPr>
            <w:tcW w:w="4300" w:type="dxa"/>
            <w:vAlign w:val="bottom"/>
            <w:shd w:val="clear" w:color="auto" w:fill="CCEEFF"/>
          </w:tcPr>
          <w:p>
            <w:pPr>
              <w:jc w:val="right"/>
              <w:ind w:right="3931"/>
              <w:spacing w:after="0"/>
              <w:rPr>
                <w:sz w:val="20"/>
                <w:szCs w:val="20"/>
                <w:color w:val="auto"/>
              </w:rPr>
            </w:pPr>
            <w:r>
              <w:rPr>
                <w:rFonts w:ascii="Arial" w:cs="Arial" w:eastAsia="Arial" w:hAnsi="Arial"/>
                <w:sz w:val="14"/>
                <w:szCs w:val="14"/>
                <w:color w:val="auto"/>
                <w:w w:val="89"/>
              </w:rPr>
              <w:t>2022</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11,296</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N/A</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20,733</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Trends Impacting Financial Results</w:t>
      </w:r>
    </w:p>
    <w:p>
      <w:pPr>
        <w:spacing w:after="0" w:line="169"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Overall, we have experienced considerable sales growth each year since the commercial launch of our first product in the third quarter of 2012, only recognizing an operating profit on a full year basis for the first time in 2021.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49" w:lineRule="exact"/>
        <w:rPr>
          <w:sz w:val="20"/>
          <w:szCs w:val="20"/>
          <w:color w:val="auto"/>
        </w:rPr>
      </w:pPr>
    </w:p>
    <w:p>
      <w:pPr>
        <w:ind w:right="360" w:firstLine="619"/>
        <w:spacing w:after="0" w:line="266" w:lineRule="auto"/>
        <w:rPr>
          <w:sz w:val="20"/>
          <w:szCs w:val="20"/>
          <w:color w:val="auto"/>
        </w:rPr>
      </w:pPr>
      <w:r>
        <w:rPr>
          <w:rFonts w:ascii="Arial" w:cs="Arial" w:eastAsia="Arial" w:hAnsi="Arial"/>
          <w:sz w:val="14"/>
          <w:szCs w:val="14"/>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18" w:lineRule="exact"/>
        <w:rPr>
          <w:sz w:val="20"/>
          <w:szCs w:val="20"/>
          <w:color w:val="auto"/>
        </w:rPr>
      </w:pPr>
    </w:p>
    <w:p>
      <w:pPr>
        <w:ind w:left="860" w:hanging="362"/>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market acceptance of our products and competitive products by people with insulin-dependent diabetes, their caregivers and healthcare providers;</w:t>
      </w:r>
    </w:p>
    <w:p>
      <w:pPr>
        <w:spacing w:after="0" w:line="138" w:lineRule="exact"/>
        <w:rPr>
          <w:rFonts w:ascii="Arial" w:cs="Arial" w:eastAsia="Arial" w:hAnsi="Arial"/>
          <w:sz w:val="14"/>
          <w:szCs w:val="14"/>
          <w:color w:val="auto"/>
        </w:rPr>
      </w:pPr>
    </w:p>
    <w:p>
      <w:pPr>
        <w:ind w:left="860" w:right="660" w:hanging="362"/>
        <w:spacing w:after="0" w:line="266" w:lineRule="auto"/>
        <w:tabs>
          <w:tab w:leader="none" w:pos="8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introduction of new products, treatment techniques or technologies for the treatment of diabetes, including the timing of the commercialization of new products by us and our competitors;</w:t>
      </w:r>
    </w:p>
    <w:p>
      <w:pPr>
        <w:spacing w:after="0" w:line="107" w:lineRule="exact"/>
        <w:rPr>
          <w:rFonts w:ascii="Arial" w:cs="Arial" w:eastAsia="Arial" w:hAnsi="Arial"/>
          <w:sz w:val="14"/>
          <w:szCs w:val="14"/>
          <w:color w:val="auto"/>
        </w:rPr>
      </w:pPr>
    </w:p>
    <w:p>
      <w:pPr>
        <w:ind w:left="860" w:right="220" w:hanging="362"/>
        <w:spacing w:after="0" w:line="266" w:lineRule="auto"/>
        <w:tabs>
          <w:tab w:leader="none" w:pos="856" w:val="left"/>
        </w:tabs>
        <w:numPr>
          <w:ilvl w:val="0"/>
          <w:numId w:val="4"/>
        </w:numPr>
        <w:rPr>
          <w:rFonts w:ascii="Arial" w:cs="Arial" w:eastAsia="Arial" w:hAnsi="Arial"/>
          <w:sz w:val="14"/>
          <w:szCs w:val="14"/>
          <w:color w:val="auto"/>
        </w:rPr>
      </w:pPr>
      <w:r>
        <w:rPr>
          <w:rFonts w:ascii="Arial" w:cs="Arial" w:eastAsia="Arial" w:hAnsi="Arial"/>
          <w:sz w:val="14"/>
          <w:szCs w:val="14"/>
          <w:color w:val="auto"/>
        </w:rPr>
        <w:t>seasonality in the United States associated with annual insurance deductibles and coinsurance requirements associated with the medical insurance plans utilized by our customers and the customers of our distributors;</w:t>
      </w:r>
    </w:p>
    <w:p>
      <w:pPr>
        <w:spacing w:after="0" w:line="117" w:lineRule="exact"/>
        <w:rPr>
          <w:rFonts w:ascii="Arial" w:cs="Arial" w:eastAsia="Arial" w:hAnsi="Arial"/>
          <w:sz w:val="14"/>
          <w:szCs w:val="14"/>
          <w:color w:val="auto"/>
        </w:rPr>
      </w:pPr>
    </w:p>
    <w:p>
      <w:pPr>
        <w:ind w:left="860" w:right="320" w:hanging="362"/>
        <w:spacing w:after="0" w:line="266" w:lineRule="auto"/>
        <w:tabs>
          <w:tab w:leader="none" w:pos="8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incidence of disease or illness, including the COVID-19 global pandemic, that may impact customer purchasing patterns or disrupt our supply chain, or create uncertainty or delay with respect to regulatory approvals;</w:t>
      </w:r>
    </w:p>
    <w:p>
      <w:pPr>
        <w:spacing w:after="0" w:line="107" w:lineRule="exact"/>
        <w:rPr>
          <w:rFonts w:ascii="Arial" w:cs="Arial" w:eastAsia="Arial" w:hAnsi="Arial"/>
          <w:sz w:val="14"/>
          <w:szCs w:val="14"/>
          <w:color w:val="auto"/>
        </w:rPr>
      </w:pPr>
    </w:p>
    <w:p>
      <w:pPr>
        <w:ind w:left="860" w:right="40" w:hanging="362"/>
        <w:spacing w:after="0" w:line="266" w:lineRule="auto"/>
        <w:tabs>
          <w:tab w:leader="none" w:pos="8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timing of holidays and summer vacations, which may vary by geography and may be further influenced by the lifting or relaxation of COVID-19 related restrictions and broader availability of vaccines;</w:t>
      </w:r>
    </w:p>
    <w:p>
      <w:pPr>
        <w:spacing w:after="0" w:line="107" w:lineRule="exact"/>
        <w:rPr>
          <w:rFonts w:ascii="Arial" w:cs="Arial" w:eastAsia="Arial" w:hAnsi="Arial"/>
          <w:sz w:val="14"/>
          <w:szCs w:val="14"/>
          <w:color w:val="auto"/>
        </w:rPr>
      </w:pPr>
    </w:p>
    <w:p>
      <w:pPr>
        <w:ind w:left="860" w:hanging="362"/>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buying patterns of our distributors and other customers;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30" w:name="page31"/>
    <w:bookmarkEnd w:id="30"/>
    <w:p>
      <w:pPr>
        <w:ind w:left="860" w:hanging="362"/>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competitive landscape, including as a result of companies entering or exiting the diabetes therapy market;</w:t>
      </w:r>
    </w:p>
    <w:p>
      <w:pPr>
        <w:spacing w:after="0" w:line="148" w:lineRule="exact"/>
        <w:rPr>
          <w:rFonts w:ascii="Arial" w:cs="Arial" w:eastAsia="Arial" w:hAnsi="Arial"/>
          <w:sz w:val="14"/>
          <w:szCs w:val="14"/>
          <w:color w:val="auto"/>
        </w:rPr>
      </w:pPr>
    </w:p>
    <w:p>
      <w:pPr>
        <w:ind w:left="860" w:hanging="362"/>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access to adequate coverage and reimbursement for our current and future products by third-party payors, and reimbursement decisions by third-party payors;</w:t>
      </w:r>
    </w:p>
    <w:p>
      <w:pPr>
        <w:spacing w:after="0" w:line="138" w:lineRule="exact"/>
        <w:rPr>
          <w:rFonts w:ascii="Arial" w:cs="Arial" w:eastAsia="Arial" w:hAnsi="Arial"/>
          <w:sz w:val="14"/>
          <w:szCs w:val="14"/>
          <w:color w:val="auto"/>
        </w:rPr>
      </w:pPr>
    </w:p>
    <w:p>
      <w:pPr>
        <w:ind w:left="860" w:hanging="362"/>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magnitude and timing of any changes to our facilities, manufacturing operations and other infrastructure, and factors impacting our ability to access our facilities;</w:t>
      </w:r>
    </w:p>
    <w:p>
      <w:pPr>
        <w:spacing w:after="0" w:line="138" w:lineRule="exact"/>
        <w:rPr>
          <w:rFonts w:ascii="Arial" w:cs="Arial" w:eastAsia="Arial" w:hAnsi="Arial"/>
          <w:sz w:val="14"/>
          <w:szCs w:val="14"/>
          <w:color w:val="auto"/>
        </w:rPr>
      </w:pPr>
    </w:p>
    <w:p>
      <w:pPr>
        <w:ind w:left="860" w:right="120" w:hanging="362"/>
        <w:spacing w:after="0" w:line="256" w:lineRule="auto"/>
        <w:tabs>
          <w:tab w:leader="none" w:pos="85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impact of any potential claims, investigations, information requests, or legal, regulatory or administrative proceedings with respect to potential or asserted violations of law, including: sales and marketing practices, anti-corruption and the Foreign Corrupt Practices Act, antitrust, securities, employment, product liability, environmental, data privacy breaches and patent infringement, which may subject us to fines, penalties, expenses, or reputational harm;</w:t>
      </w:r>
    </w:p>
    <w:p>
      <w:pPr>
        <w:spacing w:after="0" w:line="124" w:lineRule="exact"/>
        <w:rPr>
          <w:rFonts w:ascii="Arial" w:cs="Arial" w:eastAsia="Arial" w:hAnsi="Arial"/>
          <w:sz w:val="14"/>
          <w:szCs w:val="14"/>
          <w:color w:val="auto"/>
        </w:rPr>
      </w:pPr>
    </w:p>
    <w:p>
      <w:pPr>
        <w:ind w:left="860" w:hanging="362"/>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anticipated and actual regulatory approvals of our products and competitive products; and</w:t>
      </w:r>
    </w:p>
    <w:p>
      <w:pPr>
        <w:spacing w:after="0" w:line="138" w:lineRule="exact"/>
        <w:rPr>
          <w:rFonts w:ascii="Arial" w:cs="Arial" w:eastAsia="Arial" w:hAnsi="Arial"/>
          <w:sz w:val="14"/>
          <w:szCs w:val="14"/>
          <w:color w:val="auto"/>
        </w:rPr>
      </w:pPr>
    </w:p>
    <w:p>
      <w:pPr>
        <w:ind w:left="860" w:hanging="362"/>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 recalls impacting, or the suspension or withdrawal of regulatory clearance or approval relating to, our products or the products of our competitors.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addition to these general trends, we believe the following specific factors have materially impacted, and could continue to materially impact, our business going forward:</w:t>
      </w:r>
    </w:p>
    <w:p>
      <w:pPr>
        <w:spacing w:after="0" w:line="148" w:lineRule="exact"/>
        <w:rPr>
          <w:sz w:val="20"/>
          <w:szCs w:val="20"/>
          <w:color w:val="auto"/>
        </w:rPr>
      </w:pPr>
    </w:p>
    <w:p>
      <w:pPr>
        <w:ind w:left="860" w:hanging="362"/>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customer purchasing behavior due to the economic environment such as inflation or threat of recession;</w:t>
      </w:r>
    </w:p>
    <w:p>
      <w:pPr>
        <w:spacing w:after="0" w:line="138" w:lineRule="exact"/>
        <w:rPr>
          <w:rFonts w:ascii="Arial" w:cs="Arial" w:eastAsia="Arial" w:hAnsi="Arial"/>
          <w:sz w:val="14"/>
          <w:szCs w:val="14"/>
          <w:color w:val="auto"/>
        </w:rPr>
      </w:pPr>
    </w:p>
    <w:p>
      <w:pPr>
        <w:ind w:left="860" w:hanging="362"/>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anticipated new product launches and the timing of their commercial availability;</w:t>
      </w:r>
    </w:p>
    <w:p>
      <w:pPr>
        <w:spacing w:after="0" w:line="138" w:lineRule="exact"/>
        <w:rPr>
          <w:rFonts w:ascii="Arial" w:cs="Arial" w:eastAsia="Arial" w:hAnsi="Arial"/>
          <w:sz w:val="14"/>
          <w:szCs w:val="14"/>
          <w:color w:val="auto"/>
        </w:rPr>
      </w:pPr>
    </w:p>
    <w:p>
      <w:pPr>
        <w:ind w:left="860" w:hanging="362"/>
        <w:spacing w:after="0"/>
        <w:tabs>
          <w:tab w:leader="none" w:pos="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disruptions caused by the COVID-19 global pandemic on suppliers, third-party manufacturers, healthcare providers, distributors and our existing or potential customers;</w:t>
      </w:r>
    </w:p>
    <w:p>
      <w:pPr>
        <w:spacing w:after="0" w:line="159" w:lineRule="exact"/>
        <w:rPr>
          <w:rFonts w:ascii="Arial" w:cs="Arial" w:eastAsia="Arial" w:hAnsi="Arial"/>
          <w:sz w:val="13"/>
          <w:szCs w:val="13"/>
          <w:color w:val="auto"/>
        </w:rPr>
      </w:pPr>
    </w:p>
    <w:p>
      <w:pPr>
        <w:ind w:left="860" w:right="140" w:hanging="362"/>
        <w:spacing w:after="0" w:line="266" w:lineRule="auto"/>
        <w:tabs>
          <w:tab w:leader="none" w:pos="856"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continued increase in demand following the commercial launch of t:slim X2 with Control-IQ technology in additional geographies, and the ability to access new pump software using our Tandem Device Updater;</w:t>
      </w:r>
    </w:p>
    <w:p>
      <w:pPr>
        <w:spacing w:after="0" w:line="107" w:lineRule="exact"/>
        <w:rPr>
          <w:rFonts w:ascii="Arial" w:cs="Arial" w:eastAsia="Arial" w:hAnsi="Arial"/>
          <w:sz w:val="14"/>
          <w:szCs w:val="14"/>
          <w:color w:val="auto"/>
        </w:rPr>
      </w:pPr>
    </w:p>
    <w:p>
      <w:pPr>
        <w:ind w:left="860" w:right="600" w:hanging="362"/>
        <w:spacing w:after="0" w:line="266" w:lineRule="auto"/>
        <w:tabs>
          <w:tab w:leader="none" w:pos="8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increased opportunity to achieve customer renewals as customers become eligible for insurance reimbursement to purchase a new insulin pump at the end of the typical four-year reimbursement cycle;</w:t>
      </w:r>
    </w:p>
    <w:p>
      <w:pPr>
        <w:spacing w:after="0" w:line="107" w:lineRule="exact"/>
        <w:rPr>
          <w:rFonts w:ascii="Arial" w:cs="Arial" w:eastAsia="Arial" w:hAnsi="Arial"/>
          <w:sz w:val="14"/>
          <w:szCs w:val="14"/>
          <w:color w:val="auto"/>
        </w:rPr>
      </w:pPr>
    </w:p>
    <w:p>
      <w:pPr>
        <w:ind w:left="860" w:hanging="362"/>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ability to enter into, maintain agreements, and accomplish continued success in current and future product integrations with CGM partners;</w:t>
      </w:r>
    </w:p>
    <w:p>
      <w:pPr>
        <w:spacing w:after="0" w:line="148" w:lineRule="exact"/>
        <w:rPr>
          <w:rFonts w:ascii="Arial" w:cs="Arial" w:eastAsia="Arial" w:hAnsi="Arial"/>
          <w:sz w:val="14"/>
          <w:szCs w:val="14"/>
          <w:color w:val="auto"/>
        </w:rPr>
      </w:pPr>
    </w:p>
    <w:p>
      <w:pPr>
        <w:ind w:left="860" w:hanging="362"/>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expansion and new product launches in select geographies outside the United States, including initial orders to stock inventories; and</w:t>
      </w:r>
    </w:p>
    <w:p>
      <w:pPr>
        <w:spacing w:after="0" w:line="138" w:lineRule="exact"/>
        <w:rPr>
          <w:rFonts w:ascii="Arial" w:cs="Arial" w:eastAsia="Arial" w:hAnsi="Arial"/>
          <w:sz w:val="14"/>
          <w:szCs w:val="14"/>
          <w:color w:val="auto"/>
        </w:rPr>
      </w:pPr>
    </w:p>
    <w:p>
      <w:pPr>
        <w:ind w:left="860" w:right="200" w:hanging="362"/>
        <w:spacing w:after="0" w:line="266" w:lineRule="auto"/>
        <w:tabs>
          <w:tab w:leader="none" w:pos="856" w:val="left"/>
        </w:tabs>
        <w:numPr>
          <w:ilvl w:val="0"/>
          <w:numId w:val="6"/>
        </w:numPr>
        <w:rPr>
          <w:rFonts w:ascii="Arial" w:cs="Arial" w:eastAsia="Arial" w:hAnsi="Arial"/>
          <w:sz w:val="14"/>
          <w:szCs w:val="14"/>
          <w:color w:val="auto"/>
        </w:rPr>
      </w:pPr>
      <w:r>
        <w:rPr>
          <w:rFonts w:ascii="Arial" w:cs="Arial" w:eastAsia="Arial" w:hAnsi="Arial"/>
          <w:sz w:val="14"/>
          <w:szCs w:val="14"/>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07"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In addition to working to achieve our sales growth expectations, in the long-term we intend to continue to leverage our infrastructure investments to realize additional manufacturing, sales, marketing and administrative cost efficiencies with the goal of improving our operating margins and ultimately achieving sustained profitability. While we have achieved profitability in each fourth quarter since 2018, we were profitable for the first time on a full-year basis in 2021. We believe we can ultimately achieve sustained profitability by driving incremental sales growth in markets worldwide, meeting our pump renewal sales objectives, maximizing manufacturing efficiencies on increased production volumes, and leveraging the investments made in our sales, clinical, marketing and customer support organizations.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w:t>
      </w:r>
    </w:p>
    <w:p>
      <w:pPr>
        <w:spacing w:after="0" w:line="169"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insulin cartridges and infusion sets, as well as our complementary t:connect, TDU and mobile application products. We also offer additional accessories including protective cases, belt clips, and power adapters, although sales of these products are not significant.</w:t>
      </w:r>
    </w:p>
    <w:p>
      <w:pPr>
        <w:spacing w:after="0" w:line="148" w:lineRule="exact"/>
        <w:rPr>
          <w:sz w:val="20"/>
          <w:szCs w:val="20"/>
          <w:color w:val="auto"/>
        </w:rPr>
      </w:pPr>
    </w:p>
    <w:p>
      <w:pPr>
        <w:ind w:right="180" w:firstLine="619"/>
        <w:spacing w:after="0" w:line="251" w:lineRule="auto"/>
        <w:rPr>
          <w:sz w:val="20"/>
          <w:szCs w:val="20"/>
          <w:color w:val="auto"/>
        </w:rPr>
      </w:pPr>
      <w:r>
        <w:rPr>
          <w:rFonts w:ascii="Arial" w:cs="Arial" w:eastAsia="Arial" w:hAnsi="Arial"/>
          <w:sz w:val="14"/>
          <w:szCs w:val="14"/>
          <w:color w:val="auto"/>
        </w:rPr>
        <w:t>In the United States, 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we can continue to increase sales by promoting our products to a greater number of potential customers, caregivers and healthcare providers, although pressures related to the broader economic environment and the COVID-19 global pandemic have had, and may continue to have, an adverse impact on our sales.</w:t>
      </w:r>
    </w:p>
    <w:p>
      <w:pPr>
        <w:spacing w:after="0" w:line="148" w:lineRule="exact"/>
        <w:rPr>
          <w:sz w:val="20"/>
          <w:szCs w:val="20"/>
          <w:color w:val="auto"/>
        </w:rPr>
      </w:pPr>
    </w:p>
    <w:p>
      <w:pPr>
        <w:ind w:right="60" w:firstLine="619"/>
        <w:spacing w:after="0" w:line="271" w:lineRule="auto"/>
        <w:rPr>
          <w:sz w:val="20"/>
          <w:szCs w:val="20"/>
          <w:color w:val="auto"/>
        </w:rPr>
      </w:pPr>
      <w:r>
        <w:rPr>
          <w:rFonts w:ascii="Arial" w:cs="Arial" w:eastAsia="Arial" w:hAnsi="Arial"/>
          <w:sz w:val="13"/>
          <w:szCs w:val="13"/>
          <w:color w:val="auto"/>
        </w:rPr>
        <w:t>In the third quarter of 2018, we began the launch of our t:slim X2 hardware platform through distribution partners outside the United States. Our products are now sold in more than 20 countries, including in Canada, France and Germany. Today, distributor orders are fulfilled in the United States. In the first half of 2022, we laid the commercial and operational groundwork, as well as the IT infrastructure, to begin working with a third-party logistics service provider in the Netherlands to support our distributors in Europe with the intent to scale utilization in the next twelve months. Our independent distributor partners outside the United States and Canada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markets outside the United States based on a number of factors, such as the geographical mix, nature of the reimbursement environment, government regulations and the extent to which we rely on distributor relationships to provide sales, clinical and marketing support.</w:t>
      </w:r>
    </w:p>
    <w:p>
      <w:pPr>
        <w:spacing w:after="0" w:line="139" w:lineRule="exact"/>
        <w:rPr>
          <w:sz w:val="20"/>
          <w:szCs w:val="20"/>
          <w:color w:val="auto"/>
        </w:rPr>
      </w:pPr>
    </w:p>
    <w:p>
      <w:pPr>
        <w:ind w:firstLine="619"/>
        <w:spacing w:after="0" w:line="343" w:lineRule="auto"/>
        <w:rPr>
          <w:sz w:val="20"/>
          <w:szCs w:val="20"/>
          <w:color w:val="auto"/>
        </w:rPr>
      </w:pPr>
      <w:r>
        <w:rPr>
          <w:rFonts w:ascii="Arial" w:cs="Arial" w:eastAsia="Arial" w:hAnsi="Arial"/>
          <w:sz w:val="11"/>
          <w:szCs w:val="11"/>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pump shipments in the United States have typically decreased significantly from the fourth quarter to the following first quarter. Outside the United States, we do not expect this same impact from seasonality associated with reimbursement, although the quarterly sales trends may be impacted by a number of other factors, including summer vacations, the timing of product launches into new geographies and variability in the ordering patterns of our distributor partners.</w:t>
      </w:r>
    </w:p>
    <w:p>
      <w:pPr>
        <w:spacing w:after="0" w:line="102"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color w:val="auto"/>
        </w:rPr>
        <w:t>Since early 2020, the COVID-19 global pandemic had a major impact on businesses around the world, as well as our own quarterly trends. Initially, the impact on our business was relatively consistent worldwide but we have since seen varying degrees of impact in individual markets based on local conditions. We anticipate that our sales may not follow historical trends and may be subject to unpredictable variability in the coming months based on varying levels of impact of the global pandemic across the markets in which we operate.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48" w:lineRule="exact"/>
        <w:rPr>
          <w:sz w:val="20"/>
          <w:szCs w:val="20"/>
          <w:color w:val="auto"/>
        </w:rPr>
      </w:pPr>
    </w:p>
    <w:p>
      <w:pPr>
        <w:ind w:right="20" w:firstLine="619"/>
        <w:spacing w:after="0" w:line="272" w:lineRule="auto"/>
        <w:rPr>
          <w:sz w:val="20"/>
          <w:szCs w:val="20"/>
          <w:color w:val="auto"/>
        </w:rPr>
      </w:pPr>
      <w:r>
        <w:rPr>
          <w:rFonts w:ascii="Arial" w:cs="Arial" w:eastAsia="Arial" w:hAnsi="Arial"/>
          <w:sz w:val="13"/>
          <w:szCs w:val="13"/>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example, we believe certain customers paused their decision-making during the second half of 2019 in anticipation of the commercial availability of the t:slim X2 with Control-IQ technology, and similar occurrences may occur in future periods. However, it is difficult to quantify the extent of the impact of these or similar events on future purchasing decisions.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4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Cost of Sales</w:t>
      </w:r>
    </w:p>
    <w:p>
      <w:pPr>
        <w:spacing w:after="0" w:line="169"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Historically, we have manufactured our pumps and disposable insulin cartridges at our manufacturing facility in San Diego, California. In early 2020, our third-party cartridge manufacturer completed validation and commenced commercial-scale manufacturing to supplement our existing cartridge manufacturing capacity. By the end of 2021, the majority of our t:slim cartridge manufacturing capacity transitioned to our partner in order to create capacity for Tandem Mobi cartridge manufacturing in the future.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w:t>
      </w:r>
    </w:p>
    <w:p>
      <w:pPr>
        <w:spacing w:after="0" w:line="139" w:lineRule="exact"/>
        <w:rPr>
          <w:sz w:val="20"/>
          <w:szCs w:val="20"/>
          <w:color w:val="auto"/>
        </w:rPr>
      </w:pPr>
    </w:p>
    <w:p>
      <w:pPr>
        <w:ind w:right="20" w:firstLine="619"/>
        <w:spacing w:after="0" w:line="321" w:lineRule="auto"/>
        <w:rPr>
          <w:sz w:val="20"/>
          <w:szCs w:val="20"/>
          <w:color w:val="auto"/>
        </w:rPr>
      </w:pPr>
      <w:r>
        <w:rPr>
          <w:rFonts w:ascii="Arial" w:cs="Arial" w:eastAsia="Arial" w:hAnsi="Arial"/>
          <w:sz w:val="11"/>
          <w:szCs w:val="11"/>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could have a significant impact on our overall gross margin percentage. In the event that customers delay their pump purchasing decisions or physicians pause in prescribing new pumps,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implemented temporary operational changes that introduced variability to our cost of sales, such as supplemental staffing, incremental expenses to protect the health, safety and welfare of our employees working on-site and to enable other employees to work remotely. We are also experiencing higher costs as we manage global supply challenges and anticipate that this will continue for the remainder of 2022. In addition, as demand for our products increases, we may continue to make additional investments in manufacturing capacity or increase our reliance on third parties for manufacturing-related services, either of which could have a negative impact on our gross margins. Specifically, we have and will continue to evaluate investing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280" w:lineRule="exact"/>
        <w:rPr>
          <w:sz w:val="20"/>
          <w:szCs w:val="20"/>
          <w:color w:val="auto"/>
        </w:rPr>
      </w:pPr>
    </w:p>
    <w:p>
      <w:pPr>
        <w:ind w:firstLine="619"/>
        <w:spacing w:after="0" w:line="278" w:lineRule="auto"/>
        <w:rPr>
          <w:sz w:val="20"/>
          <w:szCs w:val="20"/>
          <w:color w:val="auto"/>
        </w:rPr>
      </w:pPr>
      <w:r>
        <w:rPr>
          <w:rFonts w:ascii="Arial" w:cs="Arial" w:eastAsia="Arial" w:hAnsi="Arial"/>
          <w:sz w:val="13"/>
          <w:szCs w:val="13"/>
          <w:color w:val="auto"/>
        </w:rPr>
        <w:t>Other factors impacting our overall gross margin percentage may include the changing percentage of products sold to distributors versus directly to individual customers, varying levels of reimbursement among third-party payors in individual markets worldwide,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38"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had approximately 110 sales territories in the United States in the first quarter of 2022, up from approximately 95 in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33" w:name="page34"/>
    <w:bookmarkEnd w:id="33"/>
    <w:p>
      <w:pPr>
        <w:ind w:right="20" w:firstLine="619"/>
        <w:spacing w:after="0" w:line="249" w:lineRule="auto"/>
        <w:rPr>
          <w:sz w:val="20"/>
          <w:szCs w:val="20"/>
          <w:color w:val="auto"/>
        </w:rPr>
      </w:pPr>
      <w:r>
        <w:rPr>
          <w:rFonts w:ascii="Arial" w:cs="Arial" w:eastAsia="Arial" w:hAnsi="Arial"/>
          <w:sz w:val="14"/>
          <w:szCs w:val="14"/>
          <w:color w:val="auto"/>
        </w:rPr>
        <w:t>Other significant SG&amp;A expenses typically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While we experienced reduced spending in areas such as travel and trade shows in 2021 due to the COVID-19 global pandemic, we may experience additional costs as our employees return to work at our offices and as we adapt to alternative hybrid work models, or as needed to respond to general labor shortages and heightened competition for employees with specialized skills. Overall, we expect our SG&amp;A expenses, including the cost of our customer support infrastructure, to continue to increase as our customer base grows worldwide. In addition, we will continue to evaluate, and may further increase, the number of our field sales and clinical personnel in order to optimize the coverage of our existing territories. In the longer term, SG&amp;A expenses may also increase due to anticipated costs associated with additional compliance and regulatory reporting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69" w:lineRule="exact"/>
        <w:rPr>
          <w:sz w:val="20"/>
          <w:szCs w:val="20"/>
          <w:color w:val="auto"/>
        </w:rPr>
      </w:pPr>
    </w:p>
    <w:p>
      <w:pPr>
        <w:ind w:right="120" w:firstLine="619"/>
        <w:spacing w:after="0" w:line="274" w:lineRule="auto"/>
        <w:rPr>
          <w:sz w:val="20"/>
          <w:szCs w:val="20"/>
          <w:color w:val="auto"/>
        </w:rPr>
      </w:pPr>
      <w:r>
        <w:rPr>
          <w:rFonts w:ascii="Arial" w:cs="Arial" w:eastAsia="Arial" w:hAnsi="Arial"/>
          <w:sz w:val="13"/>
          <w:szCs w:val="13"/>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138" w:lineRule="exact"/>
        <w:rPr>
          <w:sz w:val="20"/>
          <w:szCs w:val="20"/>
          <w:color w:val="auto"/>
        </w:rPr>
      </w:pPr>
    </w:p>
    <w:p>
      <w:pPr>
        <w:ind w:right="80" w:firstLine="619"/>
        <w:spacing w:after="0" w:line="278" w:lineRule="auto"/>
        <w:rPr>
          <w:sz w:val="20"/>
          <w:szCs w:val="20"/>
          <w:color w:val="auto"/>
        </w:rPr>
      </w:pPr>
      <w:r>
        <w:rPr>
          <w:rFonts w:ascii="Arial" w:cs="Arial" w:eastAsia="Arial" w:hAnsi="Arial"/>
          <w:sz w:val="13"/>
          <w:szCs w:val="13"/>
          <w:color w:val="auto"/>
        </w:rPr>
        <w:t>Other income and expense primarily consists of interest expense which includes the amortization of debt issuance costs related to our 1.50% Convertible Senior Notes due 2025, changes in the fair value of certain warrants issued in connection with our public offering of common stock in October 2017, and interest earned on our cash equivalents and short-term investments. We expect interest expense in future quarters to be comparable with the amount expensed in 2021, through the date of conversion or redemption of the Notes. We expect the revaluation of the outstanding Series A warrants will not have a significant impact on our other income and expense through their expiration in the fourth quarter of 2022.</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 (Benefit)</w:t>
      </w:r>
    </w:p>
    <w:p>
      <w:pPr>
        <w:spacing w:after="0" w:line="19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4"/>
          <w:szCs w:val="14"/>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5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Results of Operations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60" w:type="dxa"/>
            <w:vAlign w:val="bottom"/>
            <w:gridSpan w:val="3"/>
          </w:tcPr>
          <w:p>
            <w:pPr>
              <w:jc w:val="right"/>
              <w:ind w:right="51"/>
              <w:spacing w:after="0"/>
              <w:rPr>
                <w:sz w:val="20"/>
                <w:szCs w:val="20"/>
                <w:color w:val="auto"/>
              </w:rPr>
            </w:pPr>
            <w:r>
              <w:rPr>
                <w:rFonts w:ascii="Arial" w:cs="Arial" w:eastAsia="Arial" w:hAnsi="Arial"/>
                <w:sz w:val="11"/>
                <w:szCs w:val="11"/>
                <w:b w:val="1"/>
                <w:bCs w:val="1"/>
                <w:color w:val="auto"/>
              </w:rPr>
              <w:t>Three Months Ended</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gridSpan w:val="3"/>
            <w:vMerge w:val="restart"/>
          </w:tcPr>
          <w:p>
            <w:pPr>
              <w:jc w:val="center"/>
              <w:ind w:left="393"/>
              <w:spacing w:after="0"/>
              <w:rPr>
                <w:sz w:val="20"/>
                <w:szCs w:val="20"/>
                <w:color w:val="auto"/>
              </w:rPr>
            </w:pPr>
            <w:r>
              <w:rPr>
                <w:rFonts w:ascii="Arial" w:cs="Arial" w:eastAsia="Arial" w:hAnsi="Arial"/>
                <w:sz w:val="11"/>
                <w:szCs w:val="11"/>
                <w:b w:val="1"/>
                <w:bCs w:val="1"/>
                <w:color w:val="auto"/>
                <w:w w:val="91"/>
              </w:rPr>
              <w:t>Six Months Ended June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1"/>
                <w:szCs w:val="11"/>
                <w:b w:val="1"/>
                <w:bCs w:val="1"/>
                <w:color w:val="auto"/>
              </w:rPr>
              <w:t>June 30,</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240" w:type="dxa"/>
            <w:vAlign w:val="bottom"/>
            <w:tcBorders>
              <w:bottom w:val="single" w:sz="8" w:color="CFF0FC"/>
            </w:tcBorders>
          </w:tcPr>
          <w:p>
            <w:pPr>
              <w:ind w:left="20"/>
              <w:spacing w:after="0" w:line="122" w:lineRule="exact"/>
              <w:rPr>
                <w:sz w:val="20"/>
                <w:szCs w:val="20"/>
                <w:color w:val="auto"/>
              </w:rPr>
            </w:pPr>
            <w:r>
              <w:rPr>
                <w:rFonts w:ascii="Arial" w:cs="Arial" w:eastAsia="Arial" w:hAnsi="Arial"/>
                <w:sz w:val="11"/>
                <w:szCs w:val="11"/>
                <w:b w:val="1"/>
                <w:bCs w:val="1"/>
                <w:color w:val="auto"/>
              </w:rPr>
              <w:t>(in thousands, except percentages)</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w w:val="81"/>
              </w:rPr>
              <w:t>2021</w:t>
            </w:r>
          </w:p>
        </w:tc>
        <w:tc>
          <w:tcPr>
            <w:tcW w:w="0" w:type="dxa"/>
            <w:vAlign w:val="bottom"/>
          </w:tcPr>
          <w:p>
            <w:pPr>
              <w:spacing w:after="0"/>
              <w:rPr>
                <w:sz w:val="1"/>
                <w:szCs w:val="1"/>
                <w:color w:val="auto"/>
              </w:rPr>
            </w:pPr>
          </w:p>
        </w:tc>
      </w:tr>
      <w:tr>
        <w:trPr>
          <w:trHeight w:val="157"/>
        </w:trPr>
        <w:tc>
          <w:tcPr>
            <w:tcW w:w="52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Sales:</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93"/>
              <w:spacing w:after="0"/>
              <w:rPr>
                <w:sz w:val="20"/>
                <w:szCs w:val="20"/>
                <w:color w:val="auto"/>
              </w:rPr>
            </w:pPr>
            <w:r>
              <w:rPr>
                <w:rFonts w:ascii="Arial" w:cs="Arial" w:eastAsia="Arial" w:hAnsi="Arial"/>
                <w:sz w:val="14"/>
                <w:szCs w:val="14"/>
                <w:color w:val="auto"/>
              </w:rPr>
              <w:t>145,667</w:t>
            </w:r>
          </w:p>
        </w:tc>
        <w:tc>
          <w:tcPr>
            <w:tcW w:w="10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127,580</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276,950</w:t>
            </w:r>
          </w:p>
        </w:tc>
        <w:tc>
          <w:tcPr>
            <w:tcW w:w="700" w:type="dxa"/>
            <w:vAlign w:val="bottom"/>
            <w:gridSpan w:val="2"/>
          </w:tcPr>
          <w:p>
            <w:pPr>
              <w:jc w:val="right"/>
              <w:ind w:right="4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230,919</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Outside the United States</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54,595</w:t>
            </w:r>
          </w:p>
        </w:tc>
        <w:tc>
          <w:tcPr>
            <w:tcW w:w="10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44,559</w:t>
            </w:r>
          </w:p>
        </w:tc>
        <w:tc>
          <w:tcPr>
            <w:tcW w:w="8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99,219</w:t>
            </w:r>
          </w:p>
        </w:tc>
        <w:tc>
          <w:tcPr>
            <w:tcW w:w="10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rPr>
              <w:t>82,257</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line="155" w:lineRule="exact"/>
              <w:rPr>
                <w:sz w:val="20"/>
                <w:szCs w:val="20"/>
                <w:color w:val="auto"/>
              </w:rPr>
            </w:pPr>
            <w:r>
              <w:rPr>
                <w:rFonts w:ascii="Arial" w:cs="Arial" w:eastAsia="Arial" w:hAnsi="Arial"/>
                <w:sz w:val="14"/>
                <w:szCs w:val="14"/>
                <w:color w:val="auto"/>
              </w:rPr>
              <w:t>Total sales</w:t>
            </w:r>
          </w:p>
        </w:tc>
        <w:tc>
          <w:tcPr>
            <w:tcW w:w="38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color w:val="auto"/>
              </w:rPr>
              <w:t>200,262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172,139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376,169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313,176</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98,316</w:t>
            </w:r>
          </w:p>
        </w:tc>
        <w:tc>
          <w:tcPr>
            <w:tcW w:w="10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79,685</w:t>
            </w:r>
          </w:p>
        </w:tc>
        <w:tc>
          <w:tcPr>
            <w:tcW w:w="8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183,130</w:t>
            </w:r>
          </w:p>
        </w:tc>
        <w:tc>
          <w:tcPr>
            <w:tcW w:w="10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rPr>
              <w:t>147,435</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line="155" w:lineRule="exact"/>
              <w:rPr>
                <w:sz w:val="20"/>
                <w:szCs w:val="20"/>
                <w:color w:val="auto"/>
              </w:rPr>
            </w:pPr>
            <w:r>
              <w:rPr>
                <w:rFonts w:ascii="Arial" w:cs="Arial" w:eastAsia="Arial" w:hAnsi="Arial"/>
                <w:sz w:val="14"/>
                <w:szCs w:val="14"/>
                <w:color w:val="auto"/>
              </w:rPr>
              <w:t>Gross profit</w:t>
            </w:r>
          </w:p>
        </w:tc>
        <w:tc>
          <w:tcPr>
            <w:tcW w:w="38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color w:val="auto"/>
              </w:rPr>
              <w:t>101,946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92,454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193,039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165,741</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Gross margin</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54 %</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93"/>
              <w:spacing w:after="0"/>
              <w:rPr>
                <w:sz w:val="20"/>
                <w:szCs w:val="20"/>
                <w:color w:val="auto"/>
              </w:rPr>
            </w:pPr>
            <w:r>
              <w:rPr>
                <w:rFonts w:ascii="Arial" w:cs="Arial" w:eastAsia="Arial" w:hAnsi="Arial"/>
                <w:sz w:val="14"/>
                <w:szCs w:val="14"/>
                <w:color w:val="auto"/>
              </w:rPr>
              <w:t>80,614</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12"/>
              <w:spacing w:after="0"/>
              <w:rPr>
                <w:sz w:val="20"/>
                <w:szCs w:val="20"/>
                <w:color w:val="auto"/>
              </w:rPr>
            </w:pPr>
            <w:r>
              <w:rPr>
                <w:rFonts w:ascii="Arial" w:cs="Arial" w:eastAsia="Arial" w:hAnsi="Arial"/>
                <w:sz w:val="14"/>
                <w:szCs w:val="14"/>
                <w:color w:val="auto"/>
              </w:rPr>
              <w:t>66,523</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3"/>
              <w:spacing w:after="0"/>
              <w:rPr>
                <w:sz w:val="20"/>
                <w:szCs w:val="20"/>
                <w:color w:val="auto"/>
              </w:rPr>
            </w:pPr>
            <w:r>
              <w:rPr>
                <w:rFonts w:ascii="Arial" w:cs="Arial" w:eastAsia="Arial" w:hAnsi="Arial"/>
                <w:sz w:val="14"/>
                <w:szCs w:val="14"/>
                <w:color w:val="auto"/>
              </w:rPr>
              <w:t>153,885</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125,086</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Research and development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33,571</w:t>
            </w:r>
          </w:p>
        </w:tc>
        <w:tc>
          <w:tcPr>
            <w:tcW w:w="10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20,499</w:t>
            </w:r>
          </w:p>
        </w:tc>
        <w:tc>
          <w:tcPr>
            <w:tcW w:w="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66,731</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38,460</w:t>
            </w:r>
          </w:p>
        </w:tc>
        <w:tc>
          <w:tcPr>
            <w:tcW w:w="0" w:type="dxa"/>
            <w:vAlign w:val="bottom"/>
          </w:tcPr>
          <w:p>
            <w:pPr>
              <w:spacing w:after="0"/>
              <w:rPr>
                <w:sz w:val="1"/>
                <w:szCs w:val="1"/>
                <w:color w:val="auto"/>
              </w:rPr>
            </w:pPr>
          </w:p>
        </w:tc>
      </w:tr>
      <w:tr>
        <w:trPr>
          <w:trHeight w:val="166"/>
        </w:trPr>
        <w:tc>
          <w:tcPr>
            <w:tcW w:w="52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114,185</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87,022</w:t>
            </w:r>
          </w:p>
        </w:tc>
        <w:tc>
          <w:tcPr>
            <w:tcW w:w="8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220,616</w:t>
            </w:r>
          </w:p>
        </w:tc>
        <w:tc>
          <w:tcPr>
            <w:tcW w:w="1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rPr>
              <w:t>163,546</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line="155" w:lineRule="exact"/>
              <w:rPr>
                <w:sz w:val="20"/>
                <w:szCs w:val="20"/>
                <w:color w:val="auto"/>
              </w:rPr>
            </w:pPr>
            <w:r>
              <w:rPr>
                <w:rFonts w:ascii="Arial" w:cs="Arial" w:eastAsia="Arial" w:hAnsi="Arial"/>
                <w:sz w:val="14"/>
                <w:szCs w:val="14"/>
                <w:color w:val="auto"/>
              </w:rPr>
              <w:t>Operating loss</w:t>
            </w:r>
          </w:p>
        </w:tc>
        <w:tc>
          <w:tcPr>
            <w:tcW w:w="3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(12,239)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5,432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(27,577)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rPr>
                <w:sz w:val="20"/>
                <w:szCs w:val="20"/>
                <w:color w:val="auto"/>
              </w:rPr>
            </w:pPr>
            <w:r>
              <w:rPr>
                <w:rFonts w:ascii="Arial" w:cs="Arial" w:eastAsia="Arial" w:hAnsi="Arial"/>
                <w:sz w:val="14"/>
                <w:szCs w:val="14"/>
                <w:color w:val="auto"/>
              </w:rPr>
              <w:t>Interest income and other, net</w:t>
            </w:r>
          </w:p>
        </w:tc>
        <w:tc>
          <w:tcPr>
            <w:tcW w:w="38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73"/>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rPr>
              <w:t>(1,509)</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Change in fair value of common stock warrants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(272)</w:t>
            </w:r>
          </w:p>
        </w:tc>
        <w:tc>
          <w:tcPr>
            <w:tcW w:w="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66"/>
        </w:trPr>
        <w:tc>
          <w:tcPr>
            <w:tcW w:w="52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Total other expense, net</w:t>
            </w:r>
          </w:p>
        </w:tc>
        <w:tc>
          <w:tcPr>
            <w:tcW w:w="3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rPr>
              <w:t>(1,363)</w:t>
            </w:r>
          </w:p>
        </w:tc>
        <w:tc>
          <w:tcPr>
            <w:tcW w:w="8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(3,287)</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(12,950)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4,069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(29,389)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60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expense (benefit)</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61</w:t>
            </w:r>
          </w:p>
        </w:tc>
        <w:tc>
          <w:tcPr>
            <w:tcW w:w="8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(15,056)</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(29,771)</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Three Months Ended June 30, 2022 and 2021</w:t>
      </w:r>
    </w:p>
    <w:p>
      <w:pPr>
        <w:spacing w:after="0" w:line="173" w:lineRule="exact"/>
        <w:rPr>
          <w:sz w:val="20"/>
          <w:szCs w:val="20"/>
          <w:color w:val="auto"/>
        </w:rPr>
      </w:pPr>
    </w:p>
    <w:p>
      <w:pPr>
        <w:ind w:right="220" w:firstLine="619"/>
        <w:spacing w:after="0" w:line="266" w:lineRule="auto"/>
        <w:rPr>
          <w:sz w:val="20"/>
          <w:szCs w:val="20"/>
          <w:color w:val="auto"/>
        </w:rPr>
      </w:pPr>
      <w:r>
        <w:rPr>
          <w:rFonts w:ascii="Arial" w:cs="Arial" w:eastAsia="Arial" w:hAnsi="Arial"/>
          <w:sz w:val="14"/>
          <w:szCs w:val="14"/>
          <w:i w:val="1"/>
          <w:iCs w:val="1"/>
          <w:color w:val="auto"/>
        </w:rPr>
        <w:t>Sales</w:t>
      </w:r>
      <w:r>
        <w:rPr>
          <w:rFonts w:ascii="Arial" w:cs="Arial" w:eastAsia="Arial" w:hAnsi="Arial"/>
          <w:sz w:val="14"/>
          <w:szCs w:val="14"/>
          <w:color w:val="auto"/>
        </w:rPr>
        <w:t>. For the three months ended June 30, 2022, sales were $200.3 million, which included $54.6 million of sales outside the United States. Sales were $172.1 million for the same period in</w:t>
      </w:r>
      <w:r>
        <w:rPr>
          <w:rFonts w:ascii="Arial" w:cs="Arial" w:eastAsia="Arial" w:hAnsi="Arial"/>
          <w:sz w:val="14"/>
          <w:szCs w:val="14"/>
          <w:i w:val="1"/>
          <w:iCs w:val="1"/>
          <w:color w:val="auto"/>
        </w:rPr>
        <w:t xml:space="preserve"> </w:t>
      </w:r>
      <w:r>
        <w:rPr>
          <w:rFonts w:ascii="Arial" w:cs="Arial" w:eastAsia="Arial" w:hAnsi="Arial"/>
          <w:sz w:val="14"/>
          <w:szCs w:val="14"/>
          <w:color w:val="auto"/>
        </w:rPr>
        <w:t>2021, which included $44.6 million of sales outside the United States.</w:t>
      </w:r>
    </w:p>
    <w:p>
      <w:pPr>
        <w:spacing w:after="0" w:line="159" w:lineRule="exact"/>
        <w:rPr>
          <w:sz w:val="20"/>
          <w:szCs w:val="20"/>
          <w:color w:val="auto"/>
        </w:rPr>
      </w:pPr>
    </w:p>
    <w:p>
      <w:pPr>
        <w:ind w:right="100" w:firstLine="619"/>
        <w:spacing w:after="0" w:line="305" w:lineRule="auto"/>
        <w:rPr>
          <w:sz w:val="20"/>
          <w:szCs w:val="20"/>
          <w:color w:val="auto"/>
        </w:rPr>
      </w:pPr>
      <w:r>
        <w:rPr>
          <w:rFonts w:ascii="Arial" w:cs="Arial" w:eastAsia="Arial" w:hAnsi="Arial"/>
          <w:sz w:val="13"/>
          <w:szCs w:val="13"/>
          <w:color w:val="auto"/>
        </w:rPr>
        <w:t>The increase in worldwide sales of $28.1 million in the second quarter of 2022, compared to the second quarter of 2021, was driven by a 44% increase in pump-related supply sales, with pump sales consistent period over period. Sales of pump-related supplies increased primarily due to the 40% growth in our estimated worldwide installed base of customers.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Sales by product in the United States were as follows (in thousands):</w:t>
      </w:r>
    </w:p>
    <w:p>
      <w:pPr>
        <w:spacing w:after="0" w:line="79"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Three Months Ended</w:t>
      </w:r>
    </w:p>
    <w:p>
      <w:pPr>
        <w:jc w:val="center"/>
        <w:ind w:left="7820"/>
        <w:spacing w:after="0"/>
        <w:rPr>
          <w:sz w:val="20"/>
          <w:szCs w:val="20"/>
          <w:color w:val="auto"/>
        </w:rPr>
      </w:pPr>
      <w:r>
        <w:rPr>
          <w:rFonts w:ascii="Arial" w:cs="Arial" w:eastAsia="Arial" w:hAnsi="Arial"/>
          <w:sz w:val="11"/>
          <w:szCs w:val="11"/>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20" w:type="dxa"/>
            <w:vAlign w:val="bottom"/>
            <w:tcBorders>
              <w:bottom w:val="single" w:sz="8" w:color="CFF0FC"/>
            </w:tcBorders>
          </w:tcPr>
          <w:p>
            <w:pPr>
              <w:spacing w:after="0"/>
              <w:rPr>
                <w:sz w:val="12"/>
                <w:szCs w:val="12"/>
                <w:color w:val="auto"/>
              </w:rPr>
            </w:pPr>
          </w:p>
        </w:tc>
        <w:tc>
          <w:tcPr>
            <w:tcW w:w="4120" w:type="dxa"/>
            <w:vAlign w:val="bottom"/>
            <w:tcBorders>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7"/>
        </w:trPr>
        <w:tc>
          <w:tcPr>
            <w:tcW w:w="372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Pump</w:t>
            </w:r>
          </w:p>
        </w:tc>
        <w:tc>
          <w:tcPr>
            <w:tcW w:w="4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81,656</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80,041</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Arial" w:cs="Arial" w:eastAsia="Arial" w:hAnsi="Arial"/>
                <w:sz w:val="14"/>
                <w:szCs w:val="14"/>
                <w:color w:val="auto"/>
              </w:rPr>
              <w:t>Infusion sets</w:t>
            </w:r>
          </w:p>
        </w:tc>
        <w:tc>
          <w:tcPr>
            <w:tcW w:w="4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43,910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32,134</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Cartridges</w:t>
            </w:r>
          </w:p>
        </w:tc>
        <w:tc>
          <w:tcPr>
            <w:tcW w:w="4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19,703</w:t>
            </w: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15,082</w:t>
            </w:r>
          </w:p>
        </w:tc>
        <w:tc>
          <w:tcPr>
            <w:tcW w:w="0" w:type="dxa"/>
            <w:vAlign w:val="bottom"/>
          </w:tcPr>
          <w:p>
            <w:pPr>
              <w:spacing w:after="0"/>
              <w:rPr>
                <w:sz w:val="1"/>
                <w:szCs w:val="1"/>
                <w:color w:val="auto"/>
              </w:rPr>
            </w:pPr>
          </w:p>
        </w:tc>
      </w:tr>
      <w:tr>
        <w:trPr>
          <w:trHeight w:val="17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91"/>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Sales in the United States</w:t>
            </w:r>
          </w:p>
        </w:tc>
        <w:tc>
          <w:tcPr>
            <w:tcW w:w="4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145,667</w:t>
            </w:r>
          </w:p>
        </w:tc>
        <w:tc>
          <w:tcPr>
            <w:tcW w:w="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7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127,580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051"/>
              <w:spacing w:after="0"/>
              <w:rPr>
                <w:sz w:val="20"/>
                <w:szCs w:val="20"/>
                <w:color w:val="auto"/>
              </w:rPr>
            </w:pPr>
            <w:r>
              <w:rPr>
                <w:rFonts w:ascii="Arial" w:cs="Arial" w:eastAsia="Arial" w:hAnsi="Arial"/>
                <w:sz w:val="14"/>
                <w:szCs w:val="14"/>
                <w:color w:val="auto"/>
              </w:rPr>
              <w:t>33</w:t>
            </w: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7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35" w:name="page36"/>
    <w:bookmarkEnd w:id="35"/>
    <w:p>
      <w:pPr>
        <w:ind w:right="20" w:firstLine="619"/>
        <w:spacing w:after="0" w:line="270" w:lineRule="auto"/>
        <w:rPr>
          <w:sz w:val="20"/>
          <w:szCs w:val="20"/>
          <w:color w:val="auto"/>
        </w:rPr>
      </w:pPr>
      <w:r>
        <w:rPr>
          <w:rFonts w:ascii="Arial" w:cs="Arial" w:eastAsia="Arial" w:hAnsi="Arial"/>
          <w:sz w:val="13"/>
          <w:szCs w:val="13"/>
          <w:color w:val="auto"/>
        </w:rPr>
        <w:t>Pump sales in the United States were $81.7 million for the second quarter of 2022, compared to $80.0 million in the second quarter of 2021 as pump shipments increased 1% and pump average selling prices improved compared to the same period in 2021. Pump shipments in the United States were 20,818 in the second quarter of 2022, compared to 20,665 in the second quarter of 2021. Pump shipments were driven by continued demand for our t:slim X2 insulin pump with Control-IQ technology even with the presence of new competitive product launches during the quarter. We also faced challenging marketplace dynamics and economic conditions brought on by the global pandemic and a deteriorating macroeconomic environment, with inflation and the threat of recession beginning to impact pump purchasing decisions. Sales of pump-related supplies increased primarily due to a 32% increase year over year in our estimated installed base of customers in the United States. Sales to distributors accounted for 65% and 68% of our total sales in the United States for the three months ended June 30, 2022 and 2021, respectively, which contributed to modest improvement in average selling prices across all products.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Sales by product outside the United States were as follows (in thousands):</w:t>
      </w:r>
    </w:p>
    <w:p>
      <w:pPr>
        <w:spacing w:after="0" w:line="89"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Three Months Ended</w:t>
      </w:r>
    </w:p>
    <w:p>
      <w:pPr>
        <w:jc w:val="center"/>
        <w:ind w:left="7820"/>
        <w:spacing w:after="0"/>
        <w:rPr>
          <w:sz w:val="20"/>
          <w:szCs w:val="20"/>
          <w:color w:val="auto"/>
        </w:rPr>
      </w:pPr>
      <w:r>
        <w:rPr>
          <w:rFonts w:ascii="Arial" w:cs="Arial" w:eastAsia="Arial" w:hAnsi="Arial"/>
          <w:sz w:val="11"/>
          <w:szCs w:val="11"/>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8255</wp:posOffset>
            </wp:positionV>
            <wp:extent cx="219392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3925" cy="635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84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2021</w:t>
            </w:r>
          </w:p>
        </w:tc>
      </w:tr>
      <w:tr>
        <w:trPr>
          <w:trHeight w:val="170"/>
        </w:trPr>
        <w:tc>
          <w:tcPr>
            <w:tcW w:w="7840" w:type="dxa"/>
            <w:vAlign w:val="bottom"/>
            <w:shd w:val="clear" w:color="auto" w:fill="CFF0FC"/>
          </w:tcPr>
          <w:p>
            <w:pPr>
              <w:ind w:left="20"/>
              <w:spacing w:after="0" w:line="159" w:lineRule="exact"/>
              <w:rPr>
                <w:sz w:val="20"/>
                <w:szCs w:val="20"/>
                <w:color w:val="auto"/>
              </w:rPr>
            </w:pPr>
            <w:r>
              <w:rPr>
                <w:rFonts w:ascii="Arial" w:cs="Arial" w:eastAsia="Arial" w:hAnsi="Arial"/>
                <w:sz w:val="14"/>
                <w:szCs w:val="14"/>
                <w:color w:val="auto"/>
              </w:rPr>
              <w:t>Pump</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27,630</w:t>
            </w:r>
          </w:p>
        </w:tc>
      </w:tr>
      <w:tr>
        <w:trPr>
          <w:trHeight w:val="175"/>
        </w:trPr>
        <w:tc>
          <w:tcPr>
            <w:tcW w:w="7840" w:type="dxa"/>
            <w:vAlign w:val="bottom"/>
          </w:tcPr>
          <w:p>
            <w:pPr>
              <w:ind w:left="20"/>
              <w:spacing w:after="0"/>
              <w:rPr>
                <w:sz w:val="20"/>
                <w:szCs w:val="20"/>
                <w:color w:val="auto"/>
              </w:rPr>
            </w:pPr>
            <w:r>
              <w:rPr>
                <w:rFonts w:ascii="Arial" w:cs="Arial" w:eastAsia="Arial" w:hAnsi="Arial"/>
                <w:sz w:val="14"/>
                <w:szCs w:val="14"/>
                <w:color w:val="auto"/>
              </w:rPr>
              <w:t>Infusion sets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20,295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12,165</w:t>
            </w:r>
          </w:p>
        </w:tc>
      </w:tr>
      <w:tr>
        <w:trPr>
          <w:trHeight w:val="176"/>
        </w:trPr>
        <w:tc>
          <w:tcPr>
            <w:tcW w:w="7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Cartridges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w:t>
            </w:r>
          </w:p>
        </w:tc>
      </w:tr>
      <w:tr>
        <w:trPr>
          <w:trHeight w:val="17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191"/>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Sales Outside the United States</w:t>
            </w:r>
          </w:p>
        </w:tc>
        <w:tc>
          <w:tcPr>
            <w:tcW w:w="108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54,595</w:t>
            </w:r>
          </w:p>
        </w:tc>
        <w:tc>
          <w:tcPr>
            <w:tcW w:w="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7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44,559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80" w:firstLine="619"/>
        <w:spacing w:after="0" w:line="272" w:lineRule="auto"/>
        <w:rPr>
          <w:sz w:val="20"/>
          <w:szCs w:val="20"/>
          <w:color w:val="auto"/>
        </w:rPr>
      </w:pPr>
      <w:r>
        <w:rPr>
          <w:rFonts w:ascii="Arial" w:cs="Arial" w:eastAsia="Arial" w:hAnsi="Arial"/>
          <w:sz w:val="13"/>
          <w:szCs w:val="13"/>
          <w:color w:val="auto"/>
        </w:rPr>
        <w:t>Pump sales outside the United States were $25.8 million for the second quarter of 2022, compared to $27.6 million in the second quarter of 2021. Pump shipments decreased 14% compared to the same period in the prior year primarily due to variable pump ordering and stocking patterns, offset by improvements in average selling price. Sales of pump-related supplies benefited from a 67% increase in our estimated installed base of customers outside the United States. The ordering patterns of our distributors outside the United States for pumps and supplies is highly variable from period to period as distributors continue to gain familiarity with the markets in which they operate and the acceptance of our products in those markets. This variability was compounded during the period by the differing levels of impact from the global pandemic with regard to both access to physicians and customers, as well as shipping logistics. Sales to distributors accounted for 96% and 95% of our total sales outside the United States for both of the three-month periods ended June 30, 2022 and 2021, respectively.</w:t>
      </w:r>
    </w:p>
    <w:p>
      <w:pPr>
        <w:spacing w:after="0" w:line="139" w:lineRule="exact"/>
        <w:rPr>
          <w:sz w:val="20"/>
          <w:szCs w:val="20"/>
          <w:color w:val="auto"/>
        </w:rPr>
      </w:pPr>
    </w:p>
    <w:p>
      <w:pPr>
        <w:ind w:right="380" w:firstLine="619"/>
        <w:spacing w:after="0" w:line="305" w:lineRule="auto"/>
        <w:rPr>
          <w:sz w:val="20"/>
          <w:szCs w:val="20"/>
          <w:color w:val="auto"/>
        </w:rPr>
      </w:pPr>
      <w:r>
        <w:rPr>
          <w:rFonts w:ascii="Arial" w:cs="Arial" w:eastAsia="Arial" w:hAnsi="Arial"/>
          <w:sz w:val="13"/>
          <w:szCs w:val="13"/>
          <w:i w:val="1"/>
          <w:iCs w:val="1"/>
          <w:color w:val="auto"/>
        </w:rPr>
        <w:t>Cost of Sales and Gross Profit</w:t>
      </w:r>
      <w:r>
        <w:rPr>
          <w:rFonts w:ascii="Arial" w:cs="Arial" w:eastAsia="Arial" w:hAnsi="Arial"/>
          <w:sz w:val="13"/>
          <w:szCs w:val="13"/>
          <w:color w:val="auto"/>
        </w:rPr>
        <w:t>. Our cost of sales for the three months ended June 30, 2022 was $98.3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resulting in gross profit of $101.9 million, compared to cost of sales of $79.7</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and gross profit of $92.5 million for the same period in 2021. The gross margin for the three months ended June 30, 2022 and 2021 was 51% and 54%, respectively.</w:t>
      </w:r>
    </w:p>
    <w:p>
      <w:pPr>
        <w:spacing w:after="0" w:line="43" w:lineRule="exact"/>
        <w:rPr>
          <w:sz w:val="20"/>
          <w:szCs w:val="20"/>
          <w:color w:val="auto"/>
        </w:rPr>
      </w:pPr>
    </w:p>
    <w:p>
      <w:pPr>
        <w:ind w:right="20" w:firstLine="619"/>
        <w:spacing w:after="0" w:line="270" w:lineRule="auto"/>
        <w:rPr>
          <w:sz w:val="20"/>
          <w:szCs w:val="20"/>
          <w:color w:val="auto"/>
        </w:rPr>
      </w:pPr>
      <w:r>
        <w:rPr>
          <w:rFonts w:ascii="Arial" w:cs="Arial" w:eastAsia="Arial" w:hAnsi="Arial"/>
          <w:sz w:val="13"/>
          <w:szCs w:val="13"/>
          <w:color w:val="auto"/>
        </w:rPr>
        <w:t>The increase in our gross profit for the three months ended June 30, 2022 was primarily the result of the $28.1 million increase in total sales, driven by increased supply sales. Gross profit benefited from an increase in average selling prices as well as improvement in per unit labor and overhead costs from manufacturing efficiencies, leverage of fixed overhead and increased volumes from our third-party cartridge manufacturer. Gross margin was pressured by approximately 2 percentage points from increased pump material costs due to the use of alternative sourcing for certain raw materials to reduce the risk of component shortages in the near-term. On an aggregate basis, non-manufacturing costs, which primarily consist of warranty, training, royalty and freight, also negatively impacted gross margin as a result of increased supply chain costs due to the global pandemic. We anticipate continued pressure from increased supply chain and material costs through the end of this year as we continue to navigate the challenges of the global pandemic and the challenging economic environment. Other factors that have and may continue to impact the gross margin percentage are changes in product and geographical mix and the level of non-cash stock-based compensation allocated to cost of sales. Pump sales, which have the highest gross margin, were 54% of total worldwide sales in the second quarter of 2022 versus 63% in the second quarter of 2021.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6" w:name="page37"/>
    <w:bookmarkEnd w:id="36"/>
    <w:p>
      <w:pPr>
        <w:ind w:right="260" w:firstLine="619"/>
        <w:spacing w:after="0" w:line="335" w:lineRule="auto"/>
        <w:rPr>
          <w:sz w:val="20"/>
          <w:szCs w:val="20"/>
          <w:color w:val="auto"/>
        </w:rPr>
      </w:pPr>
      <w:r>
        <w:rPr>
          <w:rFonts w:ascii="Arial" w:cs="Arial" w:eastAsia="Arial" w:hAnsi="Arial"/>
          <w:sz w:val="11"/>
          <w:szCs w:val="11"/>
          <w:i w:val="1"/>
          <w:iCs w:val="1"/>
          <w:color w:val="auto"/>
        </w:rPr>
        <w:t xml:space="preserve">Selling, General and Administrative Expenses. </w:t>
      </w:r>
      <w:r>
        <w:rPr>
          <w:rFonts w:ascii="Arial" w:cs="Arial" w:eastAsia="Arial" w:hAnsi="Arial"/>
          <w:sz w:val="11"/>
          <w:szCs w:val="11"/>
          <w:color w:val="auto"/>
        </w:rPr>
        <w:t>SG&amp;A expenses increased 21% to $80.6 million for the three months ended June 30, 2022, from $66.5 million for the same period in 2021.</w:t>
      </w:r>
      <w:r>
        <w:rPr>
          <w:rFonts w:ascii="Arial" w:cs="Arial" w:eastAsia="Arial" w:hAnsi="Arial"/>
          <w:sz w:val="11"/>
          <w:szCs w:val="11"/>
          <w:i w:val="1"/>
          <w:iCs w:val="1"/>
          <w:color w:val="auto"/>
        </w:rPr>
        <w:t xml:space="preserve"> </w:t>
      </w:r>
      <w:r>
        <w:rPr>
          <w:rFonts w:ascii="Arial" w:cs="Arial" w:eastAsia="Arial" w:hAnsi="Arial"/>
          <w:sz w:val="11"/>
          <w:szCs w:val="11"/>
          <w:color w:val="auto"/>
        </w:rPr>
        <w:t>Employee-related expenses for our SG&amp;A functions comprise the majority of SG&amp;A expenses. The increase compared to 2021 was primarily the result of a $10.0 million increase in salaries, incentive compensation, non-cash stock-based compensation, and other employee benefits due to an increase in personnel to support additional sales territories, higher sales and other services in support of our growing installed customer base. Non-cash stock-based compensation expense allocated to SG&amp;A was $13.7 million for the three months ended June 30, 2022, compared to $10.9 million in the same period in 2021. We also experienced an $4.1 million increase in facilities and other non-employee discretionary spending, including travel, outside services, equipment and supplies costs.</w:t>
      </w:r>
    </w:p>
    <w:p>
      <w:pPr>
        <w:spacing w:after="0" w:line="107"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i w:val="1"/>
          <w:iCs w:val="1"/>
          <w:color w:val="auto"/>
        </w:rPr>
        <w:t>Research and Development Expenses</w:t>
      </w:r>
      <w:r>
        <w:rPr>
          <w:rFonts w:ascii="Arial" w:cs="Arial" w:eastAsia="Arial" w:hAnsi="Arial"/>
          <w:sz w:val="14"/>
          <w:szCs w:val="14"/>
          <w:color w:val="auto"/>
        </w:rPr>
        <w:t>. R&amp;D expenses increased 64% to $33.6 million for the three months ended June 30, 2022 from $20.5 million for the same period in 2021. The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R&amp;D expenses was primarily the result of an increase of $7.3 million in salaries, incentive compensation, non-cash stock-based compensation, and other employee benefits due to an increase in personnel to support our product development efforts. Non-cash stock-based compensation expense allocated to R&amp;D was $4.5 million for the three months ended June 30, 2022</w:t>
      </w:r>
      <w:r>
        <w:rPr>
          <w:rFonts w:ascii="Arial" w:cs="Arial" w:eastAsia="Arial" w:hAnsi="Arial"/>
          <w:sz w:val="14"/>
          <w:szCs w:val="14"/>
          <w:i w:val="1"/>
          <w:iCs w:val="1"/>
          <w:color w:val="auto"/>
        </w:rPr>
        <w:t>,</w:t>
      </w:r>
      <w:r>
        <w:rPr>
          <w:rFonts w:ascii="Arial" w:cs="Arial" w:eastAsia="Arial" w:hAnsi="Arial"/>
          <w:sz w:val="14"/>
          <w:szCs w:val="14"/>
          <w:color w:val="auto"/>
        </w:rPr>
        <w:t xml:space="preserve"> compared to $2.5 million in the same period in 2021. We also experienced a $5.8 million increase in other non-employee discretionary spending, including outside consulting and services, clinical trial expenses, information technology and equipment costs attributable to R&amp;D.</w:t>
      </w:r>
    </w:p>
    <w:p>
      <w:pPr>
        <w:spacing w:after="0" w:line="148" w:lineRule="exact"/>
        <w:rPr>
          <w:sz w:val="20"/>
          <w:szCs w:val="20"/>
          <w:color w:val="auto"/>
        </w:rPr>
      </w:pPr>
    </w:p>
    <w:p>
      <w:pPr>
        <w:ind w:right="60" w:firstLine="619"/>
        <w:spacing w:after="0" w:line="358" w:lineRule="auto"/>
        <w:rPr>
          <w:sz w:val="20"/>
          <w:szCs w:val="20"/>
          <w:color w:val="auto"/>
        </w:rPr>
      </w:pPr>
      <w:r>
        <w:rPr>
          <w:rFonts w:ascii="Arial" w:cs="Arial" w:eastAsia="Arial" w:hAnsi="Arial"/>
          <w:sz w:val="11"/>
          <w:szCs w:val="11"/>
          <w:i w:val="1"/>
          <w:iCs w:val="1"/>
          <w:color w:val="auto"/>
        </w:rPr>
        <w:t>Other Income (Expense), Net</w:t>
      </w:r>
      <w:r>
        <w:rPr>
          <w:rFonts w:ascii="Arial" w:cs="Arial" w:eastAsia="Arial" w:hAnsi="Arial"/>
          <w:sz w:val="11"/>
          <w:szCs w:val="11"/>
          <w:color w:val="auto"/>
        </w:rPr>
        <w:t>. Total other expense, net for the three months ended June 30, 2022 was $0.7 million compared to $1.4 million in the same period in 2021. Total other expense, net</w:t>
      </w:r>
      <w:r>
        <w:rPr>
          <w:rFonts w:ascii="Arial" w:cs="Arial" w:eastAsia="Arial" w:hAnsi="Arial"/>
          <w:sz w:val="11"/>
          <w:szCs w:val="11"/>
          <w:i w:val="1"/>
          <w:iCs w:val="1"/>
          <w:color w:val="auto"/>
        </w:rPr>
        <w:t xml:space="preserve"> </w:t>
      </w:r>
      <w:r>
        <w:rPr>
          <w:rFonts w:ascii="Arial" w:cs="Arial" w:eastAsia="Arial" w:hAnsi="Arial"/>
          <w:sz w:val="11"/>
          <w:szCs w:val="11"/>
          <w:color w:val="auto"/>
        </w:rPr>
        <w:t>for both periods primarily consisted of $1.5 million of interest expense which included the amortization of debt issuance costs related to our Notes, partially offset by interest income earned on our cash equivalents and short-term investments. Total other expense, net for the three months ended June 30, 2021 also included a $0.3 million loss on revaluation from the change in fair value of certain warrants.</w:t>
      </w:r>
    </w:p>
    <w:p>
      <w:pPr>
        <w:spacing w:after="0" w:line="94"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i w:val="1"/>
          <w:iCs w:val="1"/>
          <w:color w:val="auto"/>
        </w:rPr>
        <w:t>Income Tax Expense (Benefit</w:t>
      </w:r>
      <w:r>
        <w:rPr>
          <w:rFonts w:ascii="Arial" w:cs="Arial" w:eastAsia="Arial" w:hAnsi="Arial"/>
          <w:sz w:val="14"/>
          <w:szCs w:val="14"/>
          <w:color w:val="auto"/>
        </w:rPr>
        <w:t>). We recognized income tax expense of $2.1 million on a pre-tax loss of $13.0 million for the three months ended June 30, 2022, compared to income tax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of $0.1 million on pre-tax income of $4.1 million for the three months ended June 30, 2021. The provision for income taxes for the three months ended June 30, 2022 was calculated using the discrete effective tax rate method as the annual effective tax rate method would not provide a reliable estimate. Income tax expense for the three months ended June 30, 2022 was primarily attributable to the change from the annual effective tax rate method used in the first quarter of 2022 to the discrete effective tax rate method, and state and foreign income tax expense as a result of current taxable income in certain jurisdictions.</w:t>
      </w:r>
    </w:p>
    <w:p>
      <w:pPr>
        <w:spacing w:after="0" w:line="148" w:lineRule="exact"/>
        <w:rPr>
          <w:sz w:val="20"/>
          <w:szCs w:val="20"/>
          <w:color w:val="auto"/>
        </w:rPr>
      </w:pPr>
    </w:p>
    <w:p>
      <w:pPr>
        <w:jc w:val="both"/>
        <w:ind w:right="360" w:firstLine="619"/>
        <w:spacing w:after="0" w:line="256" w:lineRule="auto"/>
        <w:rPr>
          <w:sz w:val="20"/>
          <w:szCs w:val="20"/>
          <w:color w:val="auto"/>
        </w:rPr>
      </w:pPr>
      <w:r>
        <w:rPr>
          <w:rFonts w:ascii="Arial" w:cs="Arial" w:eastAsia="Arial" w:hAnsi="Arial"/>
          <w:sz w:val="14"/>
          <w:szCs w:val="14"/>
          <w:color w:val="auto"/>
        </w:rPr>
        <w:t>The provision for income taxes for the three months ended June 30, 2021 was calculated by applying an estimate of the annual effective tax rate for the full year to ordinary income (loss) adjusted by the tax impact of discrete items. The income tax expense for the three months ended June 30, 2021 was primarily attributable to state and foreign income tax expense as a result of current taxable income in certain jurisdictions.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Six Months Ended June 30, 2022 and 2021</w:t>
      </w:r>
    </w:p>
    <w:p>
      <w:pPr>
        <w:spacing w:after="0" w:line="173" w:lineRule="exact"/>
        <w:rPr>
          <w:sz w:val="20"/>
          <w:szCs w:val="20"/>
          <w:color w:val="auto"/>
        </w:rPr>
      </w:pPr>
    </w:p>
    <w:p>
      <w:pPr>
        <w:ind w:right="180" w:firstLine="619"/>
        <w:spacing w:after="0" w:line="266" w:lineRule="auto"/>
        <w:rPr>
          <w:sz w:val="20"/>
          <w:szCs w:val="20"/>
          <w:color w:val="auto"/>
        </w:rPr>
      </w:pPr>
      <w:r>
        <w:rPr>
          <w:rFonts w:ascii="Arial" w:cs="Arial" w:eastAsia="Arial" w:hAnsi="Arial"/>
          <w:sz w:val="14"/>
          <w:szCs w:val="14"/>
          <w:i w:val="1"/>
          <w:iCs w:val="1"/>
          <w:color w:val="auto"/>
        </w:rPr>
        <w:t>Sales</w:t>
      </w:r>
      <w:r>
        <w:rPr>
          <w:rFonts w:ascii="Arial" w:cs="Arial" w:eastAsia="Arial" w:hAnsi="Arial"/>
          <w:sz w:val="14"/>
          <w:szCs w:val="14"/>
          <w:color w:val="auto"/>
        </w:rPr>
        <w:t>. For the six months ended June 30, 2022, sales were $376.2 million, which included $99.2 million of sales outside the United States. For the six months ended June 30, 2021, sales were</w:t>
      </w:r>
      <w:r>
        <w:rPr>
          <w:rFonts w:ascii="Arial" w:cs="Arial" w:eastAsia="Arial" w:hAnsi="Arial"/>
          <w:sz w:val="14"/>
          <w:szCs w:val="14"/>
          <w:i w:val="1"/>
          <w:iCs w:val="1"/>
          <w:color w:val="auto"/>
        </w:rPr>
        <w:t xml:space="preserve"> </w:t>
      </w:r>
      <w:r>
        <w:rPr>
          <w:rFonts w:ascii="Arial" w:cs="Arial" w:eastAsia="Arial" w:hAnsi="Arial"/>
          <w:sz w:val="14"/>
          <w:szCs w:val="14"/>
          <w:color w:val="auto"/>
        </w:rPr>
        <w:t>$313.2 million, which included $82.3 million of sales outside the United States.</w:t>
      </w:r>
    </w:p>
    <w:p>
      <w:pPr>
        <w:spacing w:after="0" w:line="138" w:lineRule="exact"/>
        <w:rPr>
          <w:sz w:val="20"/>
          <w:szCs w:val="20"/>
          <w:color w:val="auto"/>
        </w:rPr>
      </w:pPr>
    </w:p>
    <w:p>
      <w:pPr>
        <w:ind w:right="120" w:firstLine="619"/>
        <w:spacing w:after="0" w:line="404" w:lineRule="auto"/>
        <w:rPr>
          <w:sz w:val="20"/>
          <w:szCs w:val="20"/>
          <w:color w:val="auto"/>
        </w:rPr>
      </w:pPr>
      <w:r>
        <w:rPr>
          <w:rFonts w:ascii="Arial" w:cs="Arial" w:eastAsia="Arial" w:hAnsi="Arial"/>
          <w:sz w:val="11"/>
          <w:szCs w:val="11"/>
          <w:color w:val="auto"/>
        </w:rPr>
        <w:t>The increase in worldwide sales of $63.0 million in the first six months of 2022 compared to the first six months of 2021, was driven by a 40% increase in pump-related supply sales, primarily due to 40% growth in our estimated worldwide installed base of customers. We also had a 7% increase in worldwide pump sales in the first six months of 2022, compared to the same period in 2021.</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Sales by product in the United States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Six Months Ended June 30,</w:t>
            </w:r>
          </w:p>
        </w:tc>
        <w:tc>
          <w:tcPr>
            <w:tcW w:w="10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40" w:type="dxa"/>
            <w:vAlign w:val="bottom"/>
            <w:tcBorders>
              <w:bottom w:val="single" w:sz="8" w:color="CFF0FC"/>
            </w:tcBorders>
          </w:tcPr>
          <w:p>
            <w:pPr>
              <w:spacing w:after="0"/>
              <w:rPr>
                <w:sz w:val="12"/>
                <w:szCs w:val="12"/>
                <w:color w:val="auto"/>
              </w:rPr>
            </w:pPr>
          </w:p>
        </w:tc>
        <w:tc>
          <w:tcPr>
            <w:tcW w:w="40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Pump</w:t>
            </w:r>
          </w:p>
        </w:tc>
        <w:tc>
          <w:tcPr>
            <w:tcW w:w="40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56"/>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155,153</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Infusion sets</w:t>
            </w:r>
          </w:p>
        </w:tc>
        <w:tc>
          <w:tcPr>
            <w:tcW w:w="4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83,651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59,526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Cartridges</w:t>
            </w:r>
          </w:p>
        </w:tc>
        <w:tc>
          <w:tcPr>
            <w:tcW w:w="40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37,380</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0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Sales in the United States</w:t>
            </w:r>
          </w:p>
        </w:tc>
        <w:tc>
          <w:tcPr>
            <w:tcW w:w="40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276,950</w:t>
            </w:r>
          </w:p>
        </w:tc>
        <w:tc>
          <w:tcPr>
            <w:tcW w:w="1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230,919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1991"/>
              <w:spacing w:after="0"/>
              <w:rPr>
                <w:sz w:val="20"/>
                <w:szCs w:val="20"/>
                <w:color w:val="auto"/>
              </w:rPr>
            </w:pPr>
            <w:r>
              <w:rPr>
                <w:rFonts w:ascii="Arial" w:cs="Arial" w:eastAsia="Arial" w:hAnsi="Arial"/>
                <w:sz w:val="14"/>
                <w:szCs w:val="14"/>
                <w:color w:val="auto"/>
              </w:rPr>
              <w:t>35</w:t>
            </w: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37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4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37" w:name="page38"/>
    <w:bookmarkEnd w:id="37"/>
    <w:p>
      <w:pPr>
        <w:ind w:firstLine="619"/>
        <w:spacing w:after="0" w:line="250" w:lineRule="auto"/>
        <w:rPr>
          <w:sz w:val="20"/>
          <w:szCs w:val="20"/>
          <w:color w:val="auto"/>
        </w:rPr>
      </w:pPr>
      <w:r>
        <w:rPr>
          <w:rFonts w:ascii="Arial" w:cs="Arial" w:eastAsia="Arial" w:hAnsi="Arial"/>
          <w:sz w:val="14"/>
          <w:szCs w:val="14"/>
          <w:color w:val="auto"/>
        </w:rPr>
        <w:t>Pump sales in the United States were $155.2 million for the first six months of 2022, compared to $143.0 million in the first six months of 2021, as pump shipments increased 6% compared to the same period in the prior year, and pump average selling prices improved. Domestic pump shipments were 39,476 in the first six months of 2022 compared to 37,309 in the first six months of 2021. Sales of pump-related supplies increased primarily due to a 32% increase in our estimated domestic installed base of customers. Sales to distributors accounted for 65% and 68% of our total domestic sales for the six months ended June 30, 2022 and 2021, respectively, which contributed to modest improvement in average selling prices across all products.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Sales outside the United States by product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7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Six Months Ended June 30,</w:t>
            </w:r>
          </w:p>
        </w:tc>
        <w:tc>
          <w:tcPr>
            <w:tcW w:w="1020" w:type="dxa"/>
            <w:vAlign w:val="bottom"/>
            <w:tcBorders>
              <w:bottom w:val="single" w:sz="8" w:color="auto"/>
            </w:tcBorders>
          </w:tcPr>
          <w:p>
            <w:pPr>
              <w:spacing w:after="0"/>
              <w:rPr>
                <w:sz w:val="12"/>
                <w:szCs w:val="12"/>
                <w:color w:val="auto"/>
              </w:rPr>
            </w:pPr>
          </w:p>
        </w:tc>
      </w:tr>
      <w:tr>
        <w:trPr>
          <w:trHeight w:val="155"/>
        </w:trPr>
        <w:tc>
          <w:tcPr>
            <w:tcW w:w="77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2021</w:t>
            </w:r>
          </w:p>
        </w:tc>
      </w:tr>
      <w:tr>
        <w:trPr>
          <w:trHeight w:val="170"/>
        </w:trPr>
        <w:tc>
          <w:tcPr>
            <w:tcW w:w="77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Pump</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46,538</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Infusion sets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35,294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24,899</w:t>
            </w:r>
          </w:p>
        </w:tc>
      </w:tr>
      <w:tr>
        <w:trPr>
          <w:trHeight w:val="17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Cartridges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10,609</w:t>
            </w:r>
          </w:p>
        </w:tc>
      </w:tr>
      <w:tr>
        <w:trPr>
          <w:trHeight w:val="17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191"/>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Sales Outside the United States</w:t>
            </w:r>
          </w:p>
        </w:tc>
        <w:tc>
          <w:tcPr>
            <w:tcW w:w="102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99,219</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firstLine="619"/>
        <w:spacing w:after="0" w:line="331" w:lineRule="auto"/>
        <w:rPr>
          <w:sz w:val="20"/>
          <w:szCs w:val="20"/>
          <w:color w:val="auto"/>
        </w:rPr>
      </w:pPr>
      <w:r>
        <w:rPr>
          <w:rFonts w:ascii="Arial" w:cs="Arial" w:eastAsia="Arial" w:hAnsi="Arial"/>
          <w:sz w:val="11"/>
          <w:szCs w:val="11"/>
          <w:color w:val="auto"/>
        </w:rPr>
        <w:t>Pump sales outside the United States were $48.1 million for the first six months of 2022, compared to $46.5 million in the first six months of 2021, as the 5% decrease in pump shipments was more than offset by an increase in average selling prices compared to the same period in the prior year. Sales of pump-related supplies increased 43% primarily due to a 67% increase in our estimated installed base of customers outside the United States. The ordering patterns of our distributors outside the United States for pumps and supplies is highly variable from period to period, as distributors continue to gain familiarity with the markets in which they operate and the acceptance of our products in those markets. This variability was compounded during the period by the differing levels of impact from the global pandemic with regard to both access to physicians and customers, as well as shipping logistics across the more than 20 markets in which we operate outside the United States. Sales to distributors accounted for 96% of our total sales outside the United States for the six month period ended June 30, 2022, and 95% for the same period in 2021.</w:t>
      </w:r>
    </w:p>
    <w:p>
      <w:pPr>
        <w:spacing w:after="0" w:line="129" w:lineRule="exact"/>
        <w:rPr>
          <w:sz w:val="20"/>
          <w:szCs w:val="20"/>
          <w:color w:val="auto"/>
        </w:rPr>
      </w:pPr>
    </w:p>
    <w:p>
      <w:pPr>
        <w:ind w:right="340" w:firstLine="619"/>
        <w:spacing w:after="0" w:line="404" w:lineRule="auto"/>
        <w:rPr>
          <w:sz w:val="20"/>
          <w:szCs w:val="20"/>
          <w:color w:val="auto"/>
        </w:rPr>
      </w:pPr>
      <w:r>
        <w:rPr>
          <w:rFonts w:ascii="Arial" w:cs="Arial" w:eastAsia="Arial" w:hAnsi="Arial"/>
          <w:sz w:val="11"/>
          <w:szCs w:val="11"/>
          <w:i w:val="1"/>
          <w:iCs w:val="1"/>
          <w:color w:val="auto"/>
        </w:rPr>
        <w:t>Cost of Sales and Gross Profit</w:t>
      </w:r>
      <w:r>
        <w:rPr>
          <w:rFonts w:ascii="Arial" w:cs="Arial" w:eastAsia="Arial" w:hAnsi="Arial"/>
          <w:sz w:val="11"/>
          <w:szCs w:val="11"/>
          <w:color w:val="auto"/>
        </w:rPr>
        <w:t>. Our cost of sales for the six months ended June 30, 2022 was $183.1 million resulting in gross profit of $193.0 million, compared to cost of sales of $147.4</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and gross profit of $165.7 million for the same period in 2021. The gross margin for the six months ended June 30, 2022 was 51% compared to 53% in the same period in 2021.</w:t>
      </w:r>
    </w:p>
    <w:p>
      <w:pPr>
        <w:spacing w:after="0" w:line="90" w:lineRule="exact"/>
        <w:rPr>
          <w:sz w:val="20"/>
          <w:szCs w:val="20"/>
          <w:color w:val="auto"/>
        </w:rPr>
      </w:pPr>
    </w:p>
    <w:p>
      <w:pPr>
        <w:ind w:right="20" w:firstLine="619"/>
        <w:spacing w:after="0" w:line="328" w:lineRule="auto"/>
        <w:rPr>
          <w:sz w:val="20"/>
          <w:szCs w:val="20"/>
          <w:color w:val="auto"/>
        </w:rPr>
      </w:pPr>
      <w:r>
        <w:rPr>
          <w:rFonts w:ascii="Arial" w:cs="Arial" w:eastAsia="Arial" w:hAnsi="Arial"/>
          <w:sz w:val="11"/>
          <w:szCs w:val="11"/>
          <w:color w:val="auto"/>
        </w:rPr>
        <w:t>The increase in our gross profit for the six months ended June 30, 2022 was primarily the result of the $63.0 million increase in total sales. Gross profit benefited from an increase in average selling prices as well as improvement in per unit labor and overhead costs from manufacturing efficiencies, leverage of fixed overhead and increased volumes from our third-party cartridge manufacturer. Gross margin was pressured by increased pump material costs due to the use of alternative sourcing for raw materials to reduce the risk of component shortages in the near-term. On an aggregate basis, non-manufacturing costs, which primarily consist of warranty, royalty, freight, training and digital health product support costs, were negatively impacted by increased supply chain costs due to the global pandemic. We anticipate continued pressure from increased supply chain and material costs through the end of this year as we continue to navigate the challenges of the global pandemic and the economic environment. Other factors that have and may continue to impact the gross margin percentage are changes in product and geographical mix and the level of non-cash stock-based compensation allocated to cost of sales. Pump sales, which have the highest gross margin, were 54% of total worldwide sales in the first six months of 2022 compared to 61% in the same period in 2021.</w:t>
      </w:r>
    </w:p>
    <w:p>
      <w:pPr>
        <w:spacing w:after="0" w:line="131" w:lineRule="exact"/>
        <w:rPr>
          <w:sz w:val="20"/>
          <w:szCs w:val="20"/>
          <w:color w:val="auto"/>
        </w:rPr>
      </w:pPr>
    </w:p>
    <w:p>
      <w:pPr>
        <w:ind w:right="20" w:firstLine="619"/>
        <w:spacing w:after="0" w:line="335" w:lineRule="auto"/>
        <w:rPr>
          <w:sz w:val="20"/>
          <w:szCs w:val="20"/>
          <w:color w:val="auto"/>
        </w:rPr>
      </w:pPr>
      <w:r>
        <w:rPr>
          <w:rFonts w:ascii="Arial" w:cs="Arial" w:eastAsia="Arial" w:hAnsi="Arial"/>
          <w:sz w:val="11"/>
          <w:szCs w:val="11"/>
          <w:i w:val="1"/>
          <w:iCs w:val="1"/>
          <w:color w:val="auto"/>
        </w:rPr>
        <w:t xml:space="preserve">Selling, General and Administrative Expenses. </w:t>
      </w:r>
      <w:r>
        <w:rPr>
          <w:rFonts w:ascii="Arial" w:cs="Arial" w:eastAsia="Arial" w:hAnsi="Arial"/>
          <w:sz w:val="11"/>
          <w:szCs w:val="11"/>
          <w:color w:val="auto"/>
        </w:rPr>
        <w:t>SG&amp;A expenses increased 23% to $153.9 million for the six months ended June 30, 2022, from $125.1 million for the same period in 2021.</w:t>
      </w:r>
      <w:r>
        <w:rPr>
          <w:rFonts w:ascii="Arial" w:cs="Arial" w:eastAsia="Arial" w:hAnsi="Arial"/>
          <w:sz w:val="11"/>
          <w:szCs w:val="11"/>
          <w:i w:val="1"/>
          <w:iCs w:val="1"/>
          <w:color w:val="auto"/>
        </w:rPr>
        <w:t xml:space="preserve"> </w:t>
      </w:r>
      <w:r>
        <w:rPr>
          <w:rFonts w:ascii="Arial" w:cs="Arial" w:eastAsia="Arial" w:hAnsi="Arial"/>
          <w:sz w:val="11"/>
          <w:szCs w:val="11"/>
          <w:color w:val="auto"/>
        </w:rPr>
        <w:t>Employee-related expenses for our SG&amp;A functions comprise the majority of SG&amp;A expenses. The increase compared to 2021 was primarily the result of a $22.8 million increase in salaries, incentive compensation, non-cash stock-based compensation, and other employee benefits due to an increase in personnel to support additional sales territories, higher sales and other services in support of our growing installed customer base. Non-cash stock-based compensation expense allocated to SG&amp;A was $25.6 million for the six months ended June 30, 2022, compared to $20.3 million in the same period in 2021. We also experienced a $6.0 million increase in facilities and non-employee discretionary spending, including outside services, travel, and software maintenance and supplies costs.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717" w:right="359" w:bottom="1440" w:gutter="0" w:footer="0" w:header="0"/>
        </w:sectPr>
      </w:pPr>
    </w:p>
    <w:bookmarkStart w:id="38" w:name="page39"/>
    <w:bookmarkEnd w:id="38"/>
    <w:p>
      <w:pPr>
        <w:ind w:right="40" w:firstLine="619"/>
        <w:spacing w:after="0" w:line="251" w:lineRule="auto"/>
        <w:rPr>
          <w:sz w:val="20"/>
          <w:szCs w:val="20"/>
          <w:color w:val="auto"/>
        </w:rPr>
      </w:pPr>
      <w:r>
        <w:rPr>
          <w:rFonts w:ascii="Arial" w:cs="Arial" w:eastAsia="Arial" w:hAnsi="Arial"/>
          <w:sz w:val="14"/>
          <w:szCs w:val="14"/>
          <w:i w:val="1"/>
          <w:iCs w:val="1"/>
          <w:color w:val="auto"/>
        </w:rPr>
        <w:t>Research and Development Expenses</w:t>
      </w:r>
      <w:r>
        <w:rPr>
          <w:rFonts w:ascii="Arial" w:cs="Arial" w:eastAsia="Arial" w:hAnsi="Arial"/>
          <w:sz w:val="14"/>
          <w:szCs w:val="14"/>
          <w:color w:val="auto"/>
        </w:rPr>
        <w:t>. R&amp;D expenses increased 74% to $66.7 million for the six months ended June 30, 2022, from $38.5 million for the same period in 2021. The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R&amp;D expenses was primarily the result of an increase of $16.3 million in salaries, incentive compensation, non-cash stock-based compensation, and other employee benefits due to an increase in personnel to support our product development efforts. Non-cash stock-based compensation expense allocated to R&amp;D was $8.9 million for the six months ended June 30, 2022, compared to $4.6 million in the same period in 2021. We also experienced a $11.9 million increase in other non-employee discretionary spending, including outside consulting and services, clinical trial expenses, information technology and equipment costs attributable to R&amp;D.</w:t>
      </w:r>
    </w:p>
    <w:p>
      <w:pPr>
        <w:spacing w:after="0" w:line="148"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i w:val="1"/>
          <w:iCs w:val="1"/>
          <w:color w:val="auto"/>
        </w:rPr>
        <w:t>Other Income (Expense), Net</w:t>
      </w:r>
      <w:r>
        <w:rPr>
          <w:rFonts w:ascii="Arial" w:cs="Arial" w:eastAsia="Arial" w:hAnsi="Arial"/>
          <w:sz w:val="14"/>
          <w:szCs w:val="14"/>
          <w:color w:val="auto"/>
        </w:rPr>
        <w:t>. Total other expense, net for the six months ended June 30, 2022 and 2021 was $1.8 million and $3.3 million, respectively. Other expense, net for the six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2022 primarily consisted of $3.0 million of interest expense which included the amortization of debt issuance costs related to our Convertible Senior Notes, partially offset by $1.1 million of interest income earned on our cash equivalents and short-term investments. Other expense, net for the six months ended June 30, 2021 primarily consisted of $3.0 million of interest expense which included the amortization of debt issuance costs related to our Notes, and a $1.0 million revaluation loss from the change in the fair value of certain common stock warrants, offset by $0.7 million of interest income earned on our cash equivalents and short-term investments.</w:t>
      </w:r>
    </w:p>
    <w:p>
      <w:pPr>
        <w:spacing w:after="0" w:line="148" w:lineRule="exact"/>
        <w:rPr>
          <w:sz w:val="20"/>
          <w:szCs w:val="20"/>
          <w:color w:val="auto"/>
        </w:rPr>
      </w:pPr>
    </w:p>
    <w:p>
      <w:pPr>
        <w:ind w:right="40" w:firstLine="619"/>
        <w:spacing w:after="0" w:line="252" w:lineRule="auto"/>
        <w:rPr>
          <w:sz w:val="20"/>
          <w:szCs w:val="20"/>
          <w:color w:val="auto"/>
        </w:rPr>
      </w:pPr>
      <w:r>
        <w:rPr>
          <w:rFonts w:ascii="Arial" w:cs="Arial" w:eastAsia="Arial" w:hAnsi="Arial"/>
          <w:sz w:val="14"/>
          <w:szCs w:val="14"/>
          <w:i w:val="1"/>
          <w:iCs w:val="1"/>
          <w:color w:val="auto"/>
        </w:rPr>
        <w:t>Income Tax Expense (Benefit</w:t>
      </w:r>
      <w:r>
        <w:rPr>
          <w:rFonts w:ascii="Arial" w:cs="Arial" w:eastAsia="Arial" w:hAnsi="Arial"/>
          <w:sz w:val="14"/>
          <w:szCs w:val="14"/>
          <w:color w:val="auto"/>
        </w:rPr>
        <w:t>). We recognized income tax expense of $0.4 million on pre-tax loss of $29.4 million for the six months ended June 30, 2022, compared to an income tax benefit of</w:t>
      </w:r>
      <w:r>
        <w:rPr>
          <w:rFonts w:ascii="Arial" w:cs="Arial" w:eastAsia="Arial" w:hAnsi="Arial"/>
          <w:sz w:val="14"/>
          <w:szCs w:val="14"/>
          <w:i w:val="1"/>
          <w:iCs w:val="1"/>
          <w:color w:val="auto"/>
        </w:rPr>
        <w:t xml:space="preserve"> </w:t>
      </w:r>
      <w:r>
        <w:rPr>
          <w:rFonts w:ascii="Arial" w:cs="Arial" w:eastAsia="Arial" w:hAnsi="Arial"/>
          <w:sz w:val="14"/>
          <w:szCs w:val="14"/>
          <w:color w:val="auto"/>
        </w:rPr>
        <w:t>$0.1 million on a pre-tax loss of $1.1 million for the six months ended June 30, 2021. The income tax expense for the six months ended June 30, 2022 was primarily attributable to state and foreign income tax expense as a result of current taxable income in certain jurisdictions. The provision for income taxes for the six months ended June 30, 2022 was calculated using the discrete effective tax rate method as the annual effective tax rate method would not provide a reliable estimate.</w:t>
      </w:r>
    </w:p>
    <w:p>
      <w:pPr>
        <w:spacing w:after="0" w:line="149" w:lineRule="exact"/>
        <w:rPr>
          <w:sz w:val="20"/>
          <w:szCs w:val="20"/>
          <w:color w:val="auto"/>
        </w:rPr>
      </w:pPr>
    </w:p>
    <w:p>
      <w:pPr>
        <w:ind w:right="180" w:firstLine="619"/>
        <w:spacing w:after="0" w:line="256" w:lineRule="auto"/>
        <w:rPr>
          <w:sz w:val="20"/>
          <w:szCs w:val="20"/>
          <w:color w:val="auto"/>
        </w:rPr>
      </w:pPr>
      <w:r>
        <w:rPr>
          <w:rFonts w:ascii="Arial" w:cs="Arial" w:eastAsia="Arial" w:hAnsi="Arial"/>
          <w:sz w:val="14"/>
          <w:szCs w:val="14"/>
          <w:color w:val="auto"/>
        </w:rPr>
        <w:t>The income tax benefit for the six months ended June 30, 2021 was primarily due to our pre-tax loss position, partially offset by state and foreign income tax expense as a result of current taxable income in certain jurisdictions. The provision (benefit) for income taxes for the six months ended June 30, 2021 was calculated by applying an estimate of the annual effective tax rate for the full year to ordinary income (loss) adjusted by the tax impact of discrete items.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340" w:firstLine="619"/>
        <w:spacing w:after="0" w:line="284" w:lineRule="auto"/>
        <w:rPr>
          <w:sz w:val="20"/>
          <w:szCs w:val="20"/>
          <w:color w:val="auto"/>
        </w:rPr>
      </w:pPr>
      <w:r>
        <w:rPr>
          <w:rFonts w:ascii="Arial" w:cs="Arial" w:eastAsia="Arial" w:hAnsi="Arial"/>
          <w:sz w:val="13"/>
          <w:szCs w:val="13"/>
          <w:color w:val="auto"/>
        </w:rPr>
        <w:t>At June 30, 2022, we had $635.3 million in cash and cash equivalents and short-term investments. In addition, we have a $100 million Revolving Line of Credit (the Line of Credit), which expires in May 2025 (see Note 7, “Debt”). At June 30, 2022, no amount was outstanding under the Line of Credit. We believe that our cash and cash equivalents, short-term investments, borrowing availability under the Line of Credit, and future cash flows from operations will be sufficient to fund our ongoing core business activities.</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Historically, our principal sources of cash have included cash collected from product sales, private and public offerings of equity securities, exercises of employee stock awards, and debt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financing.</w:t>
      </w:r>
    </w:p>
    <w:p>
      <w:pPr>
        <w:spacing w:after="0" w:line="129" w:lineRule="exact"/>
        <w:rPr>
          <w:sz w:val="20"/>
          <w:szCs w:val="20"/>
          <w:color w:val="auto"/>
        </w:rPr>
      </w:pPr>
    </w:p>
    <w:p>
      <w:pPr>
        <w:ind w:right="40" w:firstLine="619"/>
        <w:spacing w:after="0" w:line="278" w:lineRule="auto"/>
        <w:rPr>
          <w:sz w:val="20"/>
          <w:szCs w:val="20"/>
          <w:color w:val="auto"/>
        </w:rPr>
      </w:pPr>
      <w:r>
        <w:rPr>
          <w:rFonts w:ascii="Arial" w:cs="Arial" w:eastAsia="Arial" w:hAnsi="Arial"/>
          <w:sz w:val="13"/>
          <w:szCs w:val="13"/>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geographies outside the United States, the acquisition of intellectual property and equity investments, expenditures related to increases in our manufacturing capacity and improvements to our manufacturing efficiency, overall expansion of our facilities and operations, and other working capital needs. Additionally, we have used cash to pay the interest expense associated with our convertible senior notes.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39" w:name="page40"/>
    <w:bookmarkEnd w:id="39"/>
    <w:p>
      <w:pPr>
        <w:ind w:left="620"/>
        <w:spacing w:after="0"/>
        <w:rPr>
          <w:sz w:val="20"/>
          <w:szCs w:val="20"/>
          <w:color w:val="auto"/>
        </w:rPr>
      </w:pPr>
      <w:r>
        <w:rPr>
          <w:rFonts w:ascii="Arial" w:cs="Arial" w:eastAsia="Arial" w:hAnsi="Arial"/>
          <w:sz w:val="14"/>
          <w:szCs w:val="14"/>
          <w:color w:val="auto"/>
        </w:rPr>
        <w:t>The following table shows a summary of our cash flows for the six months ended June 30, 2022 and 2021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Six Months Ended June 30,</w:t>
            </w:r>
          </w:p>
        </w:tc>
        <w:tc>
          <w:tcPr>
            <w:tcW w:w="900" w:type="dxa"/>
            <w:vAlign w:val="bottom"/>
            <w:tcBorders>
              <w:bottom w:val="single" w:sz="8" w:color="auto"/>
            </w:tcBorders>
          </w:tcPr>
          <w:p>
            <w:pPr>
              <w:spacing w:after="0"/>
              <w:rPr>
                <w:sz w:val="12"/>
                <w:szCs w:val="12"/>
                <w:color w:val="auto"/>
              </w:rPr>
            </w:pPr>
          </w:p>
        </w:tc>
      </w:tr>
      <w:tr>
        <w:trPr>
          <w:trHeight w:val="138"/>
        </w:trPr>
        <w:tc>
          <w:tcPr>
            <w:tcW w:w="81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w w:val="97"/>
              </w:rPr>
              <w:t>2021</w:t>
            </w:r>
          </w:p>
        </w:tc>
      </w:tr>
      <w:tr>
        <w:trPr>
          <w:trHeight w:val="157"/>
        </w:trPr>
        <w:tc>
          <w:tcPr>
            <w:tcW w:w="81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cash provided by (used in):</w:t>
            </w: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75"/>
        </w:trPr>
        <w:tc>
          <w:tcPr>
            <w:tcW w:w="812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920" w:type="dxa"/>
            <w:vAlign w:val="bottom"/>
          </w:tcPr>
          <w:p>
            <w:pPr>
              <w:jc w:val="right"/>
              <w:ind w:right="756"/>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20,701</w:t>
            </w:r>
          </w:p>
        </w:tc>
        <w:tc>
          <w:tcPr>
            <w:tcW w:w="80" w:type="dxa"/>
            <w:vAlign w:val="bottom"/>
          </w:tcPr>
          <w:p>
            <w:pPr>
              <w:spacing w:after="0"/>
              <w:rPr>
                <w:sz w:val="15"/>
                <w:szCs w:val="15"/>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57,580</w:t>
            </w:r>
          </w:p>
        </w:tc>
      </w:tr>
      <w:tr>
        <w:trPr>
          <w:trHeight w:val="176"/>
        </w:trPr>
        <w:tc>
          <w:tcPr>
            <w:tcW w:w="8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11,554</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(70,855)</w:t>
            </w:r>
          </w:p>
        </w:tc>
      </w:tr>
      <w:tr>
        <w:trPr>
          <w:trHeight w:val="175"/>
        </w:trPr>
        <w:tc>
          <w:tcPr>
            <w:tcW w:w="8120" w:type="dxa"/>
            <w:vAlign w:val="bottom"/>
          </w:tcPr>
          <w:p>
            <w:pPr>
              <w:ind w:left="18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11,551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17,196</w:t>
            </w:r>
          </w:p>
        </w:tc>
      </w:tr>
      <w:tr>
        <w:trPr>
          <w:trHeight w:val="175"/>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9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812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43,785</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3,965</w:t>
            </w:r>
          </w:p>
        </w:tc>
      </w:tr>
      <w:tr>
        <w:trPr>
          <w:trHeight w:val="20"/>
        </w:trPr>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firstLine="619"/>
        <w:spacing w:after="0" w:line="343" w:lineRule="auto"/>
        <w:rPr>
          <w:sz w:val="20"/>
          <w:szCs w:val="20"/>
          <w:color w:val="auto"/>
        </w:rPr>
      </w:pPr>
      <w:r>
        <w:rPr>
          <w:rFonts w:ascii="Arial" w:cs="Arial" w:eastAsia="Arial" w:hAnsi="Arial"/>
          <w:sz w:val="11"/>
          <w:szCs w:val="11"/>
          <w:i w:val="1"/>
          <w:iCs w:val="1"/>
          <w:color w:val="auto"/>
        </w:rPr>
        <w:t>Operating Activities</w:t>
      </w:r>
      <w:r>
        <w:rPr>
          <w:rFonts w:ascii="Arial" w:cs="Arial" w:eastAsia="Arial" w:hAnsi="Arial"/>
          <w:sz w:val="11"/>
          <w:szCs w:val="11"/>
          <w:color w:val="auto"/>
        </w:rPr>
        <w:t>. Net cash provided by operating activities was $20.7 million for the six months ended June 30, 2022, compared to $57.6 million in the same period in 2021. The reduction in</w:t>
      </w:r>
      <w:r>
        <w:rPr>
          <w:rFonts w:ascii="Arial" w:cs="Arial" w:eastAsia="Arial" w:hAnsi="Arial"/>
          <w:sz w:val="11"/>
          <w:szCs w:val="11"/>
          <w:i w:val="1"/>
          <w:iCs w:val="1"/>
          <w:color w:val="auto"/>
        </w:rPr>
        <w:t xml:space="preserve"> </w:t>
      </w:r>
      <w:r>
        <w:rPr>
          <w:rFonts w:ascii="Arial" w:cs="Arial" w:eastAsia="Arial" w:hAnsi="Arial"/>
          <w:sz w:val="11"/>
          <w:szCs w:val="11"/>
          <w:color w:val="auto"/>
        </w:rPr>
        <w:t>net cash provided by operating activities for 2022 compared to 2021 was primarily a result of a 28.7 million increase in net loss as well as working capital changes. Working capital changes during the six months of 2022, primarily consisted of increases in inventories and accounts payable and accrued expenses, and a decrease in employee-related liabilities. Accounts receivable decreased to $103.8 million at June 30, 2022, from $110.7 million at December 31, 2021. Inventories increased to $88.1 million at June 30, 2022 from $68.6 million at December 31, 2021.</w:t>
      </w:r>
    </w:p>
    <w:p>
      <w:pPr>
        <w:spacing w:after="0" w:line="71" w:lineRule="exact"/>
        <w:rPr>
          <w:sz w:val="20"/>
          <w:szCs w:val="20"/>
          <w:color w:val="auto"/>
        </w:rPr>
      </w:pPr>
    </w:p>
    <w:p>
      <w:pPr>
        <w:ind w:right="320" w:firstLine="619"/>
        <w:spacing w:after="0" w:line="343" w:lineRule="auto"/>
        <w:rPr>
          <w:sz w:val="20"/>
          <w:szCs w:val="20"/>
          <w:color w:val="auto"/>
        </w:rPr>
      </w:pPr>
      <w:r>
        <w:rPr>
          <w:rFonts w:ascii="Arial" w:cs="Arial" w:eastAsia="Arial" w:hAnsi="Arial"/>
          <w:sz w:val="11"/>
          <w:szCs w:val="11"/>
          <w:i w:val="1"/>
          <w:iCs w:val="1"/>
          <w:color w:val="auto"/>
        </w:rPr>
        <w:t>Investing Activities</w:t>
      </w:r>
      <w:r>
        <w:rPr>
          <w:rFonts w:ascii="Arial" w:cs="Arial" w:eastAsia="Arial" w:hAnsi="Arial"/>
          <w:sz w:val="11"/>
          <w:szCs w:val="11"/>
          <w:color w:val="auto"/>
        </w:rPr>
        <w:t>. Net cash provided by investing activities was $11.6 million for the six months ended June 30, 2022, which was primarily related to $256.5 million in proceeds from</w:t>
      </w:r>
      <w:r>
        <w:rPr>
          <w:rFonts w:ascii="Arial" w:cs="Arial" w:eastAsia="Arial" w:hAnsi="Arial"/>
          <w:sz w:val="11"/>
          <w:szCs w:val="11"/>
          <w:i w:val="1"/>
          <w:iCs w:val="1"/>
          <w:color w:val="auto"/>
        </w:rPr>
        <w:t xml:space="preserve"> </w:t>
      </w:r>
      <w:r>
        <w:rPr>
          <w:rFonts w:ascii="Arial" w:cs="Arial" w:eastAsia="Arial" w:hAnsi="Arial"/>
          <w:sz w:val="11"/>
          <w:szCs w:val="11"/>
          <w:color w:val="auto"/>
        </w:rPr>
        <w:t>maturities and sales of short-term investments, offset by $229.7 million of purchases of short-term investments, and $14.8 million in purchases of property and equipment. Net cash used by investing activities was $70.9 million for the six months ended June 30, 2021, which was primarily related to $385.6 million of purchases of short-term investments, $9.3 million cash paid for the acquisition of intangible assets and equity investments, and $5.3 million in purchases of property and equipment, offset by $329.4 million in proceeds from maturities and sales of short-term investments.</w:t>
      </w:r>
    </w:p>
    <w:p>
      <w:pPr>
        <w:spacing w:after="0" w:line="81" w:lineRule="exact"/>
        <w:rPr>
          <w:sz w:val="20"/>
          <w:szCs w:val="20"/>
          <w:color w:val="auto"/>
        </w:rPr>
      </w:pPr>
    </w:p>
    <w:p>
      <w:pPr>
        <w:ind w:right="60" w:firstLine="619"/>
        <w:spacing w:after="0" w:line="256"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Net cash provided by financing activities was $11.6 million for the six months ended June 30, 2022, which primarily consisted of proceeds from the issuance of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under our stock plans. Net cash provided by financing activities was $17.2 million for the six months ended June 30, 2021, which primarily consisted of proceeds from the issuance of common stock under our stock plans.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1"/>
          <w:szCs w:val="11"/>
          <w:color w:val="auto"/>
        </w:rPr>
        <w:t>Our liquidity position and capital requirements are subject to fluctuation based on a number of factors. In particular, our cash inflows and outflows are principally impacted by the following:</w:t>
      </w:r>
    </w:p>
    <w:p>
      <w:pPr>
        <w:spacing w:after="0" w:line="204" w:lineRule="exact"/>
        <w:rPr>
          <w:sz w:val="20"/>
          <w:szCs w:val="20"/>
          <w:color w:val="auto"/>
        </w:rPr>
      </w:pPr>
    </w:p>
    <w:p>
      <w:pPr>
        <w:ind w:left="1360" w:hanging="367"/>
        <w:spacing w:after="0"/>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generate sales, the timing of those sales, the mix of products sold and the collection of receivables from period to period;</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timing of any additional financings, and the net proceeds raised from such financings;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timing and amount of the exercise of outstanding warrants, and proceeds from the issuance of equity awards pursuant to employee stock plans;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fluctuations in gross margins and operating margins;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fluctuations in working capital, including changes in accounts receivable, inventories, accounts payable, employee-related liabilities, and operating lease liabilities; and</w:t>
      </w:r>
    </w:p>
    <w:p>
      <w:pPr>
        <w:spacing w:after="0" w:line="180" w:lineRule="exact"/>
        <w:rPr>
          <w:rFonts w:ascii="Arial" w:cs="Arial" w:eastAsia="Arial" w:hAnsi="Arial"/>
          <w:sz w:val="13"/>
          <w:szCs w:val="13"/>
          <w:color w:val="auto"/>
        </w:rPr>
      </w:pPr>
    </w:p>
    <w:p>
      <w:pPr>
        <w:ind w:left="1360" w:hanging="367"/>
        <w:spacing w:after="0"/>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impacts and disruptions caused by the COVID-19 global pandemic.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40" w:name="page41"/>
    <w:bookmarkEnd w:id="40"/>
    <w:p>
      <w:pPr>
        <w:ind w:left="620"/>
        <w:spacing w:after="0"/>
        <w:rPr>
          <w:sz w:val="20"/>
          <w:szCs w:val="20"/>
          <w:color w:val="auto"/>
        </w:rPr>
      </w:pPr>
      <w:r>
        <w:rPr>
          <w:rFonts w:ascii="Arial" w:cs="Arial" w:eastAsia="Arial" w:hAnsi="Arial"/>
          <w:sz w:val="14"/>
          <w:szCs w:val="14"/>
          <w:color w:val="auto"/>
        </w:rPr>
        <w:t>Both our primary short-term and long-term capital needs are expected to include expenditures related to:</w:t>
      </w:r>
    </w:p>
    <w:p>
      <w:pPr>
        <w:spacing w:after="0" w:line="169" w:lineRule="exact"/>
        <w:rPr>
          <w:sz w:val="20"/>
          <w:szCs w:val="20"/>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support of our commercialization efforts related to our current and future products;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expansion of our customer support resources for our growing installed customer base;</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research and product development efforts, including clinical trial costs;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acquisitions, leasing or licensing of equipment, technology, intellectual property and other assets;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additional facilities leases and related tenant improvements;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investments for the development, improvement and acquisition of manufacturing, testing and packaging equipment to support business growth and increase capacity; and</w:t>
      </w:r>
    </w:p>
    <w:p>
      <w:pPr>
        <w:spacing w:after="0" w:line="180" w:lineRule="exact"/>
        <w:rPr>
          <w:rFonts w:ascii="Arial" w:cs="Arial" w:eastAsia="Arial" w:hAnsi="Arial"/>
          <w:sz w:val="13"/>
          <w:szCs w:val="13"/>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payments under licensing, development and commercialization agreements.</w:t>
      </w:r>
    </w:p>
    <w:p>
      <w:pPr>
        <w:spacing w:after="0" w:line="169" w:lineRule="exact"/>
        <w:rPr>
          <w:rFonts w:ascii="Arial" w:cs="Arial" w:eastAsia="Arial" w:hAnsi="Arial"/>
          <w:sz w:val="14"/>
          <w:szCs w:val="14"/>
          <w:color w:val="auto"/>
        </w:rPr>
      </w:pPr>
    </w:p>
    <w:p>
      <w:pPr>
        <w:ind w:left="1360" w:hanging="367"/>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acquisition and subsequent integration of businesses, products and technologies.</w:t>
      </w:r>
    </w:p>
    <w:p>
      <w:pPr>
        <w:spacing w:after="0" w:line="138" w:lineRule="exact"/>
        <w:rPr>
          <w:sz w:val="20"/>
          <w:szCs w:val="20"/>
          <w:color w:val="auto"/>
        </w:rPr>
      </w:pPr>
    </w:p>
    <w:p>
      <w:pPr>
        <w:ind w:right="20" w:firstLine="619"/>
        <w:spacing w:after="0" w:line="268" w:lineRule="auto"/>
        <w:rPr>
          <w:sz w:val="20"/>
          <w:szCs w:val="20"/>
          <w:color w:val="auto"/>
        </w:rPr>
      </w:pPr>
      <w:r>
        <w:rPr>
          <w:rFonts w:ascii="Arial" w:cs="Arial" w:eastAsia="Arial" w:hAnsi="Arial"/>
          <w:sz w:val="13"/>
          <w:szCs w:val="13"/>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the Line of Credit,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Indebtedness</w:t>
      </w:r>
    </w:p>
    <w:p>
      <w:pPr>
        <w:spacing w:after="0" w:line="142" w:lineRule="exact"/>
        <w:rPr>
          <w:sz w:val="20"/>
          <w:szCs w:val="20"/>
          <w:color w:val="auto"/>
        </w:rPr>
      </w:pPr>
    </w:p>
    <w:p>
      <w:pPr>
        <w:ind w:right="40" w:firstLine="619"/>
        <w:spacing w:after="0" w:line="278" w:lineRule="auto"/>
        <w:rPr>
          <w:sz w:val="20"/>
          <w:szCs w:val="20"/>
          <w:color w:val="auto"/>
        </w:rPr>
      </w:pPr>
      <w:r>
        <w:rPr>
          <w:rFonts w:ascii="Arial" w:cs="Arial" w:eastAsia="Arial" w:hAnsi="Arial"/>
          <w:sz w:val="13"/>
          <w:szCs w:val="13"/>
          <w:color w:val="auto"/>
        </w:rPr>
        <w:t>In May 2020, the Company entered into a purchase agreement with certain counterparties for the sale of an aggregate of $287.5 million principal amount of 1.50% Convertible Senior Notes due 2025 in a private offering to qualified institutional buyers (the Notes). The proceeds from the issuance of the Notes were $244.6 million, net of debt issuance costs and cash used to pay the cost of the Capped Call Transactions (see Note 7, “Debt”). 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Cash payments due by calendar year for our Convertible Senior Notes at June 30, 2022 are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Remaining in 2022</w:t>
            </w:r>
          </w:p>
        </w:tc>
        <w:tc>
          <w:tcPr>
            <w:tcW w:w="900" w:type="dxa"/>
            <w:vAlign w:val="bottom"/>
          </w:tcPr>
          <w:p>
            <w:pPr>
              <w:jc w:val="right"/>
              <w:ind w:right="34"/>
              <w:spacing w:after="0"/>
              <w:rPr>
                <w:sz w:val="20"/>
                <w:szCs w:val="20"/>
                <w:color w:val="auto"/>
              </w:rPr>
            </w:pPr>
            <w:r>
              <w:rPr>
                <w:rFonts w:ascii="Arial" w:cs="Arial" w:eastAsia="Arial" w:hAnsi="Arial"/>
                <w:sz w:val="12"/>
                <w:szCs w:val="12"/>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2"/>
                <w:szCs w:val="12"/>
                <w:b w:val="1"/>
                <w:bCs w:val="1"/>
                <w:color w:val="auto"/>
              </w:rPr>
              <w:t>2024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3"/>
              <w:spacing w:after="0"/>
              <w:rPr>
                <w:sz w:val="20"/>
                <w:szCs w:val="20"/>
                <w:color w:val="auto"/>
              </w:rPr>
            </w:pPr>
            <w:r>
              <w:rPr>
                <w:rFonts w:ascii="Arial" w:cs="Arial" w:eastAsia="Arial" w:hAnsi="Arial"/>
                <w:sz w:val="12"/>
                <w:szCs w:val="12"/>
                <w:b w:val="1"/>
                <w:bCs w:val="1"/>
                <w:color w:val="auto"/>
              </w:rPr>
              <w:t>2025</w:t>
            </w:r>
          </w:p>
        </w:tc>
      </w:tr>
      <w:tr>
        <w:trPr>
          <w:trHeight w:val="168"/>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Contractual interest</w:t>
            </w:r>
          </w:p>
        </w:tc>
        <w:tc>
          <w:tcPr>
            <w:tcW w:w="84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w:t>
            </w:r>
          </w:p>
        </w:tc>
      </w:tr>
      <w:tr>
        <w:trPr>
          <w:trHeight w:val="175"/>
        </w:trPr>
        <w:tc>
          <w:tcPr>
            <w:tcW w:w="4100" w:type="dxa"/>
            <w:vAlign w:val="bottom"/>
          </w:tcPr>
          <w:p>
            <w:pPr>
              <w:ind w:left="20"/>
              <w:spacing w:after="0" w:line="176" w:lineRule="exact"/>
              <w:rPr>
                <w:sz w:val="20"/>
                <w:szCs w:val="20"/>
                <w:color w:val="auto"/>
              </w:rPr>
            </w:pPr>
            <w:r>
              <w:rPr>
                <w:rFonts w:ascii="Arial" w:cs="Arial" w:eastAsia="Arial" w:hAnsi="Arial"/>
                <w:sz w:val="14"/>
                <w:szCs w:val="14"/>
                <w:color w:val="auto"/>
              </w:rPr>
              <w:t>Principal amount of convertible senior notes</w:t>
            </w:r>
            <w:r>
              <w:rPr>
                <w:rFonts w:ascii="Arial" w:cs="Arial" w:eastAsia="Arial" w:hAnsi="Arial"/>
                <w:sz w:val="17"/>
                <w:szCs w:val="17"/>
                <w:color w:val="auto"/>
                <w:vertAlign w:val="superscript"/>
              </w:rPr>
              <w:t>(1)</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287,500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287,500</w:t>
            </w:r>
          </w:p>
        </w:tc>
      </w:tr>
      <w:tr>
        <w:trPr>
          <w:trHeight w:val="191"/>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299,700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288,918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580" w:right="2440" w:hanging="5577"/>
        <w:spacing w:after="0" w:line="896" w:lineRule="auto"/>
        <w:tabs>
          <w:tab w:leader="none" w:pos="202"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Convertible Senior Notes may be settled in cash, shares of our common stock, or a combination of cash and shares of our common stock, at our election.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-238125</wp:posOffset>
            </wp:positionV>
            <wp:extent cx="71901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73" w:lineRule="exact"/>
        <w:rPr>
          <w:sz w:val="20"/>
          <w:szCs w:val="20"/>
          <w:color w:val="auto"/>
        </w:rPr>
      </w:pPr>
    </w:p>
    <w:p>
      <w:pPr>
        <w:ind w:firstLine="619"/>
        <w:spacing w:after="0" w:line="250" w:lineRule="auto"/>
        <w:rPr>
          <w:sz w:val="20"/>
          <w:szCs w:val="20"/>
          <w:color w:val="auto"/>
        </w:rPr>
      </w:pPr>
      <w:r>
        <w:rPr>
          <w:rFonts w:ascii="Arial" w:cs="Arial" w:eastAsia="Arial" w:hAnsi="Arial"/>
          <w:sz w:val="14"/>
          <w:szCs w:val="14"/>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49" w:lineRule="exact"/>
        <w:rPr>
          <w:sz w:val="20"/>
          <w:szCs w:val="20"/>
          <w:color w:val="auto"/>
        </w:rPr>
      </w:pPr>
    </w:p>
    <w:p>
      <w:pPr>
        <w:jc w:val="both"/>
        <w:ind w:right="240" w:firstLine="619"/>
        <w:spacing w:after="0" w:line="256" w:lineRule="auto"/>
        <w:rPr>
          <w:sz w:val="20"/>
          <w:szCs w:val="20"/>
          <w:color w:val="auto"/>
        </w:rPr>
      </w:pPr>
      <w:r>
        <w:rPr>
          <w:rFonts w:ascii="Arial" w:cs="Arial" w:eastAsia="Arial" w:hAnsi="Arial"/>
          <w:sz w:val="14"/>
          <w:szCs w:val="14"/>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48" w:lineRule="exact"/>
        <w:rPr>
          <w:sz w:val="20"/>
          <w:szCs w:val="20"/>
          <w:color w:val="auto"/>
        </w:rPr>
      </w:pPr>
    </w:p>
    <w:p>
      <w:pPr>
        <w:ind w:right="180" w:firstLine="619"/>
        <w:spacing w:after="0" w:line="266" w:lineRule="auto"/>
        <w:rPr>
          <w:sz w:val="20"/>
          <w:szCs w:val="20"/>
          <w:color w:val="auto"/>
        </w:rPr>
      </w:pPr>
      <w:r>
        <w:rPr>
          <w:rFonts w:ascii="Arial" w:cs="Arial" w:eastAsia="Arial" w:hAnsi="Arial"/>
          <w:sz w:val="14"/>
          <w:szCs w:val="14"/>
          <w:color w:val="auto"/>
        </w:rPr>
        <w:t>As of June 30, 2022, we are a party to certain standby letter of credit arrangements in support of our operating lease obligations. For a description of the arrangements we consider significant, see Note 12 “Commitments and Contingencies” to the condensed consolidated financial statements in Part I, Item 1 of this Quarterly Report.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and Interest Rate Risks</w:t>
      </w:r>
    </w:p>
    <w:p>
      <w:pPr>
        <w:spacing w:after="0" w:line="169" w:lineRule="exact"/>
        <w:rPr>
          <w:sz w:val="20"/>
          <w:szCs w:val="20"/>
          <w:color w:val="auto"/>
        </w:rPr>
      </w:pPr>
    </w:p>
    <w:p>
      <w:pPr>
        <w:ind w:right="60" w:firstLine="619"/>
        <w:spacing w:after="0" w:line="271" w:lineRule="auto"/>
        <w:rPr>
          <w:sz w:val="20"/>
          <w:szCs w:val="20"/>
          <w:color w:val="auto"/>
        </w:rPr>
      </w:pPr>
      <w:r>
        <w:rPr>
          <w:rFonts w:ascii="Arial" w:cs="Arial" w:eastAsia="Arial" w:hAnsi="Arial"/>
          <w:sz w:val="13"/>
          <w:szCs w:val="13"/>
          <w:color w:val="auto"/>
        </w:rPr>
        <w:t>We invest our excess cash in marketable securities consisting primarily of commercial paper, corporate debt securities, U.S. Treasury securities and U.S. Government-sponsored enterprise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from time to time, issued downgrades or revised outlooks to negative for certain issuers of the debt securities held in our short-term investments portfolio. Unrealized losses on available-for-sale debt securities at June 30, 2022 were primarily due to the recent increase in market interest rates. Based on the credit quality of the available-for-sale debt securities that are in an unrealized loss position, and our current estimates of future cash flows to be collected from those securities, we believe the unrealized losses were not credit losses (see Note 3, “Short-Term Investments”).</w:t>
      </w:r>
    </w:p>
    <w:p>
      <w:pPr>
        <w:spacing w:after="0" w:line="139" w:lineRule="exact"/>
        <w:rPr>
          <w:sz w:val="20"/>
          <w:szCs w:val="20"/>
          <w:color w:val="auto"/>
        </w:rPr>
      </w:pPr>
    </w:p>
    <w:p>
      <w:pPr>
        <w:ind w:right="60" w:firstLine="619"/>
        <w:spacing w:after="0" w:line="404" w:lineRule="auto"/>
        <w:rPr>
          <w:sz w:val="20"/>
          <w:szCs w:val="20"/>
          <w:color w:val="auto"/>
        </w:rPr>
      </w:pPr>
      <w:r>
        <w:rPr>
          <w:rFonts w:ascii="Arial" w:cs="Arial" w:eastAsia="Arial" w:hAnsi="Arial"/>
          <w:sz w:val="11"/>
          <w:szCs w:val="11"/>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69" w:lineRule="exact"/>
        <w:rPr>
          <w:sz w:val="20"/>
          <w:szCs w:val="20"/>
          <w:color w:val="auto"/>
        </w:rPr>
      </w:pPr>
    </w:p>
    <w:p>
      <w:pPr>
        <w:ind w:right="120" w:firstLine="619"/>
        <w:spacing w:after="0" w:line="404" w:lineRule="auto"/>
        <w:rPr>
          <w:sz w:val="20"/>
          <w:szCs w:val="20"/>
          <w:color w:val="auto"/>
        </w:rPr>
      </w:pPr>
      <w:r>
        <w:rPr>
          <w:rFonts w:ascii="Arial" w:cs="Arial" w:eastAsia="Arial" w:hAnsi="Arial"/>
          <w:sz w:val="11"/>
          <w:szCs w:val="11"/>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2022, it would not have had a material effect on the fair value of our investment portfolio as of that date.</w:t>
      </w:r>
    </w:p>
    <w:p>
      <w:pPr>
        <w:spacing w:after="0" w:line="69" w:lineRule="exact"/>
        <w:rPr>
          <w:sz w:val="20"/>
          <w:szCs w:val="20"/>
          <w:color w:val="auto"/>
        </w:rPr>
      </w:pPr>
    </w:p>
    <w:p>
      <w:pPr>
        <w:ind w:right="20" w:firstLine="619"/>
        <w:spacing w:after="0" w:line="266" w:lineRule="auto"/>
        <w:rPr>
          <w:sz w:val="20"/>
          <w:szCs w:val="20"/>
          <w:color w:val="auto"/>
        </w:rPr>
      </w:pPr>
      <w:r>
        <w:rPr>
          <w:rFonts w:ascii="Arial" w:cs="Arial" w:eastAsia="Arial" w:hAnsi="Arial"/>
          <w:sz w:val="14"/>
          <w:szCs w:val="14"/>
          <w:color w:val="auto"/>
        </w:rPr>
        <w:t>In May 2020, we issued $287.5 million principal amount of Convertible Senior Notes, which bear interest at a fixed rate of 1.50% per year. Accordingly, we are not subject to interest rate risk as a result of the Convertible Senior Notes (see Note 7,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69" w:lineRule="exact"/>
        <w:rPr>
          <w:sz w:val="20"/>
          <w:szCs w:val="20"/>
          <w:color w:val="auto"/>
        </w:rPr>
      </w:pPr>
    </w:p>
    <w:p>
      <w:pPr>
        <w:ind w:right="100" w:firstLine="619"/>
        <w:spacing w:after="0" w:line="271" w:lineRule="auto"/>
        <w:rPr>
          <w:sz w:val="20"/>
          <w:szCs w:val="20"/>
          <w:color w:val="auto"/>
        </w:rPr>
      </w:pPr>
      <w:r>
        <w:rPr>
          <w:rFonts w:ascii="Arial" w:cs="Arial" w:eastAsia="Arial" w:hAnsi="Arial"/>
          <w:sz w:val="13"/>
          <w:szCs w:val="13"/>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As we expand our operations in markets outside the United States, particularly in Europe, we will be exposed to further foreign currency exchange rate risk. We believe our exposure to foreign currency rate fluctuations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11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94" w:lineRule="exact"/>
        <w:rPr>
          <w:sz w:val="20"/>
          <w:szCs w:val="20"/>
          <w:color w:val="auto"/>
        </w:rPr>
      </w:pPr>
    </w:p>
    <w:p>
      <w:pPr>
        <w:ind w:right="20" w:firstLine="619"/>
        <w:spacing w:after="0" w:line="358" w:lineRule="auto"/>
        <w:rPr>
          <w:sz w:val="20"/>
          <w:szCs w:val="20"/>
          <w:color w:val="auto"/>
        </w:rPr>
      </w:pPr>
      <w:r>
        <w:rPr>
          <w:rFonts w:ascii="Arial" w:cs="Arial" w:eastAsia="Arial" w:hAnsi="Arial"/>
          <w:sz w:val="11"/>
          <w:szCs w:val="11"/>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4"/>
          <w:szCs w:val="14"/>
          <w:color w:val="auto"/>
        </w:rPr>
        <w:t>As of June 30, 2022,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June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43" w:name="page44"/>
    <w:bookmarkEnd w:id="43"/>
    <w:p>
      <w:pPr>
        <w:ind w:firstLine="619"/>
        <w:spacing w:after="0" w:line="226" w:lineRule="auto"/>
        <w:rPr>
          <w:sz w:val="20"/>
          <w:szCs w:val="20"/>
          <w:color w:val="auto"/>
        </w:rPr>
      </w:pPr>
      <w:r>
        <w:rPr>
          <w:rFonts w:ascii="Arial" w:cs="Arial" w:eastAsia="Arial" w:hAnsi="Arial"/>
          <w:sz w:val="14"/>
          <w:szCs w:val="14"/>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2" w:lineRule="exact"/>
        <w:rPr>
          <w:sz w:val="20"/>
          <w:szCs w:val="20"/>
          <w:color w:val="auto"/>
        </w:rPr>
      </w:pPr>
    </w:p>
    <w:p>
      <w:pPr>
        <w:ind w:right="60" w:firstLine="619"/>
        <w:spacing w:after="0" w:line="266"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of the Exchange Act) during the quarter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706"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52" w:lineRule="exact"/>
        <w:rPr>
          <w:sz w:val="20"/>
          <w:szCs w:val="20"/>
          <w:color w:val="auto"/>
        </w:rPr>
      </w:pPr>
    </w:p>
    <w:p>
      <w:pPr>
        <w:ind w:firstLine="619"/>
        <w:spacing w:after="0" w:line="252" w:lineRule="auto"/>
        <w:rPr>
          <w:sz w:val="20"/>
          <w:szCs w:val="20"/>
          <w:color w:val="auto"/>
        </w:rPr>
      </w:pPr>
      <w:r>
        <w:rPr>
          <w:rFonts w:ascii="Arial" w:cs="Arial" w:eastAsia="Arial" w:hAnsi="Arial"/>
          <w:sz w:val="13"/>
          <w:szCs w:val="13"/>
          <w:color w:val="auto"/>
        </w:rPr>
        <w:t xml:space="preserve">In May 2020, we were named as a defendant in three California state court class action lawsuits arising from a data breach that we experienced in January 2020.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3"/>
          <w:szCs w:val="13"/>
          <w:i w:val="1"/>
          <w:iCs w:val="1"/>
          <w:color w:val="auto"/>
        </w:rPr>
        <w:t>Joseph Deluna et al v. Tandem Diabetes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Care, Inc. </w:t>
      </w:r>
      <w:r>
        <w:rPr>
          <w:rFonts w:ascii="Arial" w:cs="Arial" w:eastAsia="Arial" w:hAnsi="Arial"/>
          <w:sz w:val="13"/>
          <w:szCs w:val="13"/>
          <w:color w:val="auto"/>
        </w:rPr>
        <w:t>The consolidated case alleges violations of the Confidentiality of Medical Information Act (CMIA), CCPA, California’s Unfair Competition Law (UCL), and breach of contract. We filed a</w:t>
      </w:r>
      <w:r>
        <w:rPr>
          <w:rFonts w:ascii="Arial" w:cs="Arial" w:eastAsia="Arial" w:hAnsi="Arial"/>
          <w:sz w:val="13"/>
          <w:szCs w:val="13"/>
          <w:i w:val="1"/>
          <w:iCs w:val="1"/>
          <w:color w:val="auto"/>
        </w:rPr>
        <w:t xml:space="preserve"> </w:t>
      </w:r>
      <w:r>
        <w:rPr>
          <w:rFonts w:ascii="Arial" w:cs="Arial" w:eastAsia="Arial" w:hAnsi="Arial"/>
          <w:sz w:val="13"/>
          <w:szCs w:val="13"/>
          <w:color w:val="auto"/>
        </w:rPr>
        <w:t>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to which the Company filed its opposition on April 11, 2022. The Company filed a motion for summary adjudication on the CMIA claim on April 7, 2022. Both motions are fully briefed, and the Court’s order on each motion is pending. The Company anticipates the Court will hear argument on both motions in the third quarter of 2022, though not yet scheduled.</w:t>
      </w:r>
    </w:p>
    <w:p>
      <w:pPr>
        <w:spacing w:after="0" w:line="11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3"/>
          <w:szCs w:val="13"/>
          <w:color w:val="auto"/>
        </w:rPr>
        <w:t xml:space="preserve">In September 2020, we were named as a defendant in a lawsuit entitled </w:t>
      </w:r>
      <w:r>
        <w:rPr>
          <w:rFonts w:ascii="Arial" w:cs="Arial" w:eastAsia="Arial" w:hAnsi="Arial"/>
          <w:sz w:val="13"/>
          <w:szCs w:val="13"/>
          <w:i w:val="1"/>
          <w:iCs w:val="1"/>
          <w:color w:val="auto"/>
        </w:rPr>
        <w:t>Buck Walsh, individually and on behalf of others similarly situated v. Tandem Diabetes Care, Inc.</w:t>
      </w:r>
      <w:r>
        <w:rPr>
          <w:rFonts w:ascii="Arial" w:cs="Arial" w:eastAsia="Arial" w:hAnsi="Arial"/>
          <w:sz w:val="13"/>
          <w:szCs w:val="13"/>
          <w:color w:val="auto"/>
        </w:rPr>
        <w:t>, which was filed in the Superior Court of the State of California in San Diego County. The alleged violations include business 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 The material terms of the settlement are set forth in a binding Memorandum of Agreement dated as of July 1, 2021, which was approved by the independent arbitrator on April 18, 2022. This lawsuit was resolved and closed upon disbursement of the settlement amount in May 2022.</w:t>
      </w:r>
    </w:p>
    <w:p>
      <w:pPr>
        <w:spacing w:after="0" w:line="157" w:lineRule="exact"/>
        <w:rPr>
          <w:sz w:val="20"/>
          <w:szCs w:val="20"/>
          <w:color w:val="auto"/>
        </w:rPr>
      </w:pPr>
    </w:p>
    <w:p>
      <w:pPr>
        <w:ind w:right="360" w:firstLine="619"/>
        <w:spacing w:after="0" w:line="266" w:lineRule="auto"/>
        <w:rPr>
          <w:sz w:val="20"/>
          <w:szCs w:val="20"/>
          <w:color w:val="auto"/>
        </w:rPr>
      </w:pPr>
      <w:r>
        <w:rPr>
          <w:rFonts w:ascii="Arial" w:cs="Arial" w:eastAsia="Arial" w:hAnsi="Arial"/>
          <w:sz w:val="14"/>
          <w:szCs w:val="14"/>
          <w:color w:val="auto"/>
        </w:rPr>
        <w:t>Although we intend to vigorously defend against these claims, there is no guarantee that we will prevail. Accordingly, we are unable to determine the ultimate outcome of these lawsuits or determine the amount or range of potential losses associated with the lawsuits.</w:t>
      </w:r>
    </w:p>
    <w:p>
      <w:pPr>
        <w:spacing w:after="0" w:line="159" w:lineRule="exact"/>
        <w:rPr>
          <w:sz w:val="20"/>
          <w:szCs w:val="20"/>
          <w:color w:val="auto"/>
        </w:rPr>
      </w:pPr>
    </w:p>
    <w:p>
      <w:pPr>
        <w:ind w:right="80" w:firstLine="619"/>
        <w:spacing w:after="0" w:line="236" w:lineRule="auto"/>
        <w:rPr>
          <w:sz w:val="20"/>
          <w:szCs w:val="20"/>
          <w:color w:val="auto"/>
        </w:rPr>
      </w:pPr>
      <w:r>
        <w:rPr>
          <w:rFonts w:ascii="Arial" w:cs="Arial" w:eastAsia="Arial" w:hAnsi="Arial"/>
          <w:sz w:val="14"/>
          <w:szCs w:val="14"/>
          <w:color w:val="auto"/>
        </w:rPr>
        <w:t>From time to time, we are involved in various other legal proceedings arising from or related to claims incident to the normal course of our business activities, including actions with respect to intellectual property, employment, regulatory, product liability and contractual matters.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73" w:lineRule="exact"/>
        <w:rPr>
          <w:sz w:val="20"/>
          <w:szCs w:val="20"/>
          <w:color w:val="auto"/>
        </w:rPr>
      </w:pPr>
    </w:p>
    <w:p>
      <w:pPr>
        <w:ind w:right="80" w:firstLine="619"/>
        <w:spacing w:after="0" w:line="272" w:lineRule="auto"/>
        <w:rPr>
          <w:sz w:val="20"/>
          <w:szCs w:val="20"/>
          <w:color w:val="auto"/>
        </w:rPr>
      </w:pPr>
      <w:r>
        <w:rPr>
          <w:rFonts w:ascii="Arial" w:cs="Arial" w:eastAsia="Arial" w:hAnsi="Arial"/>
          <w:sz w:val="13"/>
          <w:szCs w:val="13"/>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1"/>
          <w:szCs w:val="11"/>
          <w:i w:val="1"/>
          <w:iCs w:val="1"/>
          <w:color w:val="auto"/>
        </w:rPr>
        <w:t>The risk factors set forth below marked with an asterisk (*) next to the title contain changes to the description of the risk factors previously disclosed in Part I, Item 1A of our Annual Report.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Summary of Risk Factors</w:t>
      </w:r>
    </w:p>
    <w:p>
      <w:pPr>
        <w:spacing w:after="0" w:line="194"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4"/>
          <w:szCs w:val="14"/>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9" w:lineRule="exact"/>
        <w:rPr>
          <w:sz w:val="20"/>
          <w:szCs w:val="20"/>
          <w:color w:val="auto"/>
        </w:rPr>
      </w:pPr>
    </w:p>
    <w:p>
      <w:pPr>
        <w:ind w:left="500" w:hanging="25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We have incurred significant operating losses since inception and may not achieve sustained profitability.</w:t>
      </w:r>
    </w:p>
    <w:p>
      <w:pPr>
        <w:spacing w:after="0" w:line="11" w:lineRule="exact"/>
        <w:rPr>
          <w:rFonts w:ascii="Arial" w:cs="Arial" w:eastAsia="Arial" w:hAnsi="Arial"/>
          <w:sz w:val="16"/>
          <w:szCs w:val="16"/>
          <w:color w:val="auto"/>
        </w:rPr>
      </w:pPr>
    </w:p>
    <w:p>
      <w:pPr>
        <w:ind w:left="500" w:hanging="25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2"/>
          <w:szCs w:val="12"/>
          <w:color w:val="auto"/>
        </w:rPr>
        <w:t>We currently rely on sales of insulin pump products to generate a significant portion of our revenue, and any factors that negatively impact sales of these products may adversely affect us.</w:t>
      </w:r>
    </w:p>
    <w:p>
      <w:pPr>
        <w:spacing w:after="0" w:line="16" w:lineRule="exact"/>
        <w:rPr>
          <w:rFonts w:ascii="Arial" w:cs="Arial" w:eastAsia="Arial" w:hAnsi="Arial"/>
          <w:sz w:val="14"/>
          <w:szCs w:val="14"/>
          <w:color w:val="auto"/>
        </w:rPr>
      </w:pPr>
    </w:p>
    <w:p>
      <w:pPr>
        <w:ind w:left="500" w:hanging="25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Uncertainty in current global economic and political conditions could adversely affect our ability to predict product demand and impact our financial results.</w:t>
      </w:r>
    </w:p>
    <w:p>
      <w:pPr>
        <w:spacing w:after="0" w:line="3" w:lineRule="exact"/>
        <w:rPr>
          <w:rFonts w:ascii="Arial" w:cs="Arial" w:eastAsia="Arial" w:hAnsi="Arial"/>
          <w:sz w:val="14"/>
          <w:szCs w:val="14"/>
          <w:color w:val="auto"/>
        </w:rPr>
      </w:pPr>
    </w:p>
    <w:p>
      <w:pPr>
        <w:ind w:left="500" w:hanging="25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Our ability to maintain and grow our revenue depends on retaining a high percentage of our customer base.</w:t>
      </w:r>
    </w:p>
    <w:p>
      <w:pPr>
        <w:spacing w:after="0" w:line="5"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Failure to secure or retain adequate coverage or reimbursement for our products by third-party payors could adversely affect our business.</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We may fail to meet our sales forecasts if we are unable to maintain our existing sales, marketing, clinical and customer service infrastructure.</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If we are unable to maintain or expand our network of independent distributors, our sales may be negatively affected.</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Our failure to successfully complete clinical trials and development-stage testing could prevent us from obtaining regulatory approvals for or commercializing our products.</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We depend on a limited number of third-party suppliers for certain components and products.</w:t>
      </w:r>
    </w:p>
    <w:p>
      <w:pPr>
        <w:spacing w:after="0" w:line="6" w:lineRule="exact"/>
        <w:rPr>
          <w:rFonts w:ascii="Arial" w:cs="Arial" w:eastAsia="Arial" w:hAnsi="Arial"/>
          <w:sz w:val="16"/>
          <w:szCs w:val="16"/>
          <w:color w:val="auto"/>
        </w:rPr>
      </w:pPr>
    </w:p>
    <w:p>
      <w:pPr>
        <w:ind w:left="500" w:hanging="250"/>
        <w:spacing w:after="0" w:line="22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Any disruption at one of our facilities could adversely affect our business and operating results.</w:t>
      </w:r>
    </w:p>
    <w:p>
      <w:pPr>
        <w:ind w:left="500" w:hanging="25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Global economic and market uncertainty may adversely impact our business, financial condition and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Future Financings and Financial Results</w:t>
      </w:r>
    </w:p>
    <w:p>
      <w:pPr>
        <w:spacing w:after="0" w:line="19" w:lineRule="exact"/>
        <w:rPr>
          <w:sz w:val="20"/>
          <w:szCs w:val="20"/>
          <w:color w:val="auto"/>
        </w:rPr>
      </w:pPr>
    </w:p>
    <w:p>
      <w:pPr>
        <w:ind w:left="500" w:hanging="25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We may need to raise additional funds in the future and funds may not be available on commercially reasonable terms.</w:t>
      </w:r>
    </w:p>
    <w:p>
      <w:pPr>
        <w:spacing w:after="0" w:line="5"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Our operating results may fluctuate significantly from quarter to quarter.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and Potential Litigation</w:t>
      </w:r>
    </w:p>
    <w:p>
      <w:pPr>
        <w:spacing w:after="0" w:line="19" w:lineRule="exact"/>
        <w:rPr>
          <w:sz w:val="20"/>
          <w:szCs w:val="20"/>
          <w:color w:val="auto"/>
        </w:rPr>
      </w:pPr>
    </w:p>
    <w:p>
      <w:pPr>
        <w:ind w:left="500" w:hanging="250"/>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4"/>
          <w:szCs w:val="14"/>
          <w:color w:val="auto"/>
        </w:rPr>
        <w:t>Our ability to comprehensively protect our intellectual property and proprietary technology is uncertain.</w:t>
      </w:r>
    </w:p>
    <w:p>
      <w:pPr>
        <w:spacing w:after="0" w:line="5"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4"/>
          <w:szCs w:val="14"/>
          <w:color w:val="auto"/>
        </w:rPr>
        <w:t>Patent litigation is not uncommon in the medical device industry, and we may be subject to such litigation.</w:t>
      </w:r>
    </w:p>
    <w:p>
      <w:pPr>
        <w:spacing w:after="0" w:line="11" w:lineRule="exact"/>
        <w:rPr>
          <w:rFonts w:ascii="Arial" w:cs="Arial" w:eastAsia="Arial" w:hAnsi="Arial"/>
          <w:sz w:val="16"/>
          <w:szCs w:val="16"/>
          <w:color w:val="auto"/>
        </w:rPr>
      </w:pPr>
    </w:p>
    <w:p>
      <w:pPr>
        <w:ind w:left="500" w:right="20" w:hanging="250"/>
        <w:spacing w:after="0" w:line="236" w:lineRule="auto"/>
        <w:tabs>
          <w:tab w:leader="none" w:pos="493" w:val="left"/>
        </w:tabs>
        <w:numPr>
          <w:ilvl w:val="0"/>
          <w:numId w:val="12"/>
        </w:numPr>
        <w:rPr>
          <w:rFonts w:ascii="Arial" w:cs="Arial" w:eastAsia="Arial" w:hAnsi="Arial"/>
          <w:sz w:val="16"/>
          <w:szCs w:val="16"/>
          <w:color w:val="auto"/>
        </w:rPr>
      </w:pPr>
      <w:r>
        <w:rPr>
          <w:rFonts w:ascii="Arial" w:cs="Arial" w:eastAsia="Arial" w:hAnsi="Arial"/>
          <w:sz w:val="14"/>
          <w:szCs w:val="14"/>
          <w:color w:val="auto"/>
        </w:rPr>
        <w:t>We may be subject to damages resulting from claims that we have wrongfully used or disclosed patient health information or trade secrets, or are in breach of non-competition or non-solicitation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Legal and Regulatory Environment</w:t>
      </w:r>
    </w:p>
    <w:p>
      <w:pPr>
        <w:spacing w:after="0" w:line="19" w:lineRule="exact"/>
        <w:rPr>
          <w:sz w:val="20"/>
          <w:szCs w:val="20"/>
          <w:color w:val="auto"/>
        </w:rPr>
      </w:pPr>
    </w:p>
    <w:p>
      <w:pPr>
        <w:ind w:left="500" w:hanging="250"/>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4"/>
          <w:szCs w:val="14"/>
          <w:color w:val="auto"/>
        </w:rPr>
        <w:t>Our products and operations are subject to extensive governmental regulation, and regulatory approvals could be denied or delayed.</w:t>
      </w:r>
    </w:p>
    <w:p>
      <w:pPr>
        <w:spacing w:after="0" w:line="2" w:lineRule="exact"/>
        <w:rPr>
          <w:rFonts w:ascii="Arial" w:cs="Arial" w:eastAsia="Arial" w:hAnsi="Arial"/>
          <w:sz w:val="16"/>
          <w:szCs w:val="16"/>
          <w:color w:val="auto"/>
        </w:rPr>
      </w:pPr>
    </w:p>
    <w:p>
      <w:pPr>
        <w:ind w:left="500" w:hanging="250"/>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New products or modifications to our existing products may require new regulatory approvals, or require us to cease marketing or recall modified products.</w:t>
      </w:r>
    </w:p>
    <w:p>
      <w:pPr>
        <w:spacing w:after="0" w:line="1" w:lineRule="exact"/>
        <w:rPr>
          <w:rFonts w:ascii="Arial" w:cs="Arial" w:eastAsia="Arial" w:hAnsi="Arial"/>
          <w:sz w:val="14"/>
          <w:szCs w:val="14"/>
          <w:color w:val="auto"/>
        </w:rPr>
      </w:pPr>
    </w:p>
    <w:p>
      <w:pPr>
        <w:ind w:left="500" w:hanging="250"/>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or our third-party suppliers, contract manufacturers or service providers fail to comply with manufacturing regulations, it could impair our ability to market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9" w:lineRule="exact"/>
        <w:rPr>
          <w:sz w:val="20"/>
          <w:szCs w:val="20"/>
          <w:color w:val="auto"/>
        </w:rPr>
      </w:pPr>
    </w:p>
    <w:p>
      <w:pPr>
        <w:ind w:left="500" w:hanging="250"/>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4"/>
          <w:szCs w:val="14"/>
          <w:color w:val="auto"/>
        </w:rPr>
        <w:t>The price of our common stock may continue to fluctuate significantly.</w:t>
      </w:r>
    </w:p>
    <w:p>
      <w:pPr>
        <w:spacing w:after="0" w:line="5"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4"/>
          <w:szCs w:val="14"/>
          <w:color w:val="auto"/>
        </w:rPr>
        <w:t>Our ability to use our net operating loss carryforwards and certain other tax attributes may be limited.</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4"/>
          <w:szCs w:val="14"/>
          <w:color w:val="auto"/>
        </w:rPr>
        <w:t>We may fail to maintain an effective system of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Convertible Senior Notes</w:t>
      </w:r>
    </w:p>
    <w:p>
      <w:pPr>
        <w:spacing w:after="0" w:line="19" w:lineRule="exact"/>
        <w:rPr>
          <w:sz w:val="20"/>
          <w:szCs w:val="20"/>
          <w:color w:val="auto"/>
        </w:rPr>
      </w:pPr>
    </w:p>
    <w:p>
      <w:pPr>
        <w:ind w:left="500" w:hanging="25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4"/>
          <w:szCs w:val="14"/>
          <w:color w:val="auto"/>
        </w:rPr>
        <w:t>The Notes could adversely affect our financial condition.</w:t>
      </w:r>
    </w:p>
    <w:p>
      <w:pPr>
        <w:spacing w:after="0" w:line="5"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4"/>
          <w:szCs w:val="14"/>
          <w:color w:val="auto"/>
        </w:rPr>
        <w:t>We may not have sufficient cash flow from our business to service the Notes.</w:t>
      </w:r>
    </w:p>
    <w:p>
      <w:pPr>
        <w:spacing w:after="0" w:line="6" w:lineRule="exact"/>
        <w:rPr>
          <w:rFonts w:ascii="Arial" w:cs="Arial" w:eastAsia="Arial" w:hAnsi="Arial"/>
          <w:sz w:val="16"/>
          <w:szCs w:val="16"/>
          <w:color w:val="auto"/>
        </w:rPr>
      </w:pPr>
    </w:p>
    <w:p>
      <w:pPr>
        <w:ind w:left="500" w:hanging="250"/>
        <w:spacing w:after="0" w:line="234"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4"/>
          <w:szCs w:val="14"/>
          <w:color w:val="auto"/>
        </w:rPr>
        <w:t>We may take actions which could limit our ability to make payments on the Notes.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60"/>
          </w:cols>
          <w:pgMar w:left="300" w:top="847" w:right="4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significant operating losses since inception and cannot assure you that we will achieve sustained profitability.*</w:t>
      </w:r>
    </w:p>
    <w:p>
      <w:pPr>
        <w:spacing w:after="0" w:line="138" w:lineRule="exact"/>
        <w:rPr>
          <w:sz w:val="20"/>
          <w:szCs w:val="20"/>
          <w:color w:val="auto"/>
        </w:rPr>
      </w:pPr>
    </w:p>
    <w:p>
      <w:pPr>
        <w:ind w:right="120" w:firstLine="619"/>
        <w:spacing w:after="0" w:line="358" w:lineRule="auto"/>
        <w:rPr>
          <w:sz w:val="20"/>
          <w:szCs w:val="20"/>
          <w:color w:val="auto"/>
        </w:rPr>
      </w:pPr>
      <w:r>
        <w:rPr>
          <w:rFonts w:ascii="Arial" w:cs="Arial" w:eastAsia="Arial" w:hAnsi="Arial"/>
          <w:sz w:val="11"/>
          <w:szCs w:val="11"/>
          <w:color w:val="auto"/>
        </w:rPr>
        <w:t>Since our inception in January 2006, we have incurred a significant net loss. As of June 30, 2022, we had an accumulated deficit of $664.4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94" w:lineRule="exact"/>
        <w:rPr>
          <w:sz w:val="20"/>
          <w:szCs w:val="20"/>
          <w:color w:val="auto"/>
        </w:rPr>
      </w:pPr>
    </w:p>
    <w:p>
      <w:pPr>
        <w:ind w:right="40" w:firstLine="619"/>
        <w:spacing w:after="0" w:line="305" w:lineRule="auto"/>
        <w:rPr>
          <w:sz w:val="20"/>
          <w:szCs w:val="20"/>
          <w:color w:val="auto"/>
        </w:rPr>
      </w:pPr>
      <w:r>
        <w:rPr>
          <w:rFonts w:ascii="Arial" w:cs="Arial" w:eastAsia="Arial" w:hAnsi="Arial"/>
          <w:sz w:val="13"/>
          <w:szCs w:val="13"/>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25"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3"/>
          <w:szCs w:val="13"/>
          <w:color w:val="auto"/>
        </w:rPr>
        <w:t>Since the first quarter of 2013, we have been able to manufacture and sell our insulin pump products at a cost and in volumes sufficient to allow us to achieve a positive overall gross margin. For the years ended December 31, 2021 and 2020, our gross profit was $376.2 million and $260.5 million, respectively. Although we have achieved a positive overall gross margin and generated net income on an annual basis for the first time for the year ended December 31, 2021, we may still operate at a net loss from time to time due to fluctuations in our business.</w:t>
      </w:r>
    </w:p>
    <w:p>
      <w:pPr>
        <w:spacing w:after="0" w:line="139" w:lineRule="exact"/>
        <w:rPr>
          <w:sz w:val="20"/>
          <w:szCs w:val="20"/>
          <w:color w:val="auto"/>
        </w:rPr>
      </w:pPr>
    </w:p>
    <w:p>
      <w:pPr>
        <w:ind w:right="120" w:firstLine="619"/>
        <w:spacing w:after="0" w:line="251" w:lineRule="auto"/>
        <w:rPr>
          <w:sz w:val="20"/>
          <w:szCs w:val="20"/>
          <w:color w:val="auto"/>
        </w:rPr>
      </w:pPr>
      <w:r>
        <w:rPr>
          <w:rFonts w:ascii="Arial" w:cs="Arial" w:eastAsia="Arial" w:hAnsi="Arial"/>
          <w:sz w:val="14"/>
          <w:szCs w:val="14"/>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 our products currently under development both in the United States and the more than 20 countries in which we operate outside the United States.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48" w:lineRule="exact"/>
        <w:rPr>
          <w:sz w:val="20"/>
          <w:szCs w:val="20"/>
          <w:color w:val="auto"/>
        </w:rPr>
      </w:pPr>
    </w:p>
    <w:p>
      <w:pPr>
        <w:ind w:right="180" w:firstLine="619"/>
        <w:spacing w:after="0" w:line="251" w:lineRule="auto"/>
        <w:rPr>
          <w:sz w:val="20"/>
          <w:szCs w:val="20"/>
          <w:color w:val="auto"/>
        </w:rPr>
      </w:pPr>
      <w:r>
        <w:rPr>
          <w:rFonts w:ascii="Arial" w:cs="Arial" w:eastAsia="Arial" w:hAnsi="Arial"/>
          <w:sz w:val="14"/>
          <w:szCs w:val="14"/>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general economic conditions, and the scope and duration of the impacts caused by the COVID-19 global pandemic. Any additional operating losses will have an adverse effect on our stockholders’ equity, and we cannot assure you that we will be able to sustain profitability.</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38" w:lineRule="exact"/>
        <w:rPr>
          <w:sz w:val="20"/>
          <w:szCs w:val="20"/>
          <w:color w:val="auto"/>
        </w:rPr>
      </w:pPr>
    </w:p>
    <w:p>
      <w:pPr>
        <w:ind w:right="120" w:firstLine="619"/>
        <w:spacing w:after="0" w:line="266" w:lineRule="auto"/>
        <w:rPr>
          <w:sz w:val="20"/>
          <w:szCs w:val="20"/>
          <w:color w:val="auto"/>
        </w:rPr>
      </w:pPr>
      <w:r>
        <w:rPr>
          <w:rFonts w:ascii="Arial" w:cs="Arial" w:eastAsia="Arial" w:hAnsi="Arial"/>
          <w:sz w:val="14"/>
          <w:szCs w:val="14"/>
          <w:color w:val="auto"/>
        </w:rPr>
        <w:t>We generate nearly all of our revenue from the sale of t:slim X2 insulin pumps and the related insulin cartridges and infusion sets. Sales of these products may be negatively impacted by many factors, including:</w:t>
      </w:r>
    </w:p>
    <w:p>
      <w:pPr>
        <w:spacing w:after="0" w:line="138" w:lineRule="exact"/>
        <w:rPr>
          <w:sz w:val="20"/>
          <w:szCs w:val="20"/>
          <w:color w:val="auto"/>
        </w:rPr>
      </w:pPr>
    </w:p>
    <w:p>
      <w:pPr>
        <w:ind w:left="1480" w:hanging="48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market acceptance of the insulin pumps and related products manufactured and sold by our key competitors, including Medtronic;</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potential that breakthroughs for the monitoring, treatment or prevention of diabetes may render our insulin pumps obsolete or less desirable;</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adverse regulatory or legal actions relating to our products, or similar products or technologies of our competitors;</w:t>
      </w:r>
    </w:p>
    <w:p>
      <w:pPr>
        <w:spacing w:after="0" w:line="169" w:lineRule="exact"/>
        <w:rPr>
          <w:rFonts w:ascii="Arial" w:cs="Arial" w:eastAsia="Arial" w:hAnsi="Arial"/>
          <w:sz w:val="14"/>
          <w:szCs w:val="14"/>
          <w:color w:val="auto"/>
        </w:rPr>
      </w:pPr>
    </w:p>
    <w:p>
      <w:pPr>
        <w:ind w:left="1480" w:right="200" w:hanging="487"/>
        <w:spacing w:after="0" w:line="266" w:lineRule="auto"/>
        <w:tabs>
          <w:tab w:leader="none" w:pos="1477"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reimbursement rates or policies relating to insulin pumps or similar products or technologies by third-party payors;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47" w:name="page48"/>
    <w:bookmarkEnd w:id="47"/>
    <w:p>
      <w:pPr>
        <w:ind w:left="1480" w:hanging="48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inability to enter into contracts with third-party payors on a timely basis and on acceptable terms;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problems arising from the expansion of our manufacturing capabilities and commercial operations, or destruction, loss, or temporary shutdown of our manufacturing facilities;</w:t>
      </w:r>
    </w:p>
    <w:p>
      <w:pPr>
        <w:spacing w:after="0" w:line="203" w:lineRule="exact"/>
        <w:rPr>
          <w:rFonts w:ascii="Arial" w:cs="Arial" w:eastAsia="Arial" w:hAnsi="Arial"/>
          <w:sz w:val="11"/>
          <w:szCs w:val="11"/>
          <w:color w:val="auto"/>
        </w:rPr>
      </w:pPr>
    </w:p>
    <w:p>
      <w:pPr>
        <w:ind w:left="1480" w:right="260" w:hanging="487"/>
        <w:spacing w:after="0" w:line="266" w:lineRule="auto"/>
        <w:tabs>
          <w:tab w:leader="none" w:pos="14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claims that any of our products, or any component thereof, infringes on patent rights or other intellectual property rights of third parties.</w:t>
      </w:r>
    </w:p>
    <w:p>
      <w:pPr>
        <w:spacing w:after="0" w:line="169" w:lineRule="exact"/>
        <w:rPr>
          <w:sz w:val="20"/>
          <w:szCs w:val="20"/>
          <w:color w:val="auto"/>
        </w:rPr>
      </w:pPr>
    </w:p>
    <w:p>
      <w:pPr>
        <w:ind w:right="140" w:firstLine="619"/>
        <w:spacing w:after="0" w:line="335" w:lineRule="auto"/>
        <w:rPr>
          <w:sz w:val="20"/>
          <w:szCs w:val="20"/>
          <w:color w:val="auto"/>
        </w:rPr>
      </w:pPr>
      <w:r>
        <w:rPr>
          <w:rFonts w:ascii="Arial" w:cs="Arial" w:eastAsia="Arial" w:hAnsi="Arial"/>
          <w:sz w:val="11"/>
          <w:szCs w:val="11"/>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07" w:lineRule="exact"/>
        <w:rPr>
          <w:sz w:val="20"/>
          <w:szCs w:val="20"/>
          <w:color w:val="auto"/>
        </w:rPr>
      </w:pPr>
    </w:p>
    <w:p>
      <w:pPr>
        <w:ind w:right="40" w:firstLine="619"/>
        <w:spacing w:after="0" w:line="274" w:lineRule="auto"/>
        <w:rPr>
          <w:sz w:val="20"/>
          <w:szCs w:val="20"/>
          <w:color w:val="auto"/>
        </w:rPr>
      </w:pPr>
      <w:r>
        <w:rPr>
          <w:rFonts w:ascii="Arial" w:cs="Arial" w:eastAsia="Arial" w:hAnsi="Arial"/>
          <w:sz w:val="13"/>
          <w:szCs w:val="13"/>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in current global economic and political conditions could adversely affect our ability to predict product demand and impact our financial results.</w:t>
      </w:r>
    </w:p>
    <w:p>
      <w:pPr>
        <w:spacing w:after="0" w:line="148" w:lineRule="exact"/>
        <w:rPr>
          <w:sz w:val="20"/>
          <w:szCs w:val="20"/>
          <w:color w:val="auto"/>
        </w:rPr>
      </w:pPr>
    </w:p>
    <w:p>
      <w:pPr>
        <w:ind w:firstLine="619"/>
        <w:spacing w:after="0" w:line="221" w:lineRule="auto"/>
        <w:rPr>
          <w:sz w:val="20"/>
          <w:szCs w:val="20"/>
          <w:color w:val="auto"/>
        </w:rPr>
      </w:pPr>
      <w:r>
        <w:rPr>
          <w:rFonts w:ascii="Arial" w:cs="Arial" w:eastAsia="Arial" w:hAnsi="Arial"/>
          <w:sz w:val="14"/>
          <w:szCs w:val="14"/>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4"/>
          <w:szCs w:val="14"/>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07" w:lineRule="exact"/>
        <w:rPr>
          <w:sz w:val="20"/>
          <w:szCs w:val="20"/>
          <w:color w:val="auto"/>
        </w:rPr>
      </w:pPr>
    </w:p>
    <w:p>
      <w:pPr>
        <w:ind w:firstLine="619"/>
        <w:spacing w:after="0" w:line="249" w:lineRule="auto"/>
        <w:rPr>
          <w:sz w:val="20"/>
          <w:szCs w:val="20"/>
          <w:color w:val="auto"/>
        </w:rPr>
      </w:pPr>
      <w:r>
        <w:rPr>
          <w:rFonts w:ascii="Arial" w:cs="Arial" w:eastAsia="Arial" w:hAnsi="Arial"/>
          <w:sz w:val="14"/>
          <w:szCs w:val="14"/>
          <w:color w:val="auto"/>
        </w:rPr>
        <w:t>Public health threats and other highly communicable diseases and outbreaks could adversely impact our operations, the operations of our customers, suppliers, distributors and other business partners, as well as the healthcare system in general. The overall scope of the COVID-19 global pandemic and its impacts continue to fluctuate, and in some instances worsen, in various regions worldwide. Although the overall negative impact from the COVID-19 global pandemic on our business is difficult to estimate, our sales and operating results have been adversely impacted, and we anticipate that they will continue to be impacted and subject to unpredictable variability in future periods.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and continues to impact our development timelines and regulatory strategies and also could have a negative impact on our product commercialization efforts and the future demand for our products.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48" w:name="page49"/>
    <w:bookmarkEnd w:id="48"/>
    <w:p>
      <w:pPr>
        <w:ind w:right="20" w:firstLine="619"/>
        <w:spacing w:after="0" w:line="238" w:lineRule="auto"/>
        <w:rPr>
          <w:sz w:val="20"/>
          <w:szCs w:val="20"/>
          <w:color w:val="auto"/>
        </w:rPr>
      </w:pPr>
      <w:r>
        <w:rPr>
          <w:rFonts w:ascii="Arial" w:cs="Arial" w:eastAsia="Arial" w:hAnsi="Arial"/>
          <w:sz w:val="13"/>
          <w:szCs w:val="13"/>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adapting to a hybrid work model, and we may experience additional costs as our employees return to work, or as we respond to general labor shortages and heightened competition for employees with specialized skills.</w:t>
      </w:r>
    </w:p>
    <w:p>
      <w:pPr>
        <w:spacing w:after="0" w:line="117" w:lineRule="exact"/>
        <w:rPr>
          <w:sz w:val="20"/>
          <w:szCs w:val="20"/>
          <w:color w:val="auto"/>
        </w:rPr>
      </w:pPr>
    </w:p>
    <w:p>
      <w:pPr>
        <w:ind w:right="20" w:firstLine="619"/>
        <w:spacing w:after="0" w:line="270" w:lineRule="auto"/>
        <w:rPr>
          <w:sz w:val="20"/>
          <w:szCs w:val="20"/>
          <w:color w:val="auto"/>
        </w:rPr>
      </w:pPr>
      <w:r>
        <w:rPr>
          <w:rFonts w:ascii="Arial" w:cs="Arial" w:eastAsia="Arial" w:hAnsi="Arial"/>
          <w:sz w:val="13"/>
          <w:szCs w:val="13"/>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has and could continue to have a material adverse impact on the operations of one or more of our suppliers. These adverse impacts on our suppliers could prevent them from delivering products to us or supporting our requirements for manufacturing-related equipment on a timely basis, or at all.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w:t>
      </w:r>
    </w:p>
    <w:p>
      <w:pPr>
        <w:spacing w:after="0" w:line="160" w:lineRule="exact"/>
        <w:rPr>
          <w:sz w:val="20"/>
          <w:szCs w:val="20"/>
          <w:color w:val="auto"/>
        </w:rPr>
      </w:pPr>
    </w:p>
    <w:p>
      <w:pPr>
        <w:ind w:right="100" w:firstLine="619"/>
        <w:spacing w:after="0" w:line="343" w:lineRule="auto"/>
        <w:rPr>
          <w:sz w:val="20"/>
          <w:szCs w:val="20"/>
          <w:color w:val="auto"/>
        </w:rPr>
      </w:pPr>
      <w:r>
        <w:rPr>
          <w:rFonts w:ascii="Arial" w:cs="Arial" w:eastAsia="Arial" w:hAnsi="Arial"/>
          <w:sz w:val="11"/>
          <w:szCs w:val="11"/>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maintain and grow our revenue depends in part on retaining a high percentage of our customer base.*</w:t>
      </w:r>
    </w:p>
    <w:p>
      <w:pPr>
        <w:spacing w:after="0" w:line="190" w:lineRule="exact"/>
        <w:rPr>
          <w:sz w:val="20"/>
          <w:szCs w:val="20"/>
          <w:color w:val="auto"/>
        </w:rPr>
      </w:pPr>
    </w:p>
    <w:p>
      <w:pPr>
        <w:ind w:right="40" w:firstLine="619"/>
        <w:spacing w:after="0" w:line="328" w:lineRule="auto"/>
        <w:rPr>
          <w:sz w:val="20"/>
          <w:szCs w:val="20"/>
          <w:color w:val="auto"/>
        </w:rPr>
      </w:pPr>
      <w:r>
        <w:rPr>
          <w:rFonts w:ascii="Arial" w:cs="Arial" w:eastAsia="Arial" w:hAnsi="Arial"/>
          <w:sz w:val="11"/>
          <w:szCs w:val="11"/>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31" w:lineRule="exact"/>
        <w:rPr>
          <w:sz w:val="20"/>
          <w:szCs w:val="20"/>
          <w:color w:val="auto"/>
        </w:rPr>
      </w:pPr>
    </w:p>
    <w:p>
      <w:pPr>
        <w:ind w:firstLine="619"/>
        <w:spacing w:after="0" w:line="335" w:lineRule="auto"/>
        <w:rPr>
          <w:sz w:val="20"/>
          <w:szCs w:val="20"/>
          <w:color w:val="auto"/>
        </w:rPr>
      </w:pPr>
      <w:r>
        <w:rPr>
          <w:rFonts w:ascii="Arial" w:cs="Arial" w:eastAsia="Arial" w:hAnsi="Arial"/>
          <w:sz w:val="11"/>
          <w:szCs w:val="11"/>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In addition, varying COVID-19 case rates can limit our in-person access to healthcare provider offices and also result in staffing shortages in the practices we serve. Collectively,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07" w:lineRule="exact"/>
        <w:rPr>
          <w:sz w:val="20"/>
          <w:szCs w:val="20"/>
          <w:color w:val="auto"/>
        </w:rPr>
      </w:pPr>
    </w:p>
    <w:p>
      <w:pPr>
        <w:ind w:right="440" w:firstLine="619"/>
        <w:spacing w:after="0" w:line="266" w:lineRule="auto"/>
        <w:rPr>
          <w:sz w:val="20"/>
          <w:szCs w:val="20"/>
          <w:color w:val="auto"/>
        </w:rPr>
      </w:pPr>
      <w:r>
        <w:rPr>
          <w:rFonts w:ascii="Arial" w:cs="Arial" w:eastAsia="Arial" w:hAnsi="Arial"/>
          <w:sz w:val="14"/>
          <w:szCs w:val="14"/>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49" w:name="page50"/>
    <w:bookmarkEnd w:id="49"/>
    <w:p>
      <w:pPr>
        <w:ind w:right="420"/>
        <w:spacing w:after="0" w:line="266" w:lineRule="auto"/>
        <w:rPr>
          <w:sz w:val="20"/>
          <w:szCs w:val="20"/>
          <w:color w:val="auto"/>
        </w:rPr>
      </w:pPr>
      <w:r>
        <w:rPr>
          <w:rFonts w:ascii="Arial" w:cs="Arial" w:eastAsia="Arial" w:hAnsi="Arial"/>
          <w:sz w:val="14"/>
          <w:szCs w:val="14"/>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38" w:lineRule="exact"/>
        <w:rPr>
          <w:sz w:val="20"/>
          <w:szCs w:val="20"/>
          <w:color w:val="auto"/>
        </w:rPr>
      </w:pPr>
    </w:p>
    <w:p>
      <w:pPr>
        <w:ind w:right="300" w:firstLine="619"/>
        <w:spacing w:after="0" w:line="256" w:lineRule="auto"/>
        <w:rPr>
          <w:sz w:val="20"/>
          <w:szCs w:val="20"/>
          <w:color w:val="auto"/>
        </w:rPr>
      </w:pPr>
      <w:r>
        <w:rPr>
          <w:rFonts w:ascii="Arial" w:cs="Arial" w:eastAsia="Arial" w:hAnsi="Arial"/>
          <w:sz w:val="14"/>
          <w:szCs w:val="14"/>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55" w:lineRule="exact"/>
        <w:rPr>
          <w:sz w:val="20"/>
          <w:szCs w:val="20"/>
          <w:color w:val="auto"/>
        </w:rPr>
      </w:pPr>
    </w:p>
    <w:p>
      <w:pPr>
        <w:ind w:firstLine="619"/>
        <w:spacing w:after="0" w:line="241" w:lineRule="auto"/>
        <w:rPr>
          <w:sz w:val="20"/>
          <w:szCs w:val="20"/>
          <w:color w:val="auto"/>
        </w:rPr>
      </w:pPr>
      <w:r>
        <w:rPr>
          <w:rFonts w:ascii="Arial" w:cs="Arial" w:eastAsia="Arial" w:hAnsi="Arial"/>
          <w:sz w:val="13"/>
          <w:szCs w:val="13"/>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existing third-party insulin pump as part of a to-be-developed system and Becton Dickinson and Company recently completed the spin off its diabetes care business as a separate publicly-traded company, Embecta.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47" w:lineRule="exact"/>
        <w:rPr>
          <w:sz w:val="20"/>
          <w:szCs w:val="20"/>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greater financial and human resources for sales and marketing, product development, customer service and clinical resources;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greater ability to respond to competitive pressures, regulatory uncertainty, or challenges within the financial markets;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established relationships with healthcare providers, third-party payors and regulatory agencies;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established reputation and name recognition among healthcare providers and other key opinion leaders in the medical industry generally and the diabetes industry in particular;</w:t>
      </w:r>
    </w:p>
    <w:p>
      <w:pPr>
        <w:spacing w:after="0" w:line="203" w:lineRule="exact"/>
        <w:rPr>
          <w:rFonts w:ascii="Arial" w:cs="Arial" w:eastAsia="Arial" w:hAnsi="Arial"/>
          <w:sz w:val="11"/>
          <w:szCs w:val="11"/>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larger and more established distribution networks;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greater ability to cross-sell products or provide incentives to healthcare providers to use their products;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more experience in conducting R&amp;D, manufacturing, clinical trials, and obtaining regulatory approval or clearance.</w:t>
      </w:r>
    </w:p>
    <w:p>
      <w:pPr>
        <w:spacing w:after="0" w:line="179" w:lineRule="exact"/>
        <w:rPr>
          <w:sz w:val="20"/>
          <w:szCs w:val="20"/>
          <w:color w:val="auto"/>
        </w:rPr>
      </w:pPr>
    </w:p>
    <w:p>
      <w:pPr>
        <w:jc w:val="both"/>
        <w:ind w:right="200" w:firstLine="619"/>
        <w:spacing w:after="0" w:line="230" w:lineRule="auto"/>
        <w:rPr>
          <w:sz w:val="20"/>
          <w:szCs w:val="20"/>
          <w:color w:val="auto"/>
        </w:rPr>
      </w:pPr>
      <w:r>
        <w:rPr>
          <w:rFonts w:ascii="Arial" w:cs="Arial" w:eastAsia="Arial" w:hAnsi="Arial"/>
          <w:sz w:val="14"/>
          <w:szCs w:val="14"/>
          <w:color w:val="auto"/>
        </w:rPr>
        <w:t>In some instances, our competitors offer products that include features that we do not currently offer. For instance, Insulet offers an insulin pump with a tubeless delivery system that does not utilize an infusion set and Medtronic is selling a connected insulin pen delivery device. Additionally, Medtronic recently announced the launch in select European countries of an infusion set that can be worn for up to seven days.</w:t>
      </w:r>
    </w:p>
    <w:p>
      <w:pPr>
        <w:spacing w:after="0" w:line="166" w:lineRule="exact"/>
        <w:rPr>
          <w:sz w:val="20"/>
          <w:szCs w:val="20"/>
          <w:color w:val="auto"/>
        </w:rPr>
      </w:pPr>
    </w:p>
    <w:p>
      <w:pPr>
        <w:ind w:right="240" w:firstLine="619"/>
        <w:spacing w:after="0" w:line="271" w:lineRule="auto"/>
        <w:rPr>
          <w:sz w:val="20"/>
          <w:szCs w:val="20"/>
          <w:color w:val="auto"/>
        </w:rPr>
      </w:pPr>
      <w:r>
        <w:rPr>
          <w:rFonts w:ascii="Arial" w:cs="Arial" w:eastAsia="Arial" w:hAnsi="Arial"/>
          <w:sz w:val="13"/>
          <w:szCs w:val="13"/>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39" w:lineRule="exact"/>
        <w:rPr>
          <w:sz w:val="20"/>
          <w:szCs w:val="20"/>
          <w:color w:val="auto"/>
        </w:rPr>
      </w:pPr>
    </w:p>
    <w:p>
      <w:pPr>
        <w:ind w:right="500" w:firstLine="619"/>
        <w:spacing w:after="0" w:line="266" w:lineRule="auto"/>
        <w:rPr>
          <w:sz w:val="20"/>
          <w:szCs w:val="20"/>
          <w:color w:val="auto"/>
        </w:rPr>
      </w:pPr>
      <w:r>
        <w:rPr>
          <w:rFonts w:ascii="Arial" w:cs="Arial" w:eastAsia="Arial" w:hAnsi="Arial"/>
          <w:sz w:val="14"/>
          <w:szCs w:val="14"/>
          <w:color w:val="auto"/>
        </w:rPr>
        <w:t>For these and other reasons, we may not be able to compete successfully against our current or potential future competitors, which could have a material adverse impact on our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204" w:lineRule="exact"/>
        <w:rPr>
          <w:sz w:val="20"/>
          <w:szCs w:val="20"/>
          <w:color w:val="auto"/>
        </w:rPr>
      </w:pPr>
    </w:p>
    <w:p>
      <w:pPr>
        <w:ind w:right="20" w:firstLine="619"/>
        <w:spacing w:after="0" w:line="331" w:lineRule="auto"/>
        <w:rPr>
          <w:sz w:val="20"/>
          <w:szCs w:val="20"/>
          <w:color w:val="auto"/>
        </w:rPr>
      </w:pPr>
      <w:r>
        <w:rPr>
          <w:rFonts w:ascii="Arial" w:cs="Arial" w:eastAsia="Arial" w:hAnsi="Arial"/>
          <w:sz w:val="11"/>
          <w:szCs w:val="11"/>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08" w:lineRule="exact"/>
        <w:rPr>
          <w:sz w:val="20"/>
          <w:szCs w:val="20"/>
          <w:color w:val="auto"/>
        </w:rPr>
      </w:pPr>
    </w:p>
    <w:p>
      <w:pPr>
        <w:ind w:right="40" w:firstLine="619"/>
        <w:spacing w:after="0" w:line="250" w:lineRule="auto"/>
        <w:rPr>
          <w:sz w:val="20"/>
          <w:szCs w:val="20"/>
          <w:color w:val="auto"/>
        </w:rPr>
      </w:pPr>
      <w:r>
        <w:rPr>
          <w:rFonts w:ascii="Arial" w:cs="Arial" w:eastAsia="Arial" w:hAnsi="Arial"/>
          <w:sz w:val="14"/>
          <w:szCs w:val="14"/>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49" w:lineRule="exact"/>
        <w:rPr>
          <w:sz w:val="20"/>
          <w:szCs w:val="20"/>
          <w:color w:val="auto"/>
        </w:rPr>
      </w:pPr>
    </w:p>
    <w:p>
      <w:pPr>
        <w:ind w:right="100" w:firstLine="619"/>
        <w:spacing w:after="0" w:line="343" w:lineRule="auto"/>
        <w:rPr>
          <w:sz w:val="20"/>
          <w:szCs w:val="20"/>
          <w:color w:val="auto"/>
        </w:rPr>
      </w:pPr>
      <w:r>
        <w:rPr>
          <w:rFonts w:ascii="Arial" w:cs="Arial" w:eastAsia="Arial" w:hAnsi="Arial"/>
          <w:sz w:val="11"/>
          <w:szCs w:val="11"/>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81"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38"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Market acceptance of our products could be negatively impacted by many factors, including:</w:t>
      </w:r>
    </w:p>
    <w:p>
      <w:pPr>
        <w:spacing w:after="0" w:line="169" w:lineRule="exact"/>
        <w:rPr>
          <w:sz w:val="20"/>
          <w:szCs w:val="20"/>
          <w:color w:val="auto"/>
        </w:rPr>
      </w:pPr>
    </w:p>
    <w:p>
      <w:pPr>
        <w:ind w:left="1480" w:right="80" w:hanging="487"/>
        <w:spacing w:after="0" w:line="266" w:lineRule="auto"/>
        <w:tabs>
          <w:tab w:leader="none" w:pos="147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38" w:lineRule="exact"/>
        <w:rPr>
          <w:rFonts w:ascii="Arial" w:cs="Arial" w:eastAsia="Arial" w:hAnsi="Arial"/>
          <w:sz w:val="14"/>
          <w:szCs w:val="14"/>
          <w:color w:val="auto"/>
        </w:rPr>
      </w:pPr>
    </w:p>
    <w:p>
      <w:pPr>
        <w:ind w:left="1480" w:right="680" w:hanging="487"/>
        <w:spacing w:after="0" w:line="266" w:lineRule="auto"/>
        <w:tabs>
          <w:tab w:leader="none" w:pos="1477"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lack of evidence supporting the safety, ease-of-use or other perceived benefits of our products over competitive products or other currently available insulin treatment methodologies;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perceived risks or uncertainties associated with the use of our products, or components thereof, or of similar products or technologies of our competitors;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1" w:name="page52"/>
    <w:bookmarkEnd w:id="51"/>
    <w:p>
      <w:pPr>
        <w:ind w:left="1480" w:hanging="487"/>
        <w:spacing w:after="0"/>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adverse regulatory or legal actions relating to our insulin pump products or similar products or technologies;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results of clinical studies relating to our existing products or products under development or similar competitive products.</w:t>
      </w:r>
    </w:p>
    <w:p>
      <w:pPr>
        <w:spacing w:after="0" w:line="169" w:lineRule="exact"/>
        <w:rPr>
          <w:sz w:val="20"/>
          <w:szCs w:val="20"/>
          <w:color w:val="auto"/>
        </w:rPr>
      </w:pPr>
    </w:p>
    <w:p>
      <w:pPr>
        <w:ind w:firstLine="619"/>
        <w:spacing w:after="0" w:line="278" w:lineRule="auto"/>
        <w:rPr>
          <w:sz w:val="20"/>
          <w:szCs w:val="20"/>
          <w:color w:val="auto"/>
        </w:rPr>
      </w:pPr>
      <w:r>
        <w:rPr>
          <w:rFonts w:ascii="Arial" w:cs="Arial" w:eastAsia="Arial" w:hAnsi="Arial"/>
          <w:sz w:val="13"/>
          <w:szCs w:val="13"/>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 or unfavorable changes in general economic conditions.</w:t>
      </w:r>
    </w:p>
    <w:p>
      <w:pPr>
        <w:spacing w:after="0" w:line="132" w:lineRule="exact"/>
        <w:rPr>
          <w:sz w:val="20"/>
          <w:szCs w:val="20"/>
          <w:color w:val="auto"/>
        </w:rPr>
      </w:pPr>
    </w:p>
    <w:p>
      <w:pPr>
        <w:ind w:right="360" w:firstLine="619"/>
        <w:spacing w:after="0" w:line="266" w:lineRule="auto"/>
        <w:rPr>
          <w:sz w:val="20"/>
          <w:szCs w:val="20"/>
          <w:color w:val="auto"/>
        </w:rPr>
      </w:pPr>
      <w:r>
        <w:rPr>
          <w:rFonts w:ascii="Arial" w:cs="Arial" w:eastAsia="Arial" w:hAnsi="Arial"/>
          <w:sz w:val="14"/>
          <w:szCs w:val="14"/>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7" w:lineRule="exact"/>
        <w:rPr>
          <w:sz w:val="20"/>
          <w:szCs w:val="20"/>
          <w:color w:val="auto"/>
        </w:rPr>
      </w:pPr>
    </w:p>
    <w:p>
      <w:pPr>
        <w:ind w:right="500"/>
        <w:spacing w:after="0" w:line="266" w:lineRule="auto"/>
        <w:rPr>
          <w:sz w:val="20"/>
          <w:szCs w:val="20"/>
          <w:color w:val="auto"/>
        </w:rPr>
      </w:pPr>
      <w:r>
        <w:rPr>
          <w:rFonts w:ascii="Arial" w:cs="Arial" w:eastAsia="Arial" w:hAnsi="Arial"/>
          <w:sz w:val="14"/>
          <w:szCs w:val="14"/>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38" w:lineRule="exact"/>
        <w:rPr>
          <w:sz w:val="20"/>
          <w:szCs w:val="20"/>
          <w:color w:val="auto"/>
        </w:rPr>
      </w:pPr>
    </w:p>
    <w:p>
      <w:pPr>
        <w:ind w:right="180" w:firstLine="619"/>
        <w:spacing w:after="0" w:line="284" w:lineRule="auto"/>
        <w:rPr>
          <w:sz w:val="20"/>
          <w:szCs w:val="20"/>
          <w:color w:val="auto"/>
        </w:rPr>
      </w:pPr>
      <w:r>
        <w:rPr>
          <w:rFonts w:ascii="Arial" w:cs="Arial" w:eastAsia="Arial" w:hAnsi="Arial"/>
          <w:sz w:val="13"/>
          <w:szCs w:val="13"/>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29" w:lineRule="exact"/>
        <w:rPr>
          <w:sz w:val="20"/>
          <w:szCs w:val="20"/>
          <w:color w:val="auto"/>
        </w:rPr>
      </w:pPr>
    </w:p>
    <w:p>
      <w:pPr>
        <w:ind w:firstLine="619"/>
        <w:spacing w:after="0" w:line="328" w:lineRule="auto"/>
        <w:rPr>
          <w:sz w:val="20"/>
          <w:szCs w:val="20"/>
          <w:color w:val="auto"/>
        </w:rPr>
      </w:pPr>
      <w:r>
        <w:rPr>
          <w:rFonts w:ascii="Arial" w:cs="Arial" w:eastAsia="Arial" w:hAnsi="Arial"/>
          <w:sz w:val="11"/>
          <w:szCs w:val="11"/>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10" w:lineRule="exact"/>
        <w:rPr>
          <w:sz w:val="20"/>
          <w:szCs w:val="20"/>
          <w:color w:val="auto"/>
        </w:rPr>
      </w:pPr>
    </w:p>
    <w:p>
      <w:pPr>
        <w:ind w:right="100" w:firstLine="619"/>
        <w:spacing w:after="0" w:line="325" w:lineRule="auto"/>
        <w:rPr>
          <w:sz w:val="20"/>
          <w:szCs w:val="20"/>
          <w:color w:val="auto"/>
        </w:rPr>
      </w:pPr>
      <w:r>
        <w:rPr>
          <w:rFonts w:ascii="Arial" w:cs="Arial" w:eastAsia="Arial" w:hAnsi="Arial"/>
          <w:sz w:val="11"/>
          <w:szCs w:val="11"/>
          <w:color w:val="auto"/>
        </w:rPr>
        <w:t>We currently have contracts establishing reimbursement for our insulin pump products with a number of national and regional third-party payors in the United States. While we may enter into additional contracts both in the United States and the more than 20 countries in which we operate outside the United States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280" w:lineRule="exact"/>
        <w:rPr>
          <w:sz w:val="20"/>
          <w:szCs w:val="20"/>
          <w:color w:val="auto"/>
        </w:rPr>
      </w:pPr>
    </w:p>
    <w:p>
      <w:pPr>
        <w:jc w:val="both"/>
        <w:ind w:right="80" w:firstLine="619"/>
        <w:spacing w:after="0" w:line="256" w:lineRule="auto"/>
        <w:rPr>
          <w:sz w:val="20"/>
          <w:szCs w:val="20"/>
          <w:color w:val="auto"/>
        </w:rPr>
      </w:pPr>
      <w:r>
        <w:rPr>
          <w:rFonts w:ascii="Arial" w:cs="Arial" w:eastAsia="Arial" w:hAnsi="Arial"/>
          <w:sz w:val="14"/>
          <w:szCs w:val="14"/>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204" w:lineRule="exact"/>
        <w:rPr>
          <w:sz w:val="20"/>
          <w:szCs w:val="20"/>
          <w:color w:val="auto"/>
        </w:rPr>
      </w:pPr>
    </w:p>
    <w:p>
      <w:pPr>
        <w:ind w:right="140" w:firstLine="619"/>
        <w:spacing w:after="0" w:line="266" w:lineRule="auto"/>
        <w:rPr>
          <w:sz w:val="20"/>
          <w:szCs w:val="20"/>
          <w:color w:val="auto"/>
        </w:rPr>
      </w:pPr>
      <w:r>
        <w:rPr>
          <w:rFonts w:ascii="Arial" w:cs="Arial" w:eastAsia="Arial" w:hAnsi="Arial"/>
          <w:sz w:val="14"/>
          <w:szCs w:val="14"/>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38" w:lineRule="exact"/>
        <w:rPr>
          <w:sz w:val="20"/>
          <w:szCs w:val="20"/>
          <w:color w:val="auto"/>
        </w:rPr>
      </w:pPr>
    </w:p>
    <w:p>
      <w:pPr>
        <w:ind w:firstLine="619"/>
        <w:spacing w:after="0" w:line="343" w:lineRule="auto"/>
        <w:rPr>
          <w:sz w:val="20"/>
          <w:szCs w:val="20"/>
          <w:color w:val="auto"/>
        </w:rPr>
      </w:pPr>
      <w:r>
        <w:rPr>
          <w:rFonts w:ascii="Arial" w:cs="Arial" w:eastAsia="Arial" w:hAnsi="Arial"/>
          <w:sz w:val="11"/>
          <w:szCs w:val="11"/>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02" w:lineRule="exact"/>
        <w:rPr>
          <w:sz w:val="20"/>
          <w:szCs w:val="20"/>
          <w:color w:val="auto"/>
        </w:rPr>
      </w:pPr>
    </w:p>
    <w:p>
      <w:pPr>
        <w:jc w:val="both"/>
        <w:ind w:right="120" w:firstLine="619"/>
        <w:spacing w:after="0" w:line="256" w:lineRule="auto"/>
        <w:rPr>
          <w:sz w:val="20"/>
          <w:szCs w:val="20"/>
          <w:color w:val="auto"/>
        </w:rPr>
      </w:pPr>
      <w:r>
        <w:rPr>
          <w:rFonts w:ascii="Arial" w:cs="Arial" w:eastAsia="Arial" w:hAnsi="Arial"/>
          <w:sz w:val="14"/>
          <w:szCs w:val="14"/>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our existing sales, marketing, clinical and customer service infrastructure, we may fail to increase our sales to meet our forecasts.</w:t>
      </w:r>
    </w:p>
    <w:p>
      <w:pPr>
        <w:spacing w:after="0" w:line="169" w:lineRule="exact"/>
        <w:rPr>
          <w:sz w:val="20"/>
          <w:szCs w:val="20"/>
          <w:color w:val="auto"/>
        </w:rPr>
      </w:pPr>
    </w:p>
    <w:p>
      <w:pPr>
        <w:ind w:firstLine="619"/>
        <w:spacing w:after="0" w:line="269" w:lineRule="auto"/>
        <w:rPr>
          <w:sz w:val="20"/>
          <w:szCs w:val="20"/>
          <w:color w:val="auto"/>
        </w:rPr>
      </w:pPr>
      <w:r>
        <w:rPr>
          <w:rFonts w:ascii="Arial" w:cs="Arial" w:eastAsia="Arial" w:hAnsi="Arial"/>
          <w:sz w:val="13"/>
          <w:szCs w:val="13"/>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40"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53" w:name="page54"/>
    <w:bookmarkEnd w:id="53"/>
    <w:p>
      <w:pPr>
        <w:ind w:right="260"/>
        <w:spacing w:after="0" w:line="266" w:lineRule="auto"/>
        <w:rPr>
          <w:sz w:val="20"/>
          <w:szCs w:val="20"/>
          <w:color w:val="auto"/>
        </w:rPr>
      </w:pPr>
      <w:r>
        <w:rPr>
          <w:rFonts w:ascii="Arial" w:cs="Arial" w:eastAsia="Arial" w:hAnsi="Arial"/>
          <w:sz w:val="14"/>
          <w:szCs w:val="14"/>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07"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in the United States have been required to sell our products exclusively and each of them may freely sell the products of our competitors. If we are unable to maintain or expand our network of independent distributors, our sales may be negatively affected.</w:t>
      </w:r>
    </w:p>
    <w:p>
      <w:pPr>
        <w:spacing w:after="0" w:line="118" w:lineRule="exact"/>
        <w:rPr>
          <w:sz w:val="20"/>
          <w:szCs w:val="20"/>
          <w:color w:val="auto"/>
        </w:rPr>
      </w:pPr>
    </w:p>
    <w:p>
      <w:pPr>
        <w:ind w:right="40" w:firstLine="619"/>
        <w:spacing w:after="0" w:line="250" w:lineRule="auto"/>
        <w:rPr>
          <w:sz w:val="20"/>
          <w:szCs w:val="20"/>
          <w:color w:val="auto"/>
        </w:rPr>
      </w:pPr>
      <w:r>
        <w:rPr>
          <w:rFonts w:ascii="Arial" w:cs="Arial" w:eastAsia="Arial" w:hAnsi="Arial"/>
          <w:sz w:val="14"/>
          <w:szCs w:val="14"/>
          <w:color w:val="auto"/>
        </w:rPr>
        <w:t>For the year ended December 31, 2021, our two largest independent distributors in the United States collectively comprised approximately 21% of our worldwide sales, and our three largest independent international distributors collectively comprised approximately 55%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18" w:lineRule="exact"/>
        <w:rPr>
          <w:sz w:val="20"/>
          <w:szCs w:val="20"/>
          <w:color w:val="auto"/>
        </w:rPr>
      </w:pPr>
    </w:p>
    <w:p>
      <w:pPr>
        <w:ind w:right="400"/>
        <w:spacing w:after="0" w:line="266" w:lineRule="auto"/>
        <w:rPr>
          <w:sz w:val="20"/>
          <w:szCs w:val="20"/>
          <w:color w:val="auto"/>
        </w:rPr>
      </w:pPr>
      <w:r>
        <w:rPr>
          <w:rFonts w:ascii="Arial" w:cs="Arial" w:eastAsia="Arial" w:hAnsi="Arial"/>
          <w:sz w:val="14"/>
          <w:szCs w:val="14"/>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38" w:lineRule="exact"/>
        <w:rPr>
          <w:sz w:val="20"/>
          <w:szCs w:val="20"/>
          <w:color w:val="auto"/>
        </w:rPr>
      </w:pPr>
    </w:p>
    <w:p>
      <w:pPr>
        <w:ind w:firstLine="619"/>
        <w:spacing w:after="0" w:line="335" w:lineRule="auto"/>
        <w:rPr>
          <w:sz w:val="20"/>
          <w:szCs w:val="20"/>
          <w:color w:val="auto"/>
        </w:rPr>
      </w:pPr>
      <w:r>
        <w:rPr>
          <w:rFonts w:ascii="Arial" w:cs="Arial" w:eastAsia="Arial" w:hAnsi="Arial"/>
          <w:sz w:val="11"/>
          <w:szCs w:val="11"/>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76"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38" w:lineRule="exact"/>
        <w:rPr>
          <w:sz w:val="20"/>
          <w:szCs w:val="20"/>
          <w:color w:val="auto"/>
        </w:rPr>
      </w:pPr>
    </w:p>
    <w:p>
      <w:pPr>
        <w:ind w:right="60" w:firstLine="619"/>
        <w:spacing w:after="0" w:line="251" w:lineRule="auto"/>
        <w:rPr>
          <w:sz w:val="20"/>
          <w:szCs w:val="20"/>
          <w:color w:val="auto"/>
        </w:rPr>
      </w:pPr>
      <w:r>
        <w:rPr>
          <w:rFonts w:ascii="Arial" w:cs="Arial" w:eastAsia="Arial" w:hAnsi="Arial"/>
          <w:sz w:val="14"/>
          <w:szCs w:val="14"/>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54" w:name="page55"/>
    <w:bookmarkEnd w:id="54"/>
    <w:p>
      <w:pPr>
        <w:ind w:right="140"/>
        <w:spacing w:after="0" w:line="266" w:lineRule="auto"/>
        <w:rPr>
          <w:sz w:val="20"/>
          <w:szCs w:val="20"/>
          <w:color w:val="auto"/>
        </w:rPr>
      </w:pPr>
      <w:r>
        <w:rPr>
          <w:rFonts w:ascii="Arial" w:cs="Arial" w:eastAsia="Arial" w:hAnsi="Arial"/>
          <w:sz w:val="14"/>
          <w:szCs w:val="14"/>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8" w:lineRule="exact"/>
        <w:rPr>
          <w:sz w:val="20"/>
          <w:szCs w:val="20"/>
          <w:color w:val="auto"/>
        </w:rPr>
      </w:pPr>
    </w:p>
    <w:p>
      <w:pPr>
        <w:ind w:right="60" w:firstLine="619"/>
        <w:spacing w:after="0" w:line="249" w:lineRule="auto"/>
        <w:rPr>
          <w:sz w:val="20"/>
          <w:szCs w:val="20"/>
          <w:color w:val="auto"/>
        </w:rPr>
      </w:pPr>
      <w:r>
        <w:rPr>
          <w:rFonts w:ascii="Arial" w:cs="Arial" w:eastAsia="Arial" w:hAnsi="Arial"/>
          <w:sz w:val="14"/>
          <w:szCs w:val="14"/>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51" w:lineRule="exact"/>
        <w:rPr>
          <w:sz w:val="20"/>
          <w:szCs w:val="20"/>
          <w:color w:val="auto"/>
        </w:rPr>
      </w:pPr>
    </w:p>
    <w:p>
      <w:pPr>
        <w:ind w:right="180" w:firstLine="619"/>
        <w:spacing w:after="0" w:line="270" w:lineRule="auto"/>
        <w:rPr>
          <w:sz w:val="20"/>
          <w:szCs w:val="20"/>
          <w:color w:val="auto"/>
        </w:rPr>
      </w:pPr>
      <w:r>
        <w:rPr>
          <w:rFonts w:ascii="Arial" w:cs="Arial" w:eastAsia="Arial" w:hAnsi="Arial"/>
          <w:sz w:val="13"/>
          <w:szCs w:val="13"/>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09" w:lineRule="exact"/>
        <w:rPr>
          <w:sz w:val="20"/>
          <w:szCs w:val="20"/>
          <w:color w:val="auto"/>
        </w:rPr>
      </w:pPr>
    </w:p>
    <w:p>
      <w:pPr>
        <w:ind w:right="220"/>
        <w:spacing w:after="0" w:line="266" w:lineRule="auto"/>
        <w:rPr>
          <w:sz w:val="20"/>
          <w:szCs w:val="20"/>
          <w:color w:val="auto"/>
        </w:rPr>
      </w:pPr>
      <w:r>
        <w:rPr>
          <w:rFonts w:ascii="Arial" w:cs="Arial" w:eastAsia="Arial" w:hAnsi="Arial"/>
          <w:sz w:val="14"/>
          <w:szCs w:val="14"/>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38" w:lineRule="exact"/>
        <w:rPr>
          <w:sz w:val="20"/>
          <w:szCs w:val="20"/>
          <w:color w:val="auto"/>
        </w:rPr>
      </w:pPr>
    </w:p>
    <w:p>
      <w:pPr>
        <w:ind w:firstLine="619"/>
        <w:spacing w:after="0" w:line="250" w:lineRule="auto"/>
        <w:rPr>
          <w:sz w:val="20"/>
          <w:szCs w:val="20"/>
          <w:color w:val="auto"/>
        </w:rPr>
      </w:pPr>
      <w:r>
        <w:rPr>
          <w:rFonts w:ascii="Arial" w:cs="Arial" w:eastAsia="Arial" w:hAnsi="Arial"/>
          <w:sz w:val="14"/>
          <w:szCs w:val="14"/>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These risks include our ability to:</w:t>
      </w:r>
    </w:p>
    <w:p>
      <w:pPr>
        <w:spacing w:after="0" w:line="169" w:lineRule="exact"/>
        <w:rPr>
          <w:sz w:val="20"/>
          <w:szCs w:val="20"/>
          <w:color w:val="auto"/>
        </w:rPr>
      </w:pPr>
    </w:p>
    <w:p>
      <w:pPr>
        <w:ind w:left="1480" w:hanging="487"/>
        <w:spacing w:after="0"/>
        <w:tabs>
          <w:tab w:leader="none" w:pos="1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implement and execute our business strategy;</w:t>
      </w:r>
    </w:p>
    <w:p>
      <w:pPr>
        <w:spacing w:after="0" w:line="169" w:lineRule="exact"/>
        <w:rPr>
          <w:rFonts w:ascii="Arial" w:cs="Arial" w:eastAsia="Arial" w:hAnsi="Arial"/>
          <w:sz w:val="14"/>
          <w:szCs w:val="14"/>
          <w:color w:val="auto"/>
        </w:rPr>
      </w:pPr>
    </w:p>
    <w:p>
      <w:pPr>
        <w:ind w:left="1480" w:right="140" w:hanging="487"/>
        <w:spacing w:after="0" w:line="266" w:lineRule="auto"/>
        <w:tabs>
          <w:tab w:leader="none" w:pos="14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38" w:lineRule="exact"/>
        <w:rPr>
          <w:rFonts w:ascii="Arial" w:cs="Arial" w:eastAsia="Arial" w:hAnsi="Arial"/>
          <w:sz w:val="14"/>
          <w:szCs w:val="14"/>
          <w:color w:val="auto"/>
        </w:rPr>
      </w:pPr>
    </w:p>
    <w:p>
      <w:pPr>
        <w:ind w:left="1480" w:right="300" w:hanging="487"/>
        <w:spacing w:after="0" w:line="266" w:lineRule="auto"/>
        <w:tabs>
          <w:tab w:leader="none" w:pos="14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achieve and maintain market acceptance of our products and increase awareness of our brand among people with insulin-dependent diabetes, their caregivers and healthcare providers;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comply with a broad range of regulatory requirements within a highly regulated industry;</w:t>
      </w:r>
    </w:p>
    <w:p>
      <w:pPr>
        <w:spacing w:after="0" w:line="169" w:lineRule="exact"/>
        <w:rPr>
          <w:rFonts w:ascii="Arial" w:cs="Arial" w:eastAsia="Arial" w:hAnsi="Arial"/>
          <w:sz w:val="14"/>
          <w:szCs w:val="14"/>
          <w:color w:val="auto"/>
        </w:rPr>
      </w:pPr>
    </w:p>
    <w:p>
      <w:pPr>
        <w:ind w:left="1480" w:right="80" w:hanging="487"/>
        <w:spacing w:after="0" w:line="266" w:lineRule="auto"/>
        <w:tabs>
          <w:tab w:leader="none" w:pos="14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enhance our manufacturing capabilities, increase production of products efficiently while maintaining quality standards, and adapt our manufacturing facilities to the production of new products;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51" w:right="339" w:bottom="1440" w:gutter="0" w:footer="0" w:header="0"/>
        </w:sectPr>
      </w:pPr>
    </w:p>
    <w:bookmarkStart w:id="55" w:name="page56"/>
    <w:bookmarkEnd w:id="55"/>
    <w:p>
      <w:pPr>
        <w:ind w:left="1480" w:hanging="487"/>
        <w:spacing w:after="0"/>
        <w:tabs>
          <w:tab w:leader="none" w:pos="1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respond effectively to competitive pressures and developments;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enhance our existing products and develop proposed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manage cybersecurity and other technological risks associated with our expanding portfolio of digital health products, and align these products to a dynamic threat landscape.</w:t>
      </w:r>
    </w:p>
    <w:p>
      <w:pPr>
        <w:spacing w:after="0" w:line="203" w:lineRule="exact"/>
        <w:rPr>
          <w:rFonts w:ascii="Arial" w:cs="Arial" w:eastAsia="Arial" w:hAnsi="Arial"/>
          <w:sz w:val="11"/>
          <w:szCs w:val="11"/>
          <w:color w:val="auto"/>
        </w:rPr>
      </w:pPr>
    </w:p>
    <w:p>
      <w:pPr>
        <w:ind w:left="1480" w:hanging="487"/>
        <w:spacing w:after="0"/>
        <w:tabs>
          <w:tab w:leader="none" w:pos="1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and maintain regulatory clearance or approval to enhance our existing products and commercialize proposed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perform clinical trials and other studies with respect to our existing products and proposed products;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attract, retain and motivate qualified personnel in various areas of our business.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As a result of these or other risks, we may not be able to execute key components of our business strategy, and our business, financial condition and operating results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achieve profitability will depend, in part, on our ability to reduce the per-unit cost of our products while also increasing production volume.</w:t>
      </w:r>
    </w:p>
    <w:p>
      <w:pPr>
        <w:spacing w:after="0" w:line="169" w:lineRule="exact"/>
        <w:rPr>
          <w:sz w:val="20"/>
          <w:szCs w:val="20"/>
          <w:color w:val="auto"/>
        </w:rPr>
      </w:pPr>
    </w:p>
    <w:p>
      <w:pPr>
        <w:ind w:right="80" w:firstLine="619"/>
        <w:spacing w:after="0" w:line="335" w:lineRule="auto"/>
        <w:rPr>
          <w:sz w:val="20"/>
          <w:szCs w:val="20"/>
          <w:color w:val="auto"/>
        </w:rPr>
      </w:pPr>
      <w:r>
        <w:rPr>
          <w:rFonts w:ascii="Arial" w:cs="Arial" w:eastAsia="Arial" w:hAnsi="Arial"/>
          <w:sz w:val="11"/>
          <w:szCs w:val="11"/>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128" w:lineRule="exact"/>
        <w:rPr>
          <w:sz w:val="20"/>
          <w:szCs w:val="20"/>
          <w:color w:val="auto"/>
        </w:rPr>
      </w:pPr>
    </w:p>
    <w:p>
      <w:pPr>
        <w:ind w:firstLine="619"/>
        <w:spacing w:after="0" w:line="328" w:lineRule="auto"/>
        <w:rPr>
          <w:sz w:val="20"/>
          <w:szCs w:val="20"/>
          <w:color w:val="auto"/>
        </w:rPr>
      </w:pPr>
      <w:r>
        <w:rPr>
          <w:rFonts w:ascii="Arial" w:cs="Arial" w:eastAsia="Arial" w:hAnsi="Arial"/>
          <w:sz w:val="11"/>
          <w:szCs w:val="11"/>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In addition, due to shortages of specific components, we have had to qualify alternative components or source components from alternative distributors.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10" w:lineRule="exact"/>
        <w:rPr>
          <w:sz w:val="20"/>
          <w:szCs w:val="20"/>
          <w:color w:val="auto"/>
        </w:rPr>
      </w:pPr>
    </w:p>
    <w:p>
      <w:pPr>
        <w:jc w:val="both"/>
        <w:ind w:right="180" w:firstLine="619"/>
        <w:spacing w:after="0" w:line="256" w:lineRule="auto"/>
        <w:rPr>
          <w:sz w:val="20"/>
          <w:szCs w:val="20"/>
          <w:color w:val="auto"/>
        </w:rPr>
      </w:pPr>
      <w:r>
        <w:rPr>
          <w:rFonts w:ascii="Arial" w:cs="Arial" w:eastAsia="Arial" w:hAnsi="Arial"/>
          <w:sz w:val="14"/>
          <w:szCs w:val="14"/>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45" w:lineRule="exact"/>
        <w:rPr>
          <w:sz w:val="20"/>
          <w:szCs w:val="20"/>
          <w:color w:val="auto"/>
        </w:rPr>
      </w:pPr>
    </w:p>
    <w:p>
      <w:pPr>
        <w:ind w:right="60" w:firstLine="619"/>
        <w:spacing w:after="0" w:line="272" w:lineRule="auto"/>
        <w:rPr>
          <w:sz w:val="20"/>
          <w:szCs w:val="20"/>
          <w:color w:val="auto"/>
        </w:rPr>
      </w:pPr>
      <w:r>
        <w:rPr>
          <w:rFonts w:ascii="Arial" w:cs="Arial" w:eastAsia="Arial" w:hAnsi="Arial"/>
          <w:sz w:val="13"/>
          <w:szCs w:val="13"/>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i w:val="1"/>
          <w:iCs w:val="1"/>
          <w:color w:val="auto"/>
        </w:rPr>
        <w:t>Manufacturing risks may adversely affect our ability to manufacture products, which could negatively impact our sales and operating margins.</w:t>
      </w:r>
    </w:p>
    <w:p>
      <w:pPr>
        <w:spacing w:after="0" w:line="169" w:lineRule="exact"/>
        <w:rPr>
          <w:sz w:val="20"/>
          <w:szCs w:val="20"/>
          <w:color w:val="auto"/>
        </w:rPr>
      </w:pPr>
    </w:p>
    <w:p>
      <w:pPr>
        <w:ind w:right="20" w:firstLine="619"/>
        <w:spacing w:after="0" w:line="305" w:lineRule="auto"/>
        <w:rPr>
          <w:sz w:val="20"/>
          <w:szCs w:val="20"/>
          <w:color w:val="auto"/>
        </w:rPr>
      </w:pPr>
      <w:r>
        <w:rPr>
          <w:rFonts w:ascii="Arial" w:cs="Arial" w:eastAsia="Arial" w:hAnsi="Arial"/>
          <w:sz w:val="13"/>
          <w:szCs w:val="13"/>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15" w:lineRule="exact"/>
        <w:rPr>
          <w:sz w:val="20"/>
          <w:szCs w:val="20"/>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quality or reliability defects in product components that we source from third-party suppliers;</w:t>
      </w:r>
    </w:p>
    <w:p>
      <w:pPr>
        <w:spacing w:after="0" w:line="169" w:lineRule="exact"/>
        <w:rPr>
          <w:rFonts w:ascii="Arial" w:cs="Arial" w:eastAsia="Arial" w:hAnsi="Arial"/>
          <w:sz w:val="14"/>
          <w:szCs w:val="14"/>
          <w:color w:val="auto"/>
        </w:rPr>
      </w:pPr>
    </w:p>
    <w:p>
      <w:pPr>
        <w:ind w:left="1480" w:right="180" w:hanging="487"/>
        <w:spacing w:after="0" w:line="266" w:lineRule="auto"/>
        <w:tabs>
          <w:tab w:leader="none" w:pos="147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difficulty identifying and qualifying alternative suppliers for components in a timely manner;</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implementing and maintaining acceptable quality systems while experiencing rapid growth;</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failure to increase production of products to meet demand;</w:t>
      </w:r>
    </w:p>
    <w:p>
      <w:pPr>
        <w:spacing w:after="0" w:line="169" w:lineRule="exact"/>
        <w:rPr>
          <w:rFonts w:ascii="Arial" w:cs="Arial" w:eastAsia="Arial" w:hAnsi="Arial"/>
          <w:sz w:val="14"/>
          <w:szCs w:val="14"/>
          <w:color w:val="auto"/>
        </w:rPr>
      </w:pPr>
    </w:p>
    <w:p>
      <w:pPr>
        <w:ind w:left="1480" w:right="380" w:hanging="487"/>
        <w:spacing w:after="0" w:line="266" w:lineRule="auto"/>
        <w:tabs>
          <w:tab w:leader="none" w:pos="147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inability to manufacture multiple products simultaneously while utilizing common manufacturing equipment;</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government-mandated or voluntary closures of, or operational limitations impacting, our manufacturing facilities;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potential damage to or destruction of our manufacturing equipment or manufacturing facilities.</w:t>
      </w:r>
    </w:p>
    <w:p>
      <w:pPr>
        <w:spacing w:after="0" w:line="169"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08" w:lineRule="exact"/>
        <w:rPr>
          <w:sz w:val="20"/>
          <w:szCs w:val="20"/>
          <w:color w:val="auto"/>
        </w:rPr>
      </w:pPr>
    </w:p>
    <w:p>
      <w:pPr>
        <w:ind w:firstLine="619"/>
        <w:spacing w:after="0" w:line="272" w:lineRule="auto"/>
        <w:rPr>
          <w:sz w:val="20"/>
          <w:szCs w:val="20"/>
          <w:color w:val="auto"/>
        </w:rPr>
      </w:pPr>
      <w:r>
        <w:rPr>
          <w:rFonts w:ascii="Arial" w:cs="Arial" w:eastAsia="Arial" w:hAnsi="Arial"/>
          <w:sz w:val="13"/>
          <w:szCs w:val="13"/>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and our inventory of certain pump and cartridge components are currently below our targeted stocking levels. 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39" w:lineRule="exact"/>
        <w:rPr>
          <w:sz w:val="20"/>
          <w:szCs w:val="20"/>
          <w:color w:val="auto"/>
        </w:rPr>
      </w:pPr>
    </w:p>
    <w:p>
      <w:pPr>
        <w:ind w:right="60" w:firstLine="619"/>
        <w:spacing w:after="0" w:line="305" w:lineRule="auto"/>
        <w:rPr>
          <w:sz w:val="20"/>
          <w:szCs w:val="20"/>
          <w:color w:val="auto"/>
        </w:rPr>
      </w:pPr>
      <w:r>
        <w:rPr>
          <w:rFonts w:ascii="Arial" w:cs="Arial" w:eastAsia="Arial" w:hAnsi="Arial"/>
          <w:sz w:val="13"/>
          <w:szCs w:val="13"/>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57" w:name="page58"/>
    <w:bookmarkEnd w:id="57"/>
    <w:p>
      <w:pPr>
        <w:spacing w:after="0" w:line="266" w:lineRule="auto"/>
        <w:rPr>
          <w:sz w:val="20"/>
          <w:szCs w:val="20"/>
          <w:color w:val="auto"/>
        </w:rPr>
      </w:pPr>
      <w:r>
        <w:rPr>
          <w:rFonts w:ascii="Arial" w:cs="Arial" w:eastAsia="Arial" w:hAnsi="Arial"/>
          <w:sz w:val="14"/>
          <w:szCs w:val="14"/>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38" w:lineRule="exact"/>
        <w:rPr>
          <w:sz w:val="20"/>
          <w:szCs w:val="20"/>
          <w:color w:val="auto"/>
        </w:rPr>
      </w:pPr>
    </w:p>
    <w:p>
      <w:pPr>
        <w:ind w:right="60" w:firstLine="619"/>
        <w:spacing w:after="0" w:line="251" w:lineRule="auto"/>
        <w:rPr>
          <w:sz w:val="20"/>
          <w:szCs w:val="20"/>
          <w:color w:val="auto"/>
        </w:rPr>
      </w:pPr>
      <w:r>
        <w:rPr>
          <w:rFonts w:ascii="Arial" w:cs="Arial" w:eastAsia="Arial" w:hAnsi="Arial"/>
          <w:sz w:val="14"/>
          <w:szCs w:val="14"/>
          <w:color w:val="auto"/>
        </w:rPr>
        <w:t>We currently rely, and expect to continue to rely, on third-party suppliers to supply components of our current products and our potential future products, including our disposable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48" w:lineRule="exact"/>
        <w:rPr>
          <w:sz w:val="20"/>
          <w:szCs w:val="20"/>
          <w:color w:val="auto"/>
        </w:rPr>
      </w:pPr>
    </w:p>
    <w:p>
      <w:pPr>
        <w:ind w:right="40" w:firstLine="619"/>
        <w:spacing w:after="0" w:line="331" w:lineRule="auto"/>
        <w:rPr>
          <w:sz w:val="20"/>
          <w:szCs w:val="20"/>
          <w:color w:val="auto"/>
        </w:rPr>
      </w:pPr>
      <w:r>
        <w:rPr>
          <w:rFonts w:ascii="Arial" w:cs="Arial" w:eastAsia="Arial" w:hAnsi="Arial"/>
          <w:sz w:val="11"/>
          <w:szCs w:val="11"/>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instance, we are currently subject to allocation limits for certain semiconductor components.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88" w:lineRule="exact"/>
        <w:rPr>
          <w:sz w:val="20"/>
          <w:szCs w:val="20"/>
          <w:color w:val="auto"/>
        </w:rPr>
      </w:pPr>
    </w:p>
    <w:p>
      <w:pPr>
        <w:ind w:firstLine="619"/>
        <w:spacing w:after="0" w:line="268" w:lineRule="auto"/>
        <w:rPr>
          <w:sz w:val="20"/>
          <w:szCs w:val="20"/>
          <w:color w:val="auto"/>
        </w:rPr>
      </w:pPr>
      <w:r>
        <w:rPr>
          <w:rFonts w:ascii="Arial" w:cs="Arial" w:eastAsia="Arial" w:hAnsi="Arial"/>
          <w:sz w:val="13"/>
          <w:szCs w:val="13"/>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44" w:lineRule="exact"/>
        <w:rPr>
          <w:sz w:val="20"/>
          <w:szCs w:val="20"/>
          <w:color w:val="auto"/>
        </w:rPr>
      </w:pPr>
    </w:p>
    <w:p>
      <w:pPr>
        <w:ind w:right="80" w:firstLine="619"/>
        <w:spacing w:after="0" w:line="274" w:lineRule="auto"/>
        <w:rPr>
          <w:sz w:val="20"/>
          <w:szCs w:val="20"/>
          <w:color w:val="auto"/>
        </w:rPr>
      </w:pPr>
      <w:r>
        <w:rPr>
          <w:rFonts w:ascii="Arial" w:cs="Arial" w:eastAsia="Arial" w:hAnsi="Arial"/>
          <w:sz w:val="13"/>
          <w:szCs w:val="13"/>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37" w:lineRule="exact"/>
        <w:rPr>
          <w:sz w:val="20"/>
          <w:szCs w:val="20"/>
          <w:color w:val="auto"/>
        </w:rPr>
      </w:pPr>
    </w:p>
    <w:p>
      <w:pPr>
        <w:ind w:right="40" w:firstLine="619"/>
        <w:spacing w:after="0" w:line="274" w:lineRule="auto"/>
        <w:rPr>
          <w:sz w:val="20"/>
          <w:szCs w:val="20"/>
          <w:color w:val="auto"/>
        </w:rPr>
      </w:pPr>
      <w:r>
        <w:rPr>
          <w:rFonts w:ascii="Arial" w:cs="Arial" w:eastAsia="Arial" w:hAnsi="Arial"/>
          <w:sz w:val="13"/>
          <w:szCs w:val="13"/>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Any disruption at one of our facilities could adversely affect our business and operating results.*</w:t>
      </w:r>
    </w:p>
    <w:p>
      <w:pPr>
        <w:spacing w:after="0" w:line="169" w:lineRule="exact"/>
        <w:rPr>
          <w:sz w:val="20"/>
          <w:szCs w:val="20"/>
          <w:color w:val="auto"/>
        </w:rPr>
      </w:pPr>
    </w:p>
    <w:p>
      <w:pPr>
        <w:ind w:right="60" w:firstLine="619"/>
        <w:spacing w:after="0" w:line="269" w:lineRule="auto"/>
        <w:rPr>
          <w:sz w:val="20"/>
          <w:szCs w:val="20"/>
          <w:color w:val="auto"/>
        </w:rPr>
      </w:pPr>
      <w:r>
        <w:rPr>
          <w:rFonts w:ascii="Arial" w:cs="Arial" w:eastAsia="Arial" w:hAnsi="Arial"/>
          <w:sz w:val="13"/>
          <w:szCs w:val="13"/>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two years we substantially expanded various quality and customer and technical support activities in Boise, Idaho.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experience the anticipated operating efficiencies from the transition of our manufacturing and warehousing operations.</w:t>
      </w:r>
    </w:p>
    <w:p>
      <w:pPr>
        <w:spacing w:after="0" w:line="169" w:lineRule="exact"/>
        <w:rPr>
          <w:sz w:val="20"/>
          <w:szCs w:val="20"/>
          <w:color w:val="auto"/>
        </w:rPr>
      </w:pPr>
    </w:p>
    <w:p>
      <w:pPr>
        <w:ind w:firstLine="619"/>
        <w:spacing w:after="0" w:line="268" w:lineRule="auto"/>
        <w:rPr>
          <w:sz w:val="20"/>
          <w:szCs w:val="20"/>
          <w:color w:val="auto"/>
        </w:rPr>
      </w:pPr>
      <w:r>
        <w:rPr>
          <w:rFonts w:ascii="Arial" w:cs="Arial" w:eastAsia="Arial" w:hAnsi="Arial"/>
          <w:sz w:val="13"/>
          <w:szCs w:val="13"/>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44" w:lineRule="exact"/>
        <w:rPr>
          <w:sz w:val="20"/>
          <w:szCs w:val="20"/>
          <w:color w:val="auto"/>
        </w:rPr>
      </w:pPr>
    </w:p>
    <w:p>
      <w:pPr>
        <w:ind w:right="200" w:firstLine="619"/>
        <w:spacing w:after="0" w:line="251" w:lineRule="auto"/>
        <w:rPr>
          <w:sz w:val="20"/>
          <w:szCs w:val="20"/>
          <w:color w:val="auto"/>
        </w:rPr>
      </w:pPr>
      <w:r>
        <w:rPr>
          <w:rFonts w:ascii="Arial" w:cs="Arial" w:eastAsia="Arial" w:hAnsi="Arial"/>
          <w:sz w:val="14"/>
          <w:szCs w:val="14"/>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enhance our product portfolio to meet the demands of our market, we may fail to effectively compete, which may impede our ability to become profitable.</w:t>
      </w:r>
    </w:p>
    <w:p>
      <w:pPr>
        <w:spacing w:after="0" w:line="169" w:lineRule="exact"/>
        <w:rPr>
          <w:sz w:val="20"/>
          <w:szCs w:val="20"/>
          <w:color w:val="auto"/>
        </w:rPr>
      </w:pPr>
    </w:p>
    <w:p>
      <w:pPr>
        <w:ind w:right="60" w:firstLine="619"/>
        <w:spacing w:after="0" w:line="343" w:lineRule="auto"/>
        <w:rPr>
          <w:sz w:val="20"/>
          <w:szCs w:val="20"/>
          <w:color w:val="auto"/>
        </w:rPr>
      </w:pPr>
      <w:r>
        <w:rPr>
          <w:rFonts w:ascii="Arial" w:cs="Arial" w:eastAsia="Arial" w:hAnsi="Arial"/>
          <w:sz w:val="11"/>
          <w:szCs w:val="11"/>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9" w:name="page60"/>
    <w:bookmarkEnd w:id="59"/>
    <w:p>
      <w:pPr>
        <w:ind w:left="1480" w:right="560" w:hanging="487"/>
        <w:spacing w:after="0" w:line="266" w:lineRule="auto"/>
        <w:tabs>
          <w:tab w:leader="none" w:pos="147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develop and introduce products in sufficient quantities and in a timely manner;</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offer products at a price that is competitive with other products then available;</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work with third-party payors to obtain reimbursement for our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adequately protect our intellectual property and avoid infringing upon the intellectual property rights of third parties;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demonstrate the safety and efficacy of proposed products;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 the necessary regulatory approvals for proposed products on a timely basis.</w:t>
      </w:r>
    </w:p>
    <w:p>
      <w:pPr>
        <w:spacing w:after="0" w:line="190"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concerns regarding the safety and efficacy of our products could limit sales and cause unforeseen negative effects to our business prospects and financial results.</w:t>
      </w:r>
    </w:p>
    <w:p>
      <w:pPr>
        <w:spacing w:after="0" w:line="169" w:lineRule="exact"/>
        <w:rPr>
          <w:sz w:val="20"/>
          <w:szCs w:val="20"/>
          <w:color w:val="auto"/>
        </w:rPr>
      </w:pPr>
    </w:p>
    <w:p>
      <w:pPr>
        <w:ind w:right="120" w:firstLine="619"/>
        <w:spacing w:after="0" w:line="335" w:lineRule="auto"/>
        <w:rPr>
          <w:sz w:val="20"/>
          <w:szCs w:val="20"/>
          <w:color w:val="auto"/>
        </w:rPr>
      </w:pPr>
      <w:r>
        <w:rPr>
          <w:rFonts w:ascii="Arial" w:cs="Arial" w:eastAsia="Arial" w:hAnsi="Arial"/>
          <w:sz w:val="11"/>
          <w:szCs w:val="11"/>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07" w:lineRule="exact"/>
        <w:rPr>
          <w:sz w:val="20"/>
          <w:szCs w:val="20"/>
          <w:color w:val="auto"/>
        </w:rPr>
      </w:pPr>
    </w:p>
    <w:p>
      <w:pPr>
        <w:ind w:right="280" w:firstLine="619"/>
        <w:spacing w:after="0" w:line="358" w:lineRule="auto"/>
        <w:rPr>
          <w:sz w:val="20"/>
          <w:szCs w:val="20"/>
          <w:color w:val="auto"/>
        </w:rPr>
      </w:pPr>
      <w:r>
        <w:rPr>
          <w:rFonts w:ascii="Arial" w:cs="Arial" w:eastAsia="Arial" w:hAnsi="Arial"/>
          <w:sz w:val="11"/>
          <w:szCs w:val="11"/>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94" w:lineRule="exact"/>
        <w:rPr>
          <w:sz w:val="20"/>
          <w:szCs w:val="20"/>
          <w:color w:val="auto"/>
        </w:rPr>
      </w:pPr>
    </w:p>
    <w:p>
      <w:pPr>
        <w:ind w:firstLine="619"/>
        <w:spacing w:after="0" w:line="250" w:lineRule="auto"/>
        <w:rPr>
          <w:sz w:val="20"/>
          <w:szCs w:val="20"/>
          <w:color w:val="auto"/>
        </w:rPr>
      </w:pPr>
      <w:r>
        <w:rPr>
          <w:rFonts w:ascii="Arial" w:cs="Arial" w:eastAsia="Arial" w:hAnsi="Arial"/>
          <w:sz w:val="14"/>
          <w:szCs w:val="14"/>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60" w:name="page61"/>
    <w:bookmarkEnd w:id="60"/>
    <w:p>
      <w:pPr>
        <w:ind w:right="120"/>
        <w:spacing w:after="0" w:line="266" w:lineRule="auto"/>
        <w:rPr>
          <w:sz w:val="20"/>
          <w:szCs w:val="20"/>
          <w:color w:val="auto"/>
        </w:rPr>
      </w:pPr>
      <w:r>
        <w:rPr>
          <w:rFonts w:ascii="Arial" w:cs="Arial" w:eastAsia="Arial" w:hAnsi="Arial"/>
          <w:sz w:val="14"/>
          <w:szCs w:val="14"/>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38" w:lineRule="exact"/>
        <w:rPr>
          <w:sz w:val="20"/>
          <w:szCs w:val="20"/>
          <w:color w:val="auto"/>
        </w:rPr>
      </w:pPr>
    </w:p>
    <w:p>
      <w:pPr>
        <w:ind w:right="80" w:firstLine="619"/>
        <w:spacing w:after="0" w:line="271" w:lineRule="auto"/>
        <w:rPr>
          <w:sz w:val="20"/>
          <w:szCs w:val="20"/>
          <w:color w:val="auto"/>
        </w:rPr>
      </w:pPr>
      <w:r>
        <w:rPr>
          <w:rFonts w:ascii="Arial" w:cs="Arial" w:eastAsia="Arial" w:hAnsi="Arial"/>
          <w:sz w:val="13"/>
          <w:szCs w:val="13"/>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39" w:lineRule="exact"/>
        <w:rPr>
          <w:sz w:val="20"/>
          <w:szCs w:val="20"/>
          <w:color w:val="auto"/>
        </w:rPr>
      </w:pPr>
    </w:p>
    <w:p>
      <w:pPr>
        <w:ind w:firstLine="619"/>
        <w:spacing w:after="0" w:line="269" w:lineRule="auto"/>
        <w:rPr>
          <w:sz w:val="20"/>
          <w:szCs w:val="20"/>
          <w:color w:val="auto"/>
        </w:rPr>
      </w:pPr>
      <w:r>
        <w:rPr>
          <w:rFonts w:ascii="Arial" w:cs="Arial" w:eastAsia="Arial" w:hAnsi="Arial"/>
          <w:sz w:val="13"/>
          <w:szCs w:val="13"/>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42" w:lineRule="exact"/>
        <w:rPr>
          <w:sz w:val="20"/>
          <w:szCs w:val="20"/>
          <w:color w:val="auto"/>
        </w:rPr>
      </w:pPr>
    </w:p>
    <w:p>
      <w:pPr>
        <w:ind w:right="60" w:firstLine="619"/>
        <w:spacing w:after="0" w:line="271" w:lineRule="auto"/>
        <w:rPr>
          <w:sz w:val="20"/>
          <w:szCs w:val="20"/>
          <w:color w:val="auto"/>
        </w:rPr>
      </w:pPr>
      <w:r>
        <w:rPr>
          <w:rFonts w:ascii="Arial" w:cs="Arial" w:eastAsia="Arial" w:hAnsi="Arial"/>
          <w:sz w:val="13"/>
          <w:szCs w:val="13"/>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61" w:name="page62"/>
    <w:bookmarkEnd w:id="61"/>
    <w:p>
      <w:pPr>
        <w:ind w:right="80"/>
        <w:spacing w:after="0" w:line="252" w:lineRule="auto"/>
        <w:rPr>
          <w:sz w:val="20"/>
          <w:szCs w:val="20"/>
          <w:color w:val="auto"/>
        </w:rPr>
      </w:pPr>
      <w:r>
        <w:rPr>
          <w:rFonts w:ascii="Arial" w:cs="Arial" w:eastAsia="Arial" w:hAnsi="Arial"/>
          <w:sz w:val="14"/>
          <w:szCs w:val="14"/>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49" w:lineRule="exact"/>
        <w:rPr>
          <w:sz w:val="20"/>
          <w:szCs w:val="20"/>
          <w:color w:val="auto"/>
        </w:rPr>
      </w:pPr>
    </w:p>
    <w:p>
      <w:pPr>
        <w:ind w:firstLine="619"/>
        <w:spacing w:after="0" w:line="271" w:lineRule="auto"/>
        <w:rPr>
          <w:sz w:val="20"/>
          <w:szCs w:val="20"/>
          <w:color w:val="auto"/>
        </w:rPr>
      </w:pPr>
      <w:r>
        <w:rPr>
          <w:rFonts w:ascii="Arial" w:cs="Arial" w:eastAsia="Arial" w:hAnsi="Arial"/>
          <w:sz w:val="13"/>
          <w:szCs w:val="13"/>
          <w:color w:val="auto"/>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39" w:lineRule="exact"/>
        <w:rPr>
          <w:sz w:val="20"/>
          <w:szCs w:val="20"/>
          <w:color w:val="auto"/>
        </w:rPr>
      </w:pPr>
    </w:p>
    <w:p>
      <w:pPr>
        <w:ind w:right="20" w:firstLine="619"/>
        <w:spacing w:after="0" w:line="325" w:lineRule="auto"/>
        <w:rPr>
          <w:sz w:val="20"/>
          <w:szCs w:val="20"/>
          <w:color w:val="auto"/>
        </w:rPr>
      </w:pPr>
      <w:r>
        <w:rPr>
          <w:rFonts w:ascii="Arial" w:cs="Arial" w:eastAsia="Arial" w:hAnsi="Arial"/>
          <w:sz w:val="11"/>
          <w:szCs w:val="11"/>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280" w:lineRule="exact"/>
        <w:rPr>
          <w:sz w:val="20"/>
          <w:szCs w:val="20"/>
          <w:color w:val="auto"/>
        </w:rPr>
      </w:pPr>
    </w:p>
    <w:p>
      <w:pPr>
        <w:ind w:right="40" w:firstLine="619"/>
        <w:spacing w:after="0" w:line="271" w:lineRule="auto"/>
        <w:rPr>
          <w:sz w:val="20"/>
          <w:szCs w:val="20"/>
          <w:color w:val="auto"/>
        </w:rPr>
      </w:pPr>
      <w:r>
        <w:rPr>
          <w:rFonts w:ascii="Arial" w:cs="Arial" w:eastAsia="Arial" w:hAnsi="Arial"/>
          <w:sz w:val="13"/>
          <w:szCs w:val="13"/>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These risks may increase further when we enable users to control insulin boluses through the mobile app.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 As this is a rapidly evolving area, compliance with any future requirements, regulations, and evolving threat models may require the investment of additional resources in the form of capital, personnel or technology.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181" w:right="319" w:bottom="1440" w:gutter="0" w:footer="0" w:header="0"/>
        </w:sectPr>
      </w:pPr>
    </w:p>
    <w:bookmarkStart w:id="62" w:name="page63"/>
    <w:bookmarkEnd w:id="62"/>
    <w:p>
      <w:pPr>
        <w:ind w:right="20" w:firstLine="619"/>
        <w:spacing w:after="0" w:line="249" w:lineRule="auto"/>
        <w:rPr>
          <w:sz w:val="20"/>
          <w:szCs w:val="20"/>
          <w:color w:val="auto"/>
        </w:rPr>
      </w:pPr>
      <w:r>
        <w:rPr>
          <w:rFonts w:ascii="Arial" w:cs="Arial" w:eastAsia="Arial" w:hAnsi="Arial"/>
          <w:sz w:val="14"/>
          <w:szCs w:val="14"/>
          <w:color w:val="auto"/>
        </w:rPr>
        <w:t>The failure of our or our service providers’ information technology systems or our pumps’ software or other mobile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experienced a breach of our information technology systems in January 2020.</w:t>
      </w:r>
    </w:p>
    <w:p>
      <w:pPr>
        <w:spacing w:after="0" w:line="169" w:lineRule="exact"/>
        <w:rPr>
          <w:sz w:val="20"/>
          <w:szCs w:val="20"/>
          <w:color w:val="auto"/>
        </w:rPr>
      </w:pPr>
    </w:p>
    <w:p>
      <w:pPr>
        <w:ind w:firstLine="619"/>
        <w:spacing w:after="0" w:line="274" w:lineRule="auto"/>
        <w:rPr>
          <w:sz w:val="20"/>
          <w:szCs w:val="20"/>
          <w:color w:val="auto"/>
        </w:rPr>
      </w:pPr>
      <w:r>
        <w:rPr>
          <w:rFonts w:ascii="Arial" w:cs="Arial" w:eastAsia="Arial" w:hAnsi="Arial"/>
          <w:sz w:val="13"/>
          <w:szCs w:val="13"/>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3"/>
          <w:szCs w:val="13"/>
          <w:i w:val="1"/>
          <w:iCs w:val="1"/>
          <w:color w:val="auto"/>
        </w:rPr>
        <w:t>Joseph Deluna et al. v. Tandem Diabetes</w:t>
      </w:r>
      <w:r>
        <w:rPr>
          <w:rFonts w:ascii="Arial" w:cs="Arial" w:eastAsia="Arial" w:hAnsi="Arial"/>
          <w:sz w:val="13"/>
          <w:szCs w:val="13"/>
          <w:color w:val="auto"/>
        </w:rPr>
        <w:t xml:space="preserve"> </w:t>
      </w:r>
      <w:r>
        <w:rPr>
          <w:rFonts w:ascii="Arial" w:cs="Arial" w:eastAsia="Arial" w:hAnsi="Arial"/>
          <w:sz w:val="13"/>
          <w:szCs w:val="13"/>
          <w:i w:val="1"/>
          <w:iCs w:val="1"/>
          <w:color w:val="auto"/>
        </w:rPr>
        <w:t>Care, Inc.</w:t>
      </w:r>
      <w:r>
        <w:rPr>
          <w:rFonts w:ascii="Arial" w:cs="Arial" w:eastAsia="Arial" w:hAnsi="Arial"/>
          <w:sz w:val="13"/>
          <w:szCs w:val="13"/>
          <w:color w:val="auto"/>
        </w:rPr>
        <w:t>, which is pending in the Superior Court of the State of California in the County of San Bernardino.</w:t>
      </w:r>
    </w:p>
    <w:p>
      <w:pPr>
        <w:spacing w:after="0" w:line="137" w:lineRule="exact"/>
        <w:rPr>
          <w:sz w:val="20"/>
          <w:szCs w:val="20"/>
          <w:color w:val="auto"/>
        </w:rPr>
      </w:pPr>
    </w:p>
    <w:p>
      <w:pPr>
        <w:jc w:val="both"/>
        <w:ind w:right="560" w:firstLine="619"/>
        <w:spacing w:after="0" w:line="404" w:lineRule="auto"/>
        <w:rPr>
          <w:sz w:val="20"/>
          <w:szCs w:val="20"/>
          <w:color w:val="auto"/>
        </w:rPr>
      </w:pPr>
      <w:r>
        <w:rPr>
          <w:rFonts w:ascii="Arial" w:cs="Arial" w:eastAsia="Arial" w:hAnsi="Arial"/>
          <w:sz w:val="11"/>
          <w:szCs w:val="11"/>
          <w:color w:val="auto"/>
        </w:rPr>
        <w:t>The risks posed by this lawsuit and any future related matters include civil monetary damages, attorney fees and costs, other legal penalties, reputational damage, loss of goodwill, and competitive harm. It is possible that our legal expenses and defense costs, alone or together with any monetary damages, may exceed the limits of any applicable insurance coverage that we carry.</w:t>
      </w:r>
    </w:p>
    <w:p>
      <w:pPr>
        <w:spacing w:after="0" w:line="49"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38" w:lineRule="exact"/>
        <w:rPr>
          <w:sz w:val="20"/>
          <w:szCs w:val="20"/>
          <w:color w:val="auto"/>
        </w:rPr>
      </w:pPr>
    </w:p>
    <w:p>
      <w:pPr>
        <w:ind w:right="80" w:firstLine="619"/>
        <w:spacing w:after="0" w:line="274" w:lineRule="auto"/>
        <w:rPr>
          <w:sz w:val="20"/>
          <w:szCs w:val="20"/>
          <w:color w:val="auto"/>
        </w:rPr>
      </w:pPr>
      <w:r>
        <w:rPr>
          <w:rFonts w:ascii="Arial" w:cs="Arial" w:eastAsia="Arial" w:hAnsi="Arial"/>
          <w:sz w:val="13"/>
          <w:szCs w:val="13"/>
          <w:color w:val="auto"/>
        </w:rPr>
        <w:t>There are a number of laws in the United States and outside the United States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37" w:lineRule="exact"/>
        <w:rPr>
          <w:sz w:val="20"/>
          <w:szCs w:val="20"/>
          <w:color w:val="auto"/>
        </w:rPr>
      </w:pPr>
    </w:p>
    <w:p>
      <w:pPr>
        <w:ind w:right="20" w:firstLine="619"/>
        <w:spacing w:after="0" w:line="343" w:lineRule="auto"/>
        <w:rPr>
          <w:sz w:val="20"/>
          <w:szCs w:val="20"/>
          <w:color w:val="auto"/>
        </w:rPr>
      </w:pPr>
      <w:r>
        <w:rPr>
          <w:rFonts w:ascii="Arial" w:cs="Arial" w:eastAsia="Arial" w:hAnsi="Arial"/>
          <w:sz w:val="11"/>
          <w:szCs w:val="11"/>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02" w:lineRule="exact"/>
        <w:rPr>
          <w:sz w:val="20"/>
          <w:szCs w:val="20"/>
          <w:color w:val="auto"/>
        </w:rPr>
      </w:pPr>
    </w:p>
    <w:p>
      <w:pPr>
        <w:ind w:right="320" w:firstLine="619"/>
        <w:spacing w:after="0" w:line="252" w:lineRule="auto"/>
        <w:rPr>
          <w:sz w:val="20"/>
          <w:szCs w:val="20"/>
          <w:color w:val="auto"/>
        </w:rPr>
      </w:pPr>
      <w:r>
        <w:rPr>
          <w:rFonts w:ascii="Arial" w:cs="Arial" w:eastAsia="Arial" w:hAnsi="Arial"/>
          <w:sz w:val="14"/>
          <w:szCs w:val="14"/>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63" w:name="page64"/>
    <w:bookmarkEnd w:id="63"/>
    <w:p>
      <w:pPr>
        <w:ind w:right="200"/>
        <w:spacing w:after="0" w:line="266" w:lineRule="auto"/>
        <w:rPr>
          <w:sz w:val="20"/>
          <w:szCs w:val="20"/>
          <w:color w:val="auto"/>
        </w:rPr>
      </w:pPr>
      <w:r>
        <w:rPr>
          <w:rFonts w:ascii="Arial" w:cs="Arial" w:eastAsia="Arial" w:hAnsi="Arial"/>
          <w:sz w:val="14"/>
          <w:szCs w:val="14"/>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59" w:lineRule="exact"/>
        <w:rPr>
          <w:sz w:val="20"/>
          <w:szCs w:val="20"/>
          <w:color w:val="auto"/>
        </w:rPr>
      </w:pPr>
    </w:p>
    <w:p>
      <w:pPr>
        <w:ind w:firstLine="619"/>
        <w:spacing w:after="0" w:line="268" w:lineRule="auto"/>
        <w:rPr>
          <w:sz w:val="20"/>
          <w:szCs w:val="20"/>
          <w:color w:val="auto"/>
        </w:rPr>
      </w:pPr>
      <w:r>
        <w:rPr>
          <w:rFonts w:ascii="Arial" w:cs="Arial" w:eastAsia="Arial" w:hAnsi="Arial"/>
          <w:sz w:val="13"/>
          <w:szCs w:val="13"/>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23" w:lineRule="exact"/>
        <w:rPr>
          <w:sz w:val="20"/>
          <w:szCs w:val="20"/>
          <w:color w:val="auto"/>
        </w:rPr>
      </w:pPr>
    </w:p>
    <w:p>
      <w:pPr>
        <w:ind w:right="460"/>
        <w:spacing w:after="0" w:line="266" w:lineRule="auto"/>
        <w:rPr>
          <w:sz w:val="20"/>
          <w:szCs w:val="20"/>
          <w:color w:val="auto"/>
        </w:rPr>
      </w:pPr>
      <w:r>
        <w:rPr>
          <w:rFonts w:ascii="Arial" w:cs="Arial" w:eastAsia="Arial" w:hAnsi="Arial"/>
          <w:sz w:val="14"/>
          <w:szCs w:val="14"/>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38" w:lineRule="exact"/>
        <w:rPr>
          <w:sz w:val="20"/>
          <w:szCs w:val="20"/>
          <w:color w:val="auto"/>
        </w:rPr>
      </w:pPr>
    </w:p>
    <w:p>
      <w:pPr>
        <w:ind w:right="220" w:firstLine="619"/>
        <w:spacing w:after="0" w:line="335" w:lineRule="auto"/>
        <w:rPr>
          <w:sz w:val="20"/>
          <w:szCs w:val="20"/>
          <w:color w:val="auto"/>
        </w:rPr>
      </w:pPr>
      <w:r>
        <w:rPr>
          <w:rFonts w:ascii="Arial" w:cs="Arial" w:eastAsia="Arial" w:hAnsi="Arial"/>
          <w:sz w:val="11"/>
          <w:szCs w:val="11"/>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76" w:lineRule="exact"/>
        <w:rPr>
          <w:sz w:val="20"/>
          <w:szCs w:val="20"/>
          <w:color w:val="auto"/>
        </w:rPr>
      </w:pPr>
    </w:p>
    <w:p>
      <w:pPr>
        <w:ind w:right="340"/>
        <w:spacing w:after="0" w:line="266" w:lineRule="auto"/>
        <w:rPr>
          <w:sz w:val="20"/>
          <w:szCs w:val="20"/>
          <w:color w:val="auto"/>
        </w:rPr>
      </w:pPr>
      <w:r>
        <w:rPr>
          <w:rFonts w:ascii="Arial" w:cs="Arial" w:eastAsia="Arial" w:hAnsi="Arial"/>
          <w:sz w:val="14"/>
          <w:szCs w:val="14"/>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38" w:lineRule="exact"/>
        <w:rPr>
          <w:sz w:val="20"/>
          <w:szCs w:val="20"/>
          <w:color w:val="auto"/>
        </w:rPr>
      </w:pPr>
    </w:p>
    <w:p>
      <w:pPr>
        <w:ind w:right="60" w:firstLine="619"/>
        <w:spacing w:after="0" w:line="266" w:lineRule="auto"/>
        <w:rPr>
          <w:sz w:val="20"/>
          <w:szCs w:val="20"/>
          <w:color w:val="auto"/>
        </w:rPr>
      </w:pPr>
      <w:r>
        <w:rPr>
          <w:rFonts w:ascii="Arial" w:cs="Arial" w:eastAsia="Arial" w:hAnsi="Arial"/>
          <w:sz w:val="14"/>
          <w:szCs w:val="14"/>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38" w:lineRule="exact"/>
        <w:rPr>
          <w:sz w:val="20"/>
          <w:szCs w:val="20"/>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different regulatory requirements for product approvals in foreign countries;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differing U.S. and foreign medical device import and export rules;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more restrictive privacy laws relating to personal information of end-users and employees, including GDPR and other EU member state directives;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reduced protection for our intellectual property rights in foreign countries;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unexpected changes in tariffs, trade barriers and regulatory requirements;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different reimbursement systems;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foreign economies and markets;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64" w:name="page65"/>
    <w:bookmarkEnd w:id="64"/>
    <w:p>
      <w:pPr>
        <w:ind w:left="1480" w:right="240" w:hanging="487"/>
        <w:spacing w:after="0" w:line="266" w:lineRule="auto"/>
        <w:tabs>
          <w:tab w:leader="none" w:pos="14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foreign taxes, including withholding of payroll taxes;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foreign currency fluctuations, which could result in increased operating expenses and reduced revenues, and other obligations incident to doing business in another country; and</w:t>
      </w:r>
    </w:p>
    <w:p>
      <w:pPr>
        <w:spacing w:after="0" w:line="203" w:lineRule="exact"/>
        <w:rPr>
          <w:rFonts w:ascii="Arial" w:cs="Arial" w:eastAsia="Arial" w:hAnsi="Arial"/>
          <w:sz w:val="11"/>
          <w:szCs w:val="11"/>
          <w:color w:val="auto"/>
        </w:rPr>
      </w:pPr>
    </w:p>
    <w:p>
      <w:pPr>
        <w:ind w:left="1480" w:right="240" w:hanging="487"/>
        <w:spacing w:after="0" w:line="266" w:lineRule="auto"/>
        <w:tabs>
          <w:tab w:leader="none" w:pos="14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natural disasters, or incidence of disease, including as a result of the COVID-19 global pandemic.</w:t>
      </w:r>
    </w:p>
    <w:p>
      <w:pPr>
        <w:spacing w:after="0" w:line="138"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3"/>
          <w:szCs w:val="13"/>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01" w:lineRule="exact"/>
        <w:rPr>
          <w:sz w:val="20"/>
          <w:szCs w:val="20"/>
          <w:color w:val="auto"/>
        </w:rPr>
      </w:pPr>
    </w:p>
    <w:p>
      <w:pPr>
        <w:ind w:right="360"/>
        <w:spacing w:after="0" w:line="305" w:lineRule="auto"/>
        <w:rPr>
          <w:sz w:val="20"/>
          <w:szCs w:val="20"/>
          <w:color w:val="auto"/>
        </w:rPr>
      </w:pPr>
      <w:r>
        <w:rPr>
          <w:rFonts w:ascii="Arial" w:cs="Arial" w:eastAsia="Arial" w:hAnsi="Arial"/>
          <w:sz w:val="13"/>
          <w:szCs w:val="13"/>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15" w:lineRule="exact"/>
        <w:rPr>
          <w:sz w:val="20"/>
          <w:szCs w:val="20"/>
          <w:color w:val="auto"/>
        </w:rPr>
      </w:pPr>
    </w:p>
    <w:p>
      <w:pPr>
        <w:ind w:right="80" w:firstLine="619"/>
        <w:spacing w:after="0" w:line="305" w:lineRule="auto"/>
        <w:rPr>
          <w:sz w:val="20"/>
          <w:szCs w:val="20"/>
          <w:color w:val="auto"/>
        </w:rPr>
      </w:pPr>
      <w:r>
        <w:rPr>
          <w:rFonts w:ascii="Arial" w:cs="Arial" w:eastAsia="Arial" w:hAnsi="Arial"/>
          <w:sz w:val="13"/>
          <w:szCs w:val="13"/>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15" w:lineRule="exact"/>
        <w:rPr>
          <w:sz w:val="20"/>
          <w:szCs w:val="20"/>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problems assimilating, maintaining or operating the acquired products or technologies;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issues maintaining uniform standards, procedures, controls and policies;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unanticipated costs, impairment charges or write-offs associated with acquisitions or investments;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diversion of management’s attention from our existing business;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risks associated with entering new markets in which we have limited or no experience;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increased legal and accounting costs relating to the acquisitions or to comply with regulatory requirements or other compliance matters.</w:t>
      </w:r>
    </w:p>
    <w:p>
      <w:pPr>
        <w:spacing w:after="0" w:line="148" w:lineRule="exact"/>
        <w:rPr>
          <w:sz w:val="20"/>
          <w:szCs w:val="20"/>
          <w:color w:val="auto"/>
        </w:rPr>
      </w:pPr>
    </w:p>
    <w:p>
      <w:pPr>
        <w:ind w:right="160" w:firstLine="619"/>
        <w:spacing w:after="0" w:line="342" w:lineRule="auto"/>
        <w:rPr>
          <w:sz w:val="20"/>
          <w:szCs w:val="20"/>
          <w:color w:val="auto"/>
        </w:rPr>
      </w:pPr>
      <w:r>
        <w:rPr>
          <w:rFonts w:ascii="Arial" w:cs="Arial" w:eastAsia="Arial" w:hAnsi="Arial"/>
          <w:sz w:val="11"/>
          <w:szCs w:val="11"/>
          <w:color w:val="auto"/>
        </w:rPr>
        <w:t>We have experienced and may continue to experience one or more of these risks in connection with our acquisition of Sugarmate, which was completed in 2020. For example, as a result of an update to Dexcom’s data systems in October 2021, Sugarmate users in all geographies were unable to receive Dexcom CGM data in the Sugarmate app. Connections for users in the United States were</w:t>
      </w:r>
    </w:p>
    <w:p>
      <w:pPr>
        <w:jc w:val="both"/>
        <w:ind w:right="180"/>
        <w:spacing w:after="0" w:line="252" w:lineRule="auto"/>
        <w:rPr>
          <w:sz w:val="20"/>
          <w:szCs w:val="20"/>
          <w:color w:val="auto"/>
        </w:rPr>
      </w:pPr>
      <w:r>
        <w:rPr>
          <w:rFonts w:ascii="Arial" w:cs="Arial" w:eastAsia="Arial" w:hAnsi="Arial"/>
          <w:sz w:val="14"/>
          <w:szCs w:val="14"/>
          <w:color w:val="auto"/>
        </w:rPr>
        <w:t>restored in December 2021 and in June 2022 for users in all geographies except Australia and New Zealand, though we continue to work towards restoring service for users in those geographies.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49" w:lineRule="exact"/>
        <w:rPr>
          <w:sz w:val="20"/>
          <w:szCs w:val="20"/>
          <w:color w:val="auto"/>
        </w:rPr>
      </w:pPr>
    </w:p>
    <w:p>
      <w:pPr>
        <w:ind w:right="300" w:firstLine="619"/>
        <w:spacing w:after="0" w:line="256" w:lineRule="auto"/>
        <w:rPr>
          <w:sz w:val="20"/>
          <w:szCs w:val="20"/>
          <w:color w:val="auto"/>
        </w:rPr>
      </w:pPr>
      <w:r>
        <w:rPr>
          <w:rFonts w:ascii="Arial" w:cs="Arial" w:eastAsia="Arial" w:hAnsi="Arial"/>
          <w:sz w:val="14"/>
          <w:szCs w:val="14"/>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auto"/>
        </w:rPr>
        <w:t>Risks Related to Our Future Financings and Financial Results</w:t>
      </w:r>
    </w:p>
    <w:p>
      <w:pPr>
        <w:spacing w:after="0" w:line="152" w:lineRule="exact"/>
        <w:rPr>
          <w:sz w:val="20"/>
          <w:szCs w:val="20"/>
          <w:color w:val="auto"/>
        </w:rPr>
      </w:pPr>
    </w:p>
    <w:p>
      <w:pPr>
        <w:ind w:right="300"/>
        <w:spacing w:after="0" w:line="266" w:lineRule="auto"/>
        <w:rPr>
          <w:sz w:val="20"/>
          <w:szCs w:val="20"/>
          <w:color w:val="auto"/>
        </w:rPr>
      </w:pPr>
      <w:r>
        <w:rPr>
          <w:rFonts w:ascii="Arial" w:cs="Arial" w:eastAsia="Arial" w:hAnsi="Arial"/>
          <w:sz w:val="14"/>
          <w:szCs w:val="14"/>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07" w:lineRule="exact"/>
        <w:rPr>
          <w:sz w:val="20"/>
          <w:szCs w:val="20"/>
          <w:color w:val="auto"/>
        </w:rPr>
      </w:pPr>
    </w:p>
    <w:p>
      <w:pPr>
        <w:ind w:firstLine="619"/>
        <w:spacing w:after="0" w:line="343" w:lineRule="auto"/>
        <w:rPr>
          <w:sz w:val="20"/>
          <w:szCs w:val="20"/>
          <w:color w:val="auto"/>
        </w:rPr>
      </w:pPr>
      <w:r>
        <w:rPr>
          <w:rFonts w:ascii="Arial" w:cs="Arial" w:eastAsia="Arial" w:hAnsi="Arial"/>
          <w:sz w:val="11"/>
          <w:szCs w:val="11"/>
          <w:color w:val="auto"/>
        </w:rPr>
        <w:t>As of June 30, 2022, we had $635.3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288" w:lineRule="exact"/>
        <w:rPr>
          <w:sz w:val="20"/>
          <w:szCs w:val="20"/>
          <w:color w:val="auto"/>
        </w:rPr>
      </w:pPr>
    </w:p>
    <w:p>
      <w:pPr>
        <w:ind w:left="1480" w:right="580" w:hanging="487"/>
        <w:spacing w:after="0" w:line="228" w:lineRule="auto"/>
        <w:tabs>
          <w:tab w:leader="none" w:pos="1476"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revenue generated by sales of our insulin pump products, and the related insulin cartridges and infusion sets, and any other future products that we may develop and commercialize;</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gross profits and gross margin we realize from the sales we generate;</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costs associated with maintaining and expanding an appropriate sales, marketing, clinical and customer service infrastructure;</w:t>
      </w:r>
    </w:p>
    <w:p>
      <w:pPr>
        <w:spacing w:after="0" w:line="207" w:lineRule="exact"/>
        <w:rPr>
          <w:rFonts w:ascii="Arial" w:cs="Arial" w:eastAsia="Arial" w:hAnsi="Arial"/>
          <w:sz w:val="17"/>
          <w:szCs w:val="17"/>
          <w:color w:val="auto"/>
        </w:rPr>
      </w:pPr>
    </w:p>
    <w:p>
      <w:pPr>
        <w:ind w:left="1480" w:right="340" w:hanging="487"/>
        <w:spacing w:after="0" w:line="228" w:lineRule="auto"/>
        <w:tabs>
          <w:tab w:leader="none" w:pos="1476"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expenses associated with developing and commercializing our proposed products or technologies;</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cost of obtaining and maintaining regulatory clearance or approval for our products and our manufacturing facilities;</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cost of ongoing compliance with legal and regulatory requirements</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the expenses we incur in connection with current or future litigation or governmental investigations;</w:t>
      </w:r>
    </w:p>
    <w:p>
      <w:pPr>
        <w:spacing w:after="0" w:line="207" w:lineRule="exact"/>
        <w:rPr>
          <w:rFonts w:ascii="Arial" w:cs="Arial" w:eastAsia="Arial" w:hAnsi="Arial"/>
          <w:sz w:val="17"/>
          <w:szCs w:val="17"/>
          <w:color w:val="auto"/>
        </w:rPr>
      </w:pPr>
    </w:p>
    <w:p>
      <w:pPr>
        <w:ind w:left="1480" w:right="680" w:hanging="487"/>
        <w:spacing w:after="0" w:line="228" w:lineRule="auto"/>
        <w:tabs>
          <w:tab w:leader="none" w:pos="1476" w:val="left"/>
        </w:tabs>
        <w:numPr>
          <w:ilvl w:val="0"/>
          <w:numId w:val="28"/>
        </w:numPr>
        <w:rPr>
          <w:rFonts w:ascii="Arial" w:cs="Arial" w:eastAsia="Arial" w:hAnsi="Arial"/>
          <w:sz w:val="17"/>
          <w:szCs w:val="17"/>
          <w:color w:val="auto"/>
        </w:rPr>
      </w:pPr>
      <w:r>
        <w:rPr>
          <w:rFonts w:ascii="Arial" w:cs="Arial" w:eastAsia="Arial" w:hAnsi="Arial"/>
          <w:sz w:val="14"/>
          <w:szCs w:val="14"/>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anticipated or unanticipated capital expenditures;</w:t>
      </w:r>
    </w:p>
    <w:p>
      <w:pPr>
        <w:spacing w:after="0" w:line="186" w:lineRule="exact"/>
        <w:rPr>
          <w:rFonts w:ascii="Arial" w:cs="Arial" w:eastAsia="Arial" w:hAnsi="Arial"/>
          <w:sz w:val="17"/>
          <w:szCs w:val="17"/>
          <w:color w:val="auto"/>
        </w:rPr>
      </w:pPr>
    </w:p>
    <w:p>
      <w:pPr>
        <w:ind w:left="1480" w:hanging="48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unanticipated general and administrative expenses; and</w:t>
      </w:r>
    </w:p>
    <w:p>
      <w:pPr>
        <w:spacing w:after="0" w:line="207" w:lineRule="exact"/>
        <w:rPr>
          <w:rFonts w:ascii="Arial" w:cs="Arial" w:eastAsia="Arial" w:hAnsi="Arial"/>
          <w:sz w:val="17"/>
          <w:szCs w:val="17"/>
          <w:color w:val="auto"/>
        </w:rPr>
      </w:pPr>
    </w:p>
    <w:p>
      <w:pPr>
        <w:ind w:left="1480" w:right="200" w:hanging="487"/>
        <w:spacing w:after="0" w:line="228" w:lineRule="auto"/>
        <w:tabs>
          <w:tab w:leader="none" w:pos="1476" w:val="left"/>
        </w:tabs>
        <w:numPr>
          <w:ilvl w:val="0"/>
          <w:numId w:val="28"/>
        </w:numPr>
        <w:rPr>
          <w:rFonts w:ascii="Arial" w:cs="Arial" w:eastAsia="Arial" w:hAnsi="Arial"/>
          <w:sz w:val="17"/>
          <w:szCs w:val="17"/>
          <w:color w:val="auto"/>
        </w:rPr>
      </w:pPr>
      <w:r>
        <w:rPr>
          <w:rFonts w:ascii="Arial" w:cs="Arial" w:eastAsia="Arial" w:hAnsi="Arial"/>
          <w:sz w:val="14"/>
          <w:szCs w:val="14"/>
          <w:color w:val="auto"/>
        </w:rPr>
        <w:t>impacts and disruptions resulting from geopolitical actions, including war and terrorism, natural disasters, or incidence of disease, including as a result of the impacts from the COVID-19 global pandemic.</w:t>
      </w:r>
    </w:p>
    <w:p>
      <w:pPr>
        <w:spacing w:after="0" w:line="156" w:lineRule="exact"/>
        <w:rPr>
          <w:sz w:val="20"/>
          <w:szCs w:val="20"/>
          <w:color w:val="auto"/>
        </w:rPr>
      </w:pPr>
    </w:p>
    <w:p>
      <w:pPr>
        <w:ind w:right="20" w:firstLine="619"/>
        <w:spacing w:after="0" w:line="343" w:lineRule="auto"/>
        <w:rPr>
          <w:sz w:val="20"/>
          <w:szCs w:val="20"/>
          <w:color w:val="auto"/>
        </w:rPr>
      </w:pPr>
      <w:r>
        <w:rPr>
          <w:rFonts w:ascii="Arial" w:cs="Arial" w:eastAsia="Arial" w:hAnsi="Arial"/>
          <w:sz w:val="11"/>
          <w:szCs w:val="11"/>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66" w:name="page67"/>
    <w:bookmarkEnd w:id="66"/>
    <w:p>
      <w:pPr>
        <w:ind w:right="40" w:firstLine="619"/>
        <w:spacing w:after="0" w:line="358" w:lineRule="auto"/>
        <w:rPr>
          <w:sz w:val="20"/>
          <w:szCs w:val="20"/>
          <w:color w:val="auto"/>
        </w:rPr>
      </w:pPr>
      <w:r>
        <w:rPr>
          <w:rFonts w:ascii="Arial" w:cs="Arial" w:eastAsia="Arial" w:hAnsi="Arial"/>
          <w:sz w:val="11"/>
          <w:szCs w:val="11"/>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operating results may fluctuate significantly from quarter to quarter.</w:t>
      </w:r>
    </w:p>
    <w:p>
      <w:pPr>
        <w:spacing w:after="0" w:line="169" w:lineRule="exact"/>
        <w:rPr>
          <w:sz w:val="20"/>
          <w:szCs w:val="20"/>
          <w:color w:val="auto"/>
        </w:rPr>
      </w:pPr>
    </w:p>
    <w:p>
      <w:pPr>
        <w:jc w:val="both"/>
        <w:ind w:right="280" w:firstLine="619"/>
        <w:spacing w:after="0" w:line="256" w:lineRule="auto"/>
        <w:rPr>
          <w:sz w:val="20"/>
          <w:szCs w:val="20"/>
          <w:color w:val="auto"/>
        </w:rPr>
      </w:pPr>
      <w:r>
        <w:rPr>
          <w:rFonts w:ascii="Arial" w:cs="Arial" w:eastAsia="Arial" w:hAnsi="Arial"/>
          <w:sz w:val="14"/>
          <w:szCs w:val="14"/>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45" w:lineRule="exact"/>
        <w:rPr>
          <w:sz w:val="20"/>
          <w:szCs w:val="20"/>
          <w:color w:val="auto"/>
        </w:rPr>
      </w:pPr>
    </w:p>
    <w:p>
      <w:pPr>
        <w:ind w:left="1480" w:hanging="487"/>
        <w:spacing w:after="0" w:line="266" w:lineRule="auto"/>
        <w:tabs>
          <w:tab w:leader="none" w:pos="1477"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commercialize and sell our current and future products and our ability to increase sales and gross profit from our products, including insulin pumps and the related insulin cartridges and infusion sets;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number and mix of our products sold in each quarter;</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acceptance of our products by people with insulin-dependent diabetes, their caregivers, healthcare providers and third-party payors;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pricing of our products and competitive products, including the use of discounts, rebates or other financial incentives by us or our competitors;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effect of third-party coverage and reimbursement policies;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maintain our existing infrastructure;</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amount of, and the timing of the payment for, insurance deductibles required to be paid by our customers and potential customers under their existing insurance plans;</w:t>
      </w:r>
    </w:p>
    <w:p>
      <w:pPr>
        <w:spacing w:after="0" w:line="203" w:lineRule="exact"/>
        <w:rPr>
          <w:rFonts w:ascii="Arial" w:cs="Arial" w:eastAsia="Arial" w:hAnsi="Arial"/>
          <w:sz w:val="11"/>
          <w:szCs w:val="11"/>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interruption in the manufacturing or distribution of our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simultaneously manufacture multiple products that meet quality, reliability and regulatory requirements;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seasonality and other factors affecting the timing of purchases of our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timing of new product offerings, acquisitions, licenses or other significant events by us or our competitors;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results of clinical research and trials on our existing and future products;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of our suppliers to timely provide us with an adequate supply of components that meet our requirements for product quality and reliability;</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clearance or approvals, or adverse regulatory or legal actions, affecting our products or those of our competitors;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of revenue and expense recognition associated with our product sales pursuant to applicable accounting standards.</w:t>
      </w:r>
    </w:p>
    <w:p>
      <w:pPr>
        <w:spacing w:after="0" w:line="169" w:lineRule="exact"/>
        <w:rPr>
          <w:sz w:val="20"/>
          <w:szCs w:val="20"/>
          <w:color w:val="auto"/>
        </w:rPr>
      </w:pPr>
    </w:p>
    <w:p>
      <w:pPr>
        <w:ind w:right="60" w:firstLine="619"/>
        <w:spacing w:after="0" w:line="278" w:lineRule="auto"/>
        <w:rPr>
          <w:sz w:val="20"/>
          <w:szCs w:val="20"/>
          <w:color w:val="auto"/>
        </w:rPr>
      </w:pPr>
      <w:r>
        <w:rPr>
          <w:rFonts w:ascii="Arial" w:cs="Arial" w:eastAsia="Arial" w:hAnsi="Arial"/>
          <w:sz w:val="13"/>
          <w:szCs w:val="13"/>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60"/>
          </w:cols>
          <w:pgMar w:left="300" w:top="882" w:right="4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Risks Related to Our Intellectual Property and Potential Litigation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comprehensively protect our intellectual property and proprietary technology is uncertain.*</w:t>
      </w:r>
    </w:p>
    <w:p>
      <w:pPr>
        <w:spacing w:after="0" w:line="169" w:lineRule="exact"/>
        <w:rPr>
          <w:sz w:val="20"/>
          <w:szCs w:val="20"/>
          <w:color w:val="auto"/>
        </w:rPr>
      </w:pPr>
    </w:p>
    <w:p>
      <w:pPr>
        <w:ind w:right="140" w:firstLine="619"/>
        <w:spacing w:after="0" w:line="278" w:lineRule="auto"/>
        <w:rPr>
          <w:sz w:val="20"/>
          <w:szCs w:val="20"/>
          <w:color w:val="auto"/>
        </w:rPr>
      </w:pPr>
      <w:r>
        <w:rPr>
          <w:rFonts w:ascii="Arial" w:cs="Arial" w:eastAsia="Arial" w:hAnsi="Arial"/>
          <w:sz w:val="13"/>
          <w:szCs w:val="13"/>
          <w:color w:val="auto"/>
        </w:rPr>
        <w:t>We rely primarily on patent, trademark and trade secret laws, as well as confidentiality and non-disclosure agreements, to protect our proprietary technologies. As of June 30, 2022, our patent portfolio consisted of approximately 125 issued U.S. patents and 87 pending U.S. patent applications. Of these, our issued U.S. patents expire between approximately 2024 and 2041. Our foreign patent portfolio consisted of approximately 41 issued patents and 17 pending patent applications in other countries throughout the world. Of these, our issued foreign patents expire between approximately 2025 and 2036. In addition, we also have 117 trademark registrations, including 21 U.S. trademark registrations and 96 foreign trademark registrations.</w:t>
      </w:r>
    </w:p>
    <w:p>
      <w:pPr>
        <w:spacing w:after="0" w:line="132"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40" w:lineRule="exact"/>
        <w:rPr>
          <w:sz w:val="20"/>
          <w:szCs w:val="20"/>
          <w:color w:val="auto"/>
        </w:rPr>
      </w:pPr>
    </w:p>
    <w:p>
      <w:pPr>
        <w:ind w:right="60" w:firstLine="619"/>
        <w:spacing w:after="0" w:line="343" w:lineRule="auto"/>
        <w:rPr>
          <w:sz w:val="20"/>
          <w:szCs w:val="20"/>
          <w:color w:val="auto"/>
        </w:rPr>
      </w:pPr>
      <w:r>
        <w:rPr>
          <w:rFonts w:ascii="Arial" w:cs="Arial" w:eastAsia="Arial" w:hAnsi="Arial"/>
          <w:sz w:val="11"/>
          <w:szCs w:val="11"/>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02" w:lineRule="exact"/>
        <w:rPr>
          <w:sz w:val="20"/>
          <w:szCs w:val="20"/>
          <w:color w:val="auto"/>
        </w:rPr>
      </w:pPr>
    </w:p>
    <w:p>
      <w:pPr>
        <w:ind w:right="140" w:firstLine="619"/>
        <w:spacing w:after="0" w:line="252" w:lineRule="auto"/>
        <w:rPr>
          <w:sz w:val="20"/>
          <w:szCs w:val="20"/>
          <w:color w:val="auto"/>
        </w:rPr>
      </w:pPr>
      <w:r>
        <w:rPr>
          <w:rFonts w:ascii="Arial" w:cs="Arial" w:eastAsia="Arial" w:hAnsi="Arial"/>
          <w:sz w:val="14"/>
          <w:szCs w:val="14"/>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49" w:lineRule="exact"/>
        <w:rPr>
          <w:sz w:val="20"/>
          <w:szCs w:val="20"/>
          <w:color w:val="auto"/>
        </w:rPr>
      </w:pPr>
    </w:p>
    <w:p>
      <w:pPr>
        <w:ind w:right="40" w:firstLine="619"/>
        <w:spacing w:after="0" w:line="271" w:lineRule="auto"/>
        <w:rPr>
          <w:sz w:val="20"/>
          <w:szCs w:val="20"/>
          <w:color w:val="auto"/>
        </w:rPr>
      </w:pPr>
      <w:r>
        <w:rPr>
          <w:rFonts w:ascii="Arial" w:cs="Arial" w:eastAsia="Arial" w:hAnsi="Arial"/>
          <w:sz w:val="13"/>
          <w:szCs w:val="13"/>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68" w:name="page69"/>
    <w:bookmarkEnd w:id="68"/>
    <w:p>
      <w:pPr>
        <w:spacing w:after="0" w:line="266" w:lineRule="auto"/>
        <w:rPr>
          <w:sz w:val="20"/>
          <w:szCs w:val="20"/>
          <w:color w:val="auto"/>
        </w:rPr>
      </w:pPr>
      <w:r>
        <w:rPr>
          <w:rFonts w:ascii="Arial" w:cs="Arial" w:eastAsia="Arial" w:hAnsi="Arial"/>
          <w:sz w:val="14"/>
          <w:szCs w:val="14"/>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38" w:lineRule="exact"/>
        <w:rPr>
          <w:sz w:val="20"/>
          <w:szCs w:val="20"/>
          <w:color w:val="auto"/>
        </w:rPr>
      </w:pPr>
    </w:p>
    <w:p>
      <w:pPr>
        <w:ind w:right="40" w:firstLine="619"/>
        <w:spacing w:after="0" w:line="252" w:lineRule="auto"/>
        <w:rPr>
          <w:sz w:val="20"/>
          <w:szCs w:val="20"/>
          <w:color w:val="auto"/>
        </w:rPr>
      </w:pPr>
      <w:r>
        <w:rPr>
          <w:rFonts w:ascii="Arial" w:cs="Arial" w:eastAsia="Arial" w:hAnsi="Arial"/>
          <w:sz w:val="14"/>
          <w:szCs w:val="14"/>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49" w:lineRule="exact"/>
        <w:rPr>
          <w:sz w:val="20"/>
          <w:szCs w:val="20"/>
          <w:color w:val="auto"/>
        </w:rPr>
      </w:pPr>
    </w:p>
    <w:p>
      <w:pPr>
        <w:ind w:right="100" w:firstLine="619"/>
        <w:spacing w:after="0" w:line="266" w:lineRule="auto"/>
        <w:rPr>
          <w:sz w:val="20"/>
          <w:szCs w:val="20"/>
          <w:color w:val="auto"/>
        </w:rPr>
      </w:pPr>
      <w:r>
        <w:rPr>
          <w:rFonts w:ascii="Arial" w:cs="Arial" w:eastAsia="Arial" w:hAnsi="Arial"/>
          <w:sz w:val="14"/>
          <w:szCs w:val="14"/>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38" w:lineRule="exact"/>
        <w:rPr>
          <w:sz w:val="20"/>
          <w:szCs w:val="20"/>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stop selling our products or using technology that allegedly infringes third-party intellectual property;</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prevent or limit our ability to sell a product that we are currently developing;</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incur significant legal expenses;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 substantial damages to the party whose intellectual property rights we are allegedly infringing;</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redesign those products that allegedly infringe third-party intellectual property; or</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attempt to obtain a license to the relevant intellectual property from third parties, which may not be available on reasonable terms or at all.</w:t>
      </w:r>
    </w:p>
    <w:p>
      <w:pPr>
        <w:spacing w:after="0" w:line="169" w:lineRule="exact"/>
        <w:rPr>
          <w:sz w:val="20"/>
          <w:szCs w:val="20"/>
          <w:color w:val="auto"/>
        </w:rPr>
      </w:pPr>
    </w:p>
    <w:p>
      <w:pPr>
        <w:ind w:right="40" w:firstLine="619"/>
        <w:spacing w:after="0" w:line="278" w:lineRule="auto"/>
        <w:rPr>
          <w:sz w:val="20"/>
          <w:szCs w:val="20"/>
          <w:color w:val="auto"/>
        </w:rPr>
      </w:pPr>
      <w:r>
        <w:rPr>
          <w:rFonts w:ascii="Arial" w:cs="Arial" w:eastAsia="Arial" w:hAnsi="Arial"/>
          <w:sz w:val="13"/>
          <w:szCs w:val="13"/>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38" w:lineRule="exact"/>
        <w:rPr>
          <w:sz w:val="20"/>
          <w:szCs w:val="20"/>
          <w:color w:val="auto"/>
        </w:rPr>
      </w:pPr>
    </w:p>
    <w:p>
      <w:pPr>
        <w:ind w:right="40" w:firstLine="619"/>
        <w:spacing w:after="0" w:line="270" w:lineRule="auto"/>
        <w:rPr>
          <w:sz w:val="20"/>
          <w:szCs w:val="20"/>
          <w:color w:val="auto"/>
        </w:rPr>
      </w:pPr>
      <w:r>
        <w:rPr>
          <w:rFonts w:ascii="Arial" w:cs="Arial" w:eastAsia="Arial" w:hAnsi="Arial"/>
          <w:sz w:val="13"/>
          <w:szCs w:val="13"/>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51"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We may incur product liability losses, and insurance coverage may be inadequate or unavailable to cover these losses.</w:t>
      </w:r>
    </w:p>
    <w:p>
      <w:pPr>
        <w:spacing w:after="0" w:line="169" w:lineRule="exact"/>
        <w:rPr>
          <w:sz w:val="20"/>
          <w:szCs w:val="20"/>
          <w:color w:val="auto"/>
        </w:rPr>
      </w:pPr>
    </w:p>
    <w:p>
      <w:pPr>
        <w:ind w:right="40" w:firstLine="619"/>
        <w:spacing w:after="0" w:line="325" w:lineRule="auto"/>
        <w:rPr>
          <w:sz w:val="20"/>
          <w:szCs w:val="20"/>
          <w:color w:val="auto"/>
        </w:rPr>
      </w:pPr>
      <w:r>
        <w:rPr>
          <w:rFonts w:ascii="Arial" w:cs="Arial" w:eastAsia="Arial" w:hAnsi="Arial"/>
          <w:sz w:val="11"/>
          <w:szCs w:val="11"/>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280" w:lineRule="exact"/>
        <w:rPr>
          <w:sz w:val="20"/>
          <w:szCs w:val="20"/>
          <w:color w:val="auto"/>
        </w:rPr>
      </w:pPr>
    </w:p>
    <w:p>
      <w:pPr>
        <w:ind w:right="20" w:firstLine="619"/>
        <w:spacing w:after="0" w:line="249" w:lineRule="auto"/>
        <w:rPr>
          <w:sz w:val="20"/>
          <w:szCs w:val="20"/>
          <w:color w:val="auto"/>
        </w:rPr>
      </w:pPr>
      <w:r>
        <w:rPr>
          <w:rFonts w:ascii="Arial" w:cs="Arial" w:eastAsia="Arial" w:hAnsi="Arial"/>
          <w:sz w:val="14"/>
          <w:szCs w:val="14"/>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Legal and Regulatory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products and operations are subject to extensive governmental regulation, and failure to comply with applicable requirements could cause our business to suffer.</w:t>
      </w:r>
    </w:p>
    <w:p>
      <w:pPr>
        <w:spacing w:after="0" w:line="169"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3"/>
          <w:szCs w:val="13"/>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129" w:lineRule="exact"/>
        <w:rPr>
          <w:sz w:val="20"/>
          <w:szCs w:val="20"/>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 design and development;</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pre-clinical and clinical testing and trials;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 safety;</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establishment registration and product listing;</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labeling and storage;</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marketing, manufacturing, sales and distribution;</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pre-market clearance or approval;</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servicing and post-market surveillance;</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advertising and promotion; and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51" w:right="359" w:bottom="1440" w:gutter="0" w:footer="0" w:header="0"/>
        </w:sectPr>
      </w:pPr>
    </w:p>
    <w:bookmarkStart w:id="70" w:name="page71"/>
    <w:bookmarkEnd w:id="70"/>
    <w:p>
      <w:pPr>
        <w:ind w:left="1480" w:hanging="487"/>
        <w:spacing w:after="0"/>
        <w:tabs>
          <w:tab w:leader="none" w:pos="1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recalls and field safety corrective actions.</w:t>
      </w:r>
    </w:p>
    <w:p>
      <w:pPr>
        <w:spacing w:after="0" w:line="169"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40" w:lineRule="exact"/>
        <w:rPr>
          <w:sz w:val="20"/>
          <w:szCs w:val="20"/>
          <w:color w:val="auto"/>
        </w:rPr>
      </w:pPr>
    </w:p>
    <w:p>
      <w:pPr>
        <w:ind w:right="160" w:firstLine="619"/>
        <w:spacing w:after="0" w:line="266" w:lineRule="auto"/>
        <w:rPr>
          <w:sz w:val="20"/>
          <w:szCs w:val="20"/>
          <w:color w:val="auto"/>
        </w:rPr>
      </w:pPr>
      <w:r>
        <w:rPr>
          <w:rFonts w:ascii="Arial" w:cs="Arial" w:eastAsia="Arial" w:hAnsi="Arial"/>
          <w:sz w:val="14"/>
          <w:szCs w:val="14"/>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FDA or other regulatory authority can delay, limit or deny clearance or approval of one of our devices for many reasons, including:</w:t>
      </w:r>
    </w:p>
    <w:p>
      <w:pPr>
        <w:spacing w:after="0" w:line="169" w:lineRule="exact"/>
        <w:rPr>
          <w:sz w:val="20"/>
          <w:szCs w:val="20"/>
          <w:color w:val="auto"/>
        </w:rPr>
      </w:pPr>
    </w:p>
    <w:p>
      <w:pPr>
        <w:ind w:left="1480" w:hanging="487"/>
        <w:spacing w:after="0"/>
        <w:tabs>
          <w:tab w:leader="none" w:pos="1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inability to demonstrate that our products are safe and effective for their intended users;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data from our pre-clinical studies or clinical trials may be insufficient to support clearance or approval;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failure of the manufacturing process or facilities we use to meet applicable requirements.</w:t>
      </w:r>
    </w:p>
    <w:p>
      <w:pPr>
        <w:spacing w:after="0" w:line="169" w:lineRule="exact"/>
        <w:rPr>
          <w:sz w:val="20"/>
          <w:szCs w:val="20"/>
          <w:color w:val="auto"/>
        </w:rPr>
      </w:pPr>
    </w:p>
    <w:p>
      <w:pPr>
        <w:jc w:val="both"/>
        <w:ind w:right="160" w:firstLine="619"/>
        <w:spacing w:after="0" w:line="256" w:lineRule="auto"/>
        <w:rPr>
          <w:sz w:val="20"/>
          <w:szCs w:val="20"/>
          <w:color w:val="auto"/>
        </w:rPr>
      </w:pPr>
      <w:r>
        <w:rPr>
          <w:rFonts w:ascii="Arial" w:cs="Arial" w:eastAsia="Arial" w:hAnsi="Arial"/>
          <w:sz w:val="14"/>
          <w:szCs w:val="14"/>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45" w:lineRule="exact"/>
        <w:rPr>
          <w:sz w:val="20"/>
          <w:szCs w:val="20"/>
          <w:color w:val="auto"/>
        </w:rPr>
      </w:pPr>
    </w:p>
    <w:p>
      <w:pPr>
        <w:ind w:right="80" w:firstLine="619"/>
        <w:spacing w:after="0" w:line="252" w:lineRule="auto"/>
        <w:rPr>
          <w:sz w:val="20"/>
          <w:szCs w:val="20"/>
          <w:color w:val="auto"/>
        </w:rPr>
      </w:pPr>
      <w:r>
        <w:rPr>
          <w:rFonts w:ascii="Arial" w:cs="Arial" w:eastAsia="Arial" w:hAnsi="Arial"/>
          <w:sz w:val="14"/>
          <w:szCs w:val="14"/>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149" w:lineRule="exact"/>
        <w:rPr>
          <w:sz w:val="20"/>
          <w:szCs w:val="20"/>
          <w:color w:val="auto"/>
        </w:rPr>
      </w:pPr>
    </w:p>
    <w:p>
      <w:pPr>
        <w:ind w:right="20" w:firstLine="619"/>
        <w:spacing w:after="0" w:line="327" w:lineRule="auto"/>
        <w:rPr>
          <w:sz w:val="20"/>
          <w:szCs w:val="20"/>
          <w:color w:val="auto"/>
        </w:rPr>
      </w:pPr>
      <w:r>
        <w:rPr>
          <w:rFonts w:ascii="Arial" w:cs="Arial" w:eastAsia="Arial" w:hAnsi="Arial"/>
          <w:sz w:val="11"/>
          <w:szCs w:val="11"/>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Since mid-2021 we have completed several audits and inspections, some of which include findings that require us to take one or more corrective actions. Our failure to appropriately respond to these findings and take corrective actions, or our failure to comply with applicable regulations for any other reason,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82" w:right="339" w:bottom="1440" w:gutter="0" w:footer="0" w:header="0"/>
        </w:sectPr>
      </w:pPr>
    </w:p>
    <w:bookmarkStart w:id="71" w:name="page72"/>
    <w:bookmarkEnd w:id="71"/>
    <w:p>
      <w:pPr>
        <w:ind w:right="140" w:firstLine="619"/>
        <w:spacing w:after="0" w:line="278" w:lineRule="auto"/>
        <w:rPr>
          <w:sz w:val="20"/>
          <w:szCs w:val="20"/>
          <w:color w:val="auto"/>
        </w:rPr>
      </w:pPr>
      <w:r>
        <w:rPr>
          <w:rFonts w:ascii="Arial" w:cs="Arial" w:eastAsia="Arial" w:hAnsi="Arial"/>
          <w:sz w:val="13"/>
          <w:szCs w:val="13"/>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01" w:lineRule="exact"/>
        <w:rPr>
          <w:sz w:val="20"/>
          <w:szCs w:val="20"/>
          <w:color w:val="auto"/>
        </w:rPr>
      </w:pPr>
    </w:p>
    <w:p>
      <w:pPr>
        <w:ind w:right="480"/>
        <w:spacing w:after="0" w:line="266" w:lineRule="auto"/>
        <w:rPr>
          <w:sz w:val="20"/>
          <w:szCs w:val="20"/>
          <w:color w:val="auto"/>
        </w:rPr>
      </w:pPr>
      <w:r>
        <w:rPr>
          <w:rFonts w:ascii="Arial" w:cs="Arial" w:eastAsia="Arial" w:hAnsi="Arial"/>
          <w:sz w:val="14"/>
          <w:szCs w:val="14"/>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38" w:lineRule="exact"/>
        <w:rPr>
          <w:sz w:val="20"/>
          <w:szCs w:val="20"/>
          <w:color w:val="auto"/>
        </w:rPr>
      </w:pPr>
    </w:p>
    <w:p>
      <w:pPr>
        <w:ind w:firstLine="619"/>
        <w:spacing w:after="0" w:line="335" w:lineRule="auto"/>
        <w:rPr>
          <w:sz w:val="20"/>
          <w:szCs w:val="20"/>
          <w:color w:val="auto"/>
        </w:rPr>
      </w:pPr>
      <w:r>
        <w:rPr>
          <w:rFonts w:ascii="Arial" w:cs="Arial" w:eastAsia="Arial" w:hAnsi="Arial"/>
          <w:sz w:val="11"/>
          <w:szCs w:val="11"/>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07" w:lineRule="exact"/>
        <w:rPr>
          <w:sz w:val="20"/>
          <w:szCs w:val="20"/>
          <w:color w:val="auto"/>
        </w:rPr>
      </w:pPr>
    </w:p>
    <w:p>
      <w:pPr>
        <w:ind w:right="380" w:firstLine="619"/>
        <w:spacing w:after="0" w:line="305" w:lineRule="auto"/>
        <w:rPr>
          <w:sz w:val="20"/>
          <w:szCs w:val="20"/>
          <w:color w:val="auto"/>
        </w:rPr>
      </w:pPr>
      <w:r>
        <w:rPr>
          <w:rFonts w:ascii="Arial" w:cs="Arial" w:eastAsia="Arial" w:hAnsi="Arial"/>
          <w:sz w:val="13"/>
          <w:szCs w:val="13"/>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94"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b w:val="1"/>
          <w:bCs w:val="1"/>
          <w:i w:val="1"/>
          <w:iCs w:val="1"/>
          <w:color w:val="auto"/>
        </w:rPr>
        <w:t>If we or our third-party suppliers, contract manufacturers and service providers fail to comply with good manufacturing practice regulations, this could impair our ability to market our products in a cost-effective and timely manner.</w:t>
      </w:r>
    </w:p>
    <w:p>
      <w:pPr>
        <w:spacing w:after="0" w:line="138" w:lineRule="exact"/>
        <w:rPr>
          <w:sz w:val="20"/>
          <w:szCs w:val="20"/>
          <w:color w:val="auto"/>
        </w:rPr>
      </w:pPr>
    </w:p>
    <w:p>
      <w:pPr>
        <w:ind w:right="20" w:firstLine="619"/>
        <w:spacing w:after="0" w:line="249" w:lineRule="auto"/>
        <w:rPr>
          <w:sz w:val="20"/>
          <w:szCs w:val="20"/>
          <w:color w:val="auto"/>
        </w:rPr>
      </w:pPr>
      <w:r>
        <w:rPr>
          <w:rFonts w:ascii="Arial" w:cs="Arial" w:eastAsia="Arial" w:hAnsi="Arial"/>
          <w:sz w:val="14"/>
          <w:szCs w:val="14"/>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We also are subject to similar requirements by regulatory authorities in other geographies. The FDA and other regulatory bodies routinely audit our compliance with the QSR and equivalent international requirements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51" w:lineRule="exact"/>
        <w:rPr>
          <w:sz w:val="20"/>
          <w:szCs w:val="20"/>
          <w:color w:val="auto"/>
        </w:rPr>
      </w:pPr>
    </w:p>
    <w:p>
      <w:pPr>
        <w:ind w:right="80" w:firstLine="619"/>
        <w:spacing w:after="0" w:line="256" w:lineRule="auto"/>
        <w:rPr>
          <w:sz w:val="20"/>
          <w:szCs w:val="20"/>
          <w:color w:val="auto"/>
        </w:rPr>
      </w:pPr>
      <w:r>
        <w:rPr>
          <w:rFonts w:ascii="Arial" w:cs="Arial" w:eastAsia="Arial" w:hAnsi="Arial"/>
          <w:sz w:val="14"/>
          <w:szCs w:val="14"/>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recall or suspension of our products, or the discovery of serious safety issues with our products, could have a significant negative impact on us.*</w:t>
      </w:r>
    </w:p>
    <w:p>
      <w:pPr>
        <w:spacing w:after="0" w:line="169" w:lineRule="exact"/>
        <w:rPr>
          <w:sz w:val="20"/>
          <w:szCs w:val="20"/>
          <w:color w:val="auto"/>
        </w:rPr>
      </w:pPr>
    </w:p>
    <w:p>
      <w:pPr>
        <w:ind w:right="20" w:firstLine="619"/>
        <w:spacing w:after="0" w:line="271" w:lineRule="auto"/>
        <w:rPr>
          <w:sz w:val="20"/>
          <w:szCs w:val="20"/>
          <w:color w:val="auto"/>
        </w:rPr>
      </w:pPr>
      <w:r>
        <w:rPr>
          <w:rFonts w:ascii="Arial" w:cs="Arial" w:eastAsia="Arial" w:hAnsi="Arial"/>
          <w:sz w:val="13"/>
          <w:szCs w:val="13"/>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82" w:right="339" w:bottom="1440" w:gutter="0" w:footer="0" w:header="0"/>
        </w:sectPr>
      </w:pPr>
    </w:p>
    <w:bookmarkStart w:id="72" w:name="page73"/>
    <w:bookmarkEnd w:id="72"/>
    <w:p>
      <w:pPr>
        <w:ind w:right="80" w:firstLine="619"/>
        <w:spacing w:after="0" w:line="274" w:lineRule="auto"/>
        <w:rPr>
          <w:sz w:val="20"/>
          <w:szCs w:val="20"/>
          <w:color w:val="auto"/>
        </w:rPr>
      </w:pPr>
      <w:r>
        <w:rPr>
          <w:rFonts w:ascii="Arial" w:cs="Arial" w:eastAsia="Arial" w:hAnsi="Arial"/>
          <w:sz w:val="13"/>
          <w:szCs w:val="13"/>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37" w:lineRule="exact"/>
        <w:rPr>
          <w:sz w:val="20"/>
          <w:szCs w:val="20"/>
          <w:color w:val="auto"/>
        </w:rPr>
      </w:pPr>
    </w:p>
    <w:p>
      <w:pPr>
        <w:ind w:firstLine="619"/>
        <w:spacing w:after="0" w:line="327" w:lineRule="auto"/>
        <w:rPr>
          <w:sz w:val="20"/>
          <w:szCs w:val="20"/>
          <w:color w:val="auto"/>
        </w:rPr>
      </w:pPr>
      <w:r>
        <w:rPr>
          <w:rFonts w:ascii="Arial" w:cs="Arial" w:eastAsia="Arial" w:hAnsi="Arial"/>
          <w:sz w:val="11"/>
          <w:szCs w:val="11"/>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we only recently commenced offering our Control-IQ technology in Australia.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248"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38" w:lineRule="exact"/>
        <w:rPr>
          <w:sz w:val="20"/>
          <w:szCs w:val="20"/>
          <w:color w:val="auto"/>
        </w:rPr>
      </w:pPr>
    </w:p>
    <w:p>
      <w:pPr>
        <w:jc w:val="both"/>
        <w:ind w:right="60" w:firstLine="619"/>
        <w:spacing w:after="0" w:line="284" w:lineRule="auto"/>
        <w:rPr>
          <w:sz w:val="20"/>
          <w:szCs w:val="20"/>
          <w:color w:val="auto"/>
        </w:rPr>
      </w:pPr>
      <w:r>
        <w:rPr>
          <w:rFonts w:ascii="Arial" w:cs="Arial" w:eastAsia="Arial" w:hAnsi="Arial"/>
          <w:sz w:val="13"/>
          <w:szCs w:val="13"/>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29" w:lineRule="exact"/>
        <w:rPr>
          <w:sz w:val="20"/>
          <w:szCs w:val="20"/>
          <w:color w:val="auto"/>
        </w:rPr>
      </w:pPr>
    </w:p>
    <w:p>
      <w:pPr>
        <w:ind w:right="180" w:firstLine="619"/>
        <w:spacing w:after="0" w:line="266" w:lineRule="auto"/>
        <w:rPr>
          <w:sz w:val="20"/>
          <w:szCs w:val="20"/>
          <w:color w:val="auto"/>
        </w:rPr>
      </w:pPr>
      <w:r>
        <w:rPr>
          <w:rFonts w:ascii="Arial" w:cs="Arial" w:eastAsia="Arial" w:hAnsi="Arial"/>
          <w:sz w:val="14"/>
          <w:szCs w:val="14"/>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38" w:lineRule="exact"/>
        <w:rPr>
          <w:sz w:val="20"/>
          <w:szCs w:val="20"/>
          <w:color w:val="auto"/>
        </w:rPr>
      </w:pPr>
    </w:p>
    <w:p>
      <w:pPr>
        <w:ind w:left="1480" w:right="40" w:hanging="487"/>
        <w:spacing w:after="0" w:line="252" w:lineRule="auto"/>
        <w:tabs>
          <w:tab w:leader="none" w:pos="14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48" w:lineRule="exact"/>
        <w:rPr>
          <w:rFonts w:ascii="Arial" w:cs="Arial" w:eastAsia="Arial" w:hAnsi="Arial"/>
          <w:sz w:val="14"/>
          <w:szCs w:val="14"/>
          <w:color w:val="auto"/>
        </w:rPr>
      </w:pPr>
    </w:p>
    <w:p>
      <w:pPr>
        <w:ind w:left="1480" w:right="220" w:hanging="487"/>
        <w:spacing w:after="0" w:line="266" w:lineRule="auto"/>
        <w:tabs>
          <w:tab w:leader="none" w:pos="14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38" w:lineRule="exact"/>
        <w:rPr>
          <w:rFonts w:ascii="Arial" w:cs="Arial" w:eastAsia="Arial" w:hAnsi="Arial"/>
          <w:sz w:val="14"/>
          <w:szCs w:val="14"/>
          <w:color w:val="auto"/>
        </w:rPr>
      </w:pPr>
    </w:p>
    <w:p>
      <w:pPr>
        <w:ind w:left="1480" w:right="100" w:hanging="487"/>
        <w:spacing w:after="0" w:line="256" w:lineRule="auto"/>
        <w:tabs>
          <w:tab w:leader="none" w:pos="14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44" w:lineRule="exact"/>
        <w:rPr>
          <w:rFonts w:ascii="Arial" w:cs="Arial" w:eastAsia="Arial" w:hAnsi="Arial"/>
          <w:sz w:val="14"/>
          <w:szCs w:val="14"/>
          <w:color w:val="auto"/>
        </w:rPr>
      </w:pPr>
    </w:p>
    <w:p>
      <w:pPr>
        <w:ind w:left="1480" w:hanging="487"/>
        <w:spacing w:after="0" w:line="358" w:lineRule="auto"/>
        <w:tabs>
          <w:tab w:leader="none" w:pos="14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73" w:name="page74"/>
    <w:bookmarkEnd w:id="73"/>
    <w:p>
      <w:pPr>
        <w:ind w:left="1480" w:right="340" w:hanging="487"/>
        <w:spacing w:after="0" w:line="266" w:lineRule="auto"/>
        <w:tabs>
          <w:tab w:leader="none" w:pos="14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criminal laws enacted as part of HIPAA that prohibit executing a scheme to defraud any healthcare benefit program or making false statements relating to healthcare matters;</w:t>
      </w:r>
    </w:p>
    <w:p>
      <w:pPr>
        <w:spacing w:after="0" w:line="138" w:lineRule="exact"/>
        <w:rPr>
          <w:rFonts w:ascii="Arial" w:cs="Arial" w:eastAsia="Arial" w:hAnsi="Arial"/>
          <w:sz w:val="14"/>
          <w:szCs w:val="14"/>
          <w:color w:val="auto"/>
        </w:rPr>
      </w:pPr>
    </w:p>
    <w:p>
      <w:pPr>
        <w:ind w:left="1480" w:right="380" w:hanging="487"/>
        <w:spacing w:after="0" w:line="266" w:lineRule="auto"/>
        <w:tabs>
          <w:tab w:leader="none" w:pos="14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Trade Commission Act and similar laws regulating advertisement and consumer protections;</w:t>
      </w:r>
    </w:p>
    <w:p>
      <w:pPr>
        <w:spacing w:after="0" w:line="169" w:lineRule="exact"/>
        <w:rPr>
          <w:rFonts w:ascii="Arial" w:cs="Arial" w:eastAsia="Arial" w:hAnsi="Arial"/>
          <w:sz w:val="14"/>
          <w:szCs w:val="14"/>
          <w:color w:val="auto"/>
        </w:rPr>
      </w:pPr>
    </w:p>
    <w:p>
      <w:pPr>
        <w:ind w:left="1480" w:right="320" w:hanging="487"/>
        <w:spacing w:after="0" w:line="266" w:lineRule="auto"/>
        <w:tabs>
          <w:tab w:leader="none" w:pos="14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38" w:lineRule="exact"/>
        <w:rPr>
          <w:rFonts w:ascii="Arial" w:cs="Arial" w:eastAsia="Arial" w:hAnsi="Arial"/>
          <w:sz w:val="14"/>
          <w:szCs w:val="14"/>
          <w:color w:val="auto"/>
        </w:rPr>
      </w:pPr>
    </w:p>
    <w:p>
      <w:pPr>
        <w:ind w:left="1480" w:right="260" w:hanging="487"/>
        <w:spacing w:after="0" w:line="266" w:lineRule="auto"/>
        <w:tabs>
          <w:tab w:leader="none" w:pos="14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foreign and U.S. state law equivalents of each of the above federal laws, such as anti-kickback and false claims laws which may apply to items or services reimbursed by any third-party payor, including commercial insurers.</w:t>
      </w:r>
    </w:p>
    <w:p>
      <w:pPr>
        <w:spacing w:after="0" w:line="138"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40"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48" w:lineRule="exact"/>
        <w:rPr>
          <w:sz w:val="20"/>
          <w:szCs w:val="20"/>
          <w:color w:val="auto"/>
        </w:rPr>
      </w:pPr>
    </w:p>
    <w:p>
      <w:pPr>
        <w:ind w:right="240" w:firstLine="619"/>
        <w:spacing w:after="0" w:line="358" w:lineRule="auto"/>
        <w:rPr>
          <w:sz w:val="20"/>
          <w:szCs w:val="20"/>
          <w:color w:val="auto"/>
        </w:rPr>
      </w:pPr>
      <w:r>
        <w:rPr>
          <w:rFonts w:ascii="Arial" w:cs="Arial" w:eastAsia="Arial" w:hAnsi="Arial"/>
          <w:sz w:val="11"/>
          <w:szCs w:val="11"/>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auto"/>
        </w:rPr>
        <w:t>We may be liable if we engage in the promotion of the off-label use of our products.</w:t>
      </w:r>
    </w:p>
    <w:p>
      <w:pPr>
        <w:spacing w:after="0" w:line="169" w:lineRule="exact"/>
        <w:rPr>
          <w:sz w:val="20"/>
          <w:szCs w:val="20"/>
          <w:color w:val="auto"/>
        </w:rPr>
      </w:pPr>
    </w:p>
    <w:p>
      <w:pPr>
        <w:ind w:right="40" w:firstLine="619"/>
        <w:spacing w:after="0" w:line="270" w:lineRule="auto"/>
        <w:rPr>
          <w:sz w:val="20"/>
          <w:szCs w:val="20"/>
          <w:color w:val="auto"/>
        </w:rPr>
      </w:pPr>
      <w:r>
        <w:rPr>
          <w:rFonts w:ascii="Arial" w:cs="Arial" w:eastAsia="Arial" w:hAnsi="Arial"/>
          <w:sz w:val="13"/>
          <w:szCs w:val="13"/>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19" w:lineRule="exact"/>
        <w:rPr>
          <w:sz w:val="20"/>
          <w:szCs w:val="20"/>
          <w:color w:val="auto"/>
        </w:rPr>
      </w:pPr>
    </w:p>
    <w:p>
      <w:pPr>
        <w:ind w:right="360"/>
        <w:spacing w:after="0" w:line="266" w:lineRule="auto"/>
        <w:rPr>
          <w:sz w:val="20"/>
          <w:szCs w:val="20"/>
          <w:color w:val="auto"/>
        </w:rPr>
      </w:pPr>
      <w:r>
        <w:rPr>
          <w:rFonts w:ascii="Arial" w:cs="Arial" w:eastAsia="Arial" w:hAnsi="Arial"/>
          <w:sz w:val="14"/>
          <w:szCs w:val="14"/>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38" w:lineRule="exact"/>
        <w:rPr>
          <w:sz w:val="20"/>
          <w:szCs w:val="20"/>
          <w:color w:val="auto"/>
        </w:rPr>
      </w:pPr>
    </w:p>
    <w:p>
      <w:pPr>
        <w:ind w:right="60" w:firstLine="619"/>
        <w:spacing w:after="0" w:line="274" w:lineRule="auto"/>
        <w:rPr>
          <w:sz w:val="20"/>
          <w:szCs w:val="20"/>
          <w:color w:val="auto"/>
        </w:rPr>
      </w:pPr>
      <w:r>
        <w:rPr>
          <w:rFonts w:ascii="Arial" w:cs="Arial" w:eastAsia="Arial" w:hAnsi="Arial"/>
          <w:sz w:val="13"/>
          <w:szCs w:val="13"/>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37" w:lineRule="exact"/>
        <w:rPr>
          <w:sz w:val="20"/>
          <w:szCs w:val="20"/>
          <w:color w:val="auto"/>
        </w:rPr>
      </w:pPr>
    </w:p>
    <w:p>
      <w:pPr>
        <w:ind w:right="200" w:firstLine="619"/>
        <w:spacing w:after="0" w:line="278" w:lineRule="auto"/>
        <w:rPr>
          <w:sz w:val="20"/>
          <w:szCs w:val="20"/>
          <w:color w:val="auto"/>
        </w:rPr>
      </w:pPr>
      <w:r>
        <w:rPr>
          <w:rFonts w:ascii="Arial" w:cs="Arial" w:eastAsia="Arial" w:hAnsi="Arial"/>
          <w:sz w:val="13"/>
          <w:szCs w:val="13"/>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32" w:lineRule="exact"/>
        <w:rPr>
          <w:sz w:val="20"/>
          <w:szCs w:val="20"/>
          <w:color w:val="auto"/>
        </w:rPr>
      </w:pPr>
    </w:p>
    <w:p>
      <w:pPr>
        <w:ind w:right="60" w:firstLine="619"/>
        <w:spacing w:after="0" w:line="284" w:lineRule="auto"/>
        <w:rPr>
          <w:sz w:val="20"/>
          <w:szCs w:val="20"/>
          <w:color w:val="auto"/>
        </w:rPr>
      </w:pPr>
      <w:r>
        <w:rPr>
          <w:rFonts w:ascii="Arial" w:cs="Arial" w:eastAsia="Arial" w:hAnsi="Arial"/>
          <w:sz w:val="13"/>
          <w:szCs w:val="13"/>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or other extreme weather conditions and related regulations may have a long-term impact on our business.*</w:t>
      </w:r>
    </w:p>
    <w:p>
      <w:pPr>
        <w:spacing w:after="0" w:line="190" w:lineRule="exact"/>
        <w:rPr>
          <w:sz w:val="20"/>
          <w:szCs w:val="20"/>
          <w:color w:val="auto"/>
        </w:rPr>
      </w:pPr>
    </w:p>
    <w:p>
      <w:pPr>
        <w:ind w:firstLine="495"/>
        <w:spacing w:after="0" w:line="272" w:lineRule="auto"/>
        <w:rPr>
          <w:sz w:val="20"/>
          <w:szCs w:val="20"/>
          <w:color w:val="auto"/>
        </w:rPr>
      </w:pPr>
      <w:r>
        <w:rPr>
          <w:rFonts w:ascii="Arial" w:cs="Arial" w:eastAsia="Arial" w:hAnsi="Arial"/>
          <w:sz w:val="13"/>
          <w:szCs w:val="13"/>
          <w:color w:val="auto"/>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a portion of our office facilities located in San Diego are in an area that is prone to flooding, which has occasionally caused temporary disruptions to our business operations and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continue to fluctuate significantly.</w:t>
      </w:r>
    </w:p>
    <w:p>
      <w:pPr>
        <w:spacing w:after="0" w:line="169" w:lineRule="exact"/>
        <w:rPr>
          <w:sz w:val="20"/>
          <w:szCs w:val="20"/>
          <w:color w:val="auto"/>
        </w:rPr>
      </w:pPr>
    </w:p>
    <w:p>
      <w:pPr>
        <w:ind w:right="240" w:firstLine="619"/>
        <w:spacing w:after="0" w:line="266" w:lineRule="auto"/>
        <w:rPr>
          <w:sz w:val="20"/>
          <w:szCs w:val="20"/>
          <w:color w:val="auto"/>
        </w:rPr>
      </w:pPr>
      <w:r>
        <w:rPr>
          <w:rFonts w:ascii="Arial" w:cs="Arial" w:eastAsia="Arial" w:hAnsi="Arial"/>
          <w:sz w:val="14"/>
          <w:szCs w:val="14"/>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38" w:lineRule="exact"/>
        <w:rPr>
          <w:sz w:val="20"/>
          <w:szCs w:val="20"/>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fluctuations in our financial and operating results from period to period;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actual or perceived need for additional capital to fund our operations;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market acceptance of our current products and products under development, and the recognition of our brand;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introduction of proposed products, technologies or treatment techniques by us or our competitors;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of significant contracts, acquisitions or divestitures by us or our competitors;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regulatory approval of our products or the products of our competitors, or the failure to obtain such approvals on the projected timeline or at all;</w:t>
      </w:r>
    </w:p>
    <w:p>
      <w:pPr>
        <w:spacing w:after="0" w:line="169" w:lineRule="exact"/>
        <w:rPr>
          <w:rFonts w:ascii="Arial" w:cs="Arial" w:eastAsia="Arial" w:hAnsi="Arial"/>
          <w:sz w:val="14"/>
          <w:szCs w:val="14"/>
          <w:color w:val="auto"/>
        </w:rPr>
      </w:pPr>
    </w:p>
    <w:p>
      <w:pPr>
        <w:ind w:left="1480" w:right="80" w:hanging="487"/>
        <w:spacing w:after="0" w:line="266" w:lineRule="auto"/>
        <w:tabs>
          <w:tab w:leader="none" w:pos="147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announcement of a product recall, suspension or other safety notice associated with our products or the products of our competitors, or other similar regulatory enforcement actions;</w:t>
      </w:r>
    </w:p>
    <w:p>
      <w:pPr>
        <w:spacing w:after="0" w:line="138"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inclusion or removal of our stock from one or more market indexes;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speculative trading practices of market participants;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issuance of securities analysts’ reports or recommendations;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threatened or actual litigation and government investigations;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sales of shares of our common stock by our employees, directors or principal stockholders;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general political or economic conditions, including the impacts and disruptions caused by the COVID-19 global pandemic.</w:t>
      </w:r>
    </w:p>
    <w:p>
      <w:pPr>
        <w:spacing w:after="0" w:line="169" w:lineRule="exact"/>
        <w:rPr>
          <w:sz w:val="20"/>
          <w:szCs w:val="20"/>
          <w:color w:val="auto"/>
        </w:rPr>
      </w:pPr>
    </w:p>
    <w:p>
      <w:pPr>
        <w:ind w:right="200" w:firstLine="619"/>
        <w:spacing w:after="0" w:line="266" w:lineRule="auto"/>
        <w:rPr>
          <w:sz w:val="20"/>
          <w:szCs w:val="20"/>
          <w:color w:val="auto"/>
        </w:rPr>
      </w:pPr>
      <w:r>
        <w:rPr>
          <w:rFonts w:ascii="Arial" w:cs="Arial" w:eastAsia="Arial" w:hAnsi="Arial"/>
          <w:sz w:val="14"/>
          <w:szCs w:val="14"/>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38" w:lineRule="exact"/>
        <w:rPr>
          <w:sz w:val="20"/>
          <w:szCs w:val="20"/>
          <w:color w:val="auto"/>
        </w:rPr>
      </w:pPr>
    </w:p>
    <w:p>
      <w:pPr>
        <w:ind w:right="220" w:firstLine="619"/>
        <w:spacing w:after="0" w:line="284" w:lineRule="auto"/>
        <w:rPr>
          <w:sz w:val="20"/>
          <w:szCs w:val="20"/>
          <w:color w:val="auto"/>
        </w:rPr>
      </w:pPr>
      <w:r>
        <w:rPr>
          <w:rFonts w:ascii="Arial" w:cs="Arial" w:eastAsia="Arial" w:hAnsi="Arial"/>
          <w:sz w:val="13"/>
          <w:szCs w:val="13"/>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98"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38" w:lineRule="exact"/>
        <w:rPr>
          <w:sz w:val="20"/>
          <w:szCs w:val="20"/>
          <w:color w:val="auto"/>
        </w:rPr>
      </w:pPr>
    </w:p>
    <w:p>
      <w:pPr>
        <w:ind w:firstLine="619"/>
        <w:spacing w:after="0" w:line="266" w:lineRule="auto"/>
        <w:rPr>
          <w:sz w:val="20"/>
          <w:szCs w:val="20"/>
          <w:color w:val="auto"/>
        </w:rPr>
      </w:pPr>
      <w:r>
        <w:rPr>
          <w:rFonts w:ascii="Arial" w:cs="Arial" w:eastAsia="Arial" w:hAnsi="Arial"/>
          <w:sz w:val="14"/>
          <w:szCs w:val="14"/>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38" w:lineRule="exact"/>
        <w:rPr>
          <w:sz w:val="20"/>
          <w:szCs w:val="20"/>
          <w:color w:val="auto"/>
        </w:rPr>
      </w:pPr>
    </w:p>
    <w:p>
      <w:pPr>
        <w:ind w:left="1480" w:right="60" w:hanging="487"/>
        <w:spacing w:after="0" w:line="266" w:lineRule="auto"/>
        <w:tabs>
          <w:tab w:leader="none" w:pos="147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authorize the issuance of preferred stock with powers, preferences and rights that may be senior to our common stock, which can be created and issued by the board of directors without prior stockholder approval;</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847" w:right="379" w:bottom="1440" w:gutter="0" w:footer="0" w:header="0"/>
        </w:sectPr>
      </w:pPr>
    </w:p>
    <w:bookmarkStart w:id="76" w:name="page77"/>
    <w:bookmarkEnd w:id="76"/>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 for the adoption of a staggered board of directors whereby the board is divided into three classes each of which has a different three-year term;</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 that the number of directors shall be fixed by the board;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our stockholders from filling board vacancies;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 for the removal of a director only with cause and then by the affirmative vote of the holders of a majority of the outstanding shares;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stockholders from calling special stockholder meetings;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stockholders from acting by written consent without holding a meeting of stockholders;</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require the vote of at least two-thirds of the outstanding shares to approve amendments to the certificate of incorporation or bylaws;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require advance written notice of stockholder proposals and director nominations.</w:t>
      </w:r>
    </w:p>
    <w:p>
      <w:pPr>
        <w:spacing w:after="0" w:line="169" w:lineRule="exact"/>
        <w:rPr>
          <w:sz w:val="20"/>
          <w:szCs w:val="20"/>
          <w:color w:val="auto"/>
        </w:rPr>
      </w:pPr>
    </w:p>
    <w:p>
      <w:pPr>
        <w:ind w:right="80" w:firstLine="619"/>
        <w:spacing w:after="0" w:line="278" w:lineRule="auto"/>
        <w:rPr>
          <w:sz w:val="20"/>
          <w:szCs w:val="20"/>
          <w:color w:val="auto"/>
        </w:rPr>
      </w:pPr>
      <w:r>
        <w:rPr>
          <w:rFonts w:ascii="Arial" w:cs="Arial" w:eastAsia="Arial" w:hAnsi="Arial"/>
          <w:sz w:val="13"/>
          <w:szCs w:val="13"/>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is authorized to issue and designate shares of our preferred stock in additional series without stockholder approval.</w:t>
      </w:r>
    </w:p>
    <w:p>
      <w:pPr>
        <w:spacing w:after="0" w:line="169"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69" w:lineRule="exact"/>
        <w:rPr>
          <w:sz w:val="20"/>
          <w:szCs w:val="20"/>
          <w:color w:val="auto"/>
        </w:rPr>
      </w:pPr>
    </w:p>
    <w:p>
      <w:pPr>
        <w:ind w:right="60" w:firstLine="619"/>
        <w:spacing w:after="0" w:line="248" w:lineRule="auto"/>
        <w:rPr>
          <w:sz w:val="20"/>
          <w:szCs w:val="20"/>
          <w:color w:val="auto"/>
        </w:rPr>
      </w:pPr>
      <w:r>
        <w:rPr>
          <w:rFonts w:ascii="Arial" w:cs="Arial" w:eastAsia="Arial" w:hAnsi="Arial"/>
          <w:sz w:val="14"/>
          <w:szCs w:val="14"/>
          <w:color w:val="auto"/>
        </w:rPr>
        <w:t>As of December 31, 2021, we had accumulated federal and state net operating loss (NOL) carryforwards of approximately $301.2 million, and $291.0 million, respectively, which included the reduction recorded in 2019 discussed below. Of the total federal NOL carryforwards, approximately $112.1 million were generated after January 1, 2018, and therefore do not expire. NOL generated after January 1, 2018, is subject to 80% limitation in accordance with the Tax Cuts and Jobs Act of 2017. The remaining federal NOL carryforwards of $189.1 million will begin to expire in 2026, and state tax loss carryforwards continue to expire in 2022,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82" w:right="339" w:bottom="1440" w:gutter="0" w:footer="0" w:header="0"/>
        </w:sectPr>
      </w:pPr>
    </w:p>
    <w:bookmarkStart w:id="77" w:name="page78"/>
    <w:bookmarkEnd w:id="77"/>
    <w:p>
      <w:pPr>
        <w:ind w:firstLine="619"/>
        <w:spacing w:after="0" w:line="343" w:lineRule="auto"/>
        <w:rPr>
          <w:sz w:val="20"/>
          <w:szCs w:val="20"/>
          <w:color w:val="auto"/>
        </w:rPr>
      </w:pPr>
      <w:r>
        <w:rPr>
          <w:rFonts w:ascii="Arial" w:cs="Arial" w:eastAsia="Arial" w:hAnsi="Arial"/>
          <w:sz w:val="11"/>
          <w:szCs w:val="11"/>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cash dividends.</w:t>
      </w:r>
    </w:p>
    <w:p>
      <w:pPr>
        <w:spacing w:after="0" w:line="169" w:lineRule="exact"/>
        <w:rPr>
          <w:sz w:val="20"/>
          <w:szCs w:val="20"/>
          <w:color w:val="auto"/>
        </w:rPr>
      </w:pPr>
    </w:p>
    <w:p>
      <w:pPr>
        <w:ind w:right="200" w:firstLine="619"/>
        <w:spacing w:after="0" w:line="256"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24"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8" w:lineRule="exact"/>
        <w:rPr>
          <w:sz w:val="20"/>
          <w:szCs w:val="20"/>
          <w:color w:val="auto"/>
        </w:rPr>
      </w:pPr>
    </w:p>
    <w:p>
      <w:pPr>
        <w:ind w:firstLine="619"/>
        <w:spacing w:after="0" w:line="327" w:lineRule="auto"/>
        <w:rPr>
          <w:sz w:val="20"/>
          <w:szCs w:val="20"/>
          <w:color w:val="auto"/>
        </w:rPr>
      </w:pPr>
      <w:r>
        <w:rPr>
          <w:rFonts w:ascii="Arial" w:cs="Arial" w:eastAsia="Arial" w:hAnsi="Arial"/>
          <w:sz w:val="11"/>
          <w:szCs w:val="11"/>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We are required to disclose changes made to our internal control procedures on a quarterly basis and our management is required to assess the effectiveness of these controls annually.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Undetected material weaknesses in our internal controls could lead to financial statement restatements and require us to incur the expense of remediation.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at increased risk of securities class action litigation.</w:t>
      </w:r>
    </w:p>
    <w:p>
      <w:pPr>
        <w:spacing w:after="0" w:line="169" w:lineRule="exact"/>
        <w:rPr>
          <w:sz w:val="20"/>
          <w:szCs w:val="20"/>
          <w:color w:val="auto"/>
        </w:rPr>
      </w:pPr>
    </w:p>
    <w:p>
      <w:pPr>
        <w:ind w:right="60" w:firstLine="619"/>
        <w:spacing w:after="0" w:line="252" w:lineRule="auto"/>
        <w:rPr>
          <w:sz w:val="20"/>
          <w:szCs w:val="20"/>
          <w:color w:val="auto"/>
        </w:rPr>
      </w:pPr>
      <w:r>
        <w:rPr>
          <w:rFonts w:ascii="Arial" w:cs="Arial" w:eastAsia="Arial" w:hAnsi="Arial"/>
          <w:sz w:val="14"/>
          <w:szCs w:val="14"/>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 could decline.</w:t>
      </w:r>
    </w:p>
    <w:p>
      <w:pPr>
        <w:spacing w:after="0" w:line="181"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i w:val="1"/>
          <w:iCs w:val="1"/>
          <w:color w:val="auto"/>
        </w:rPr>
        <w:t>Risks Related to Our Convertible Senior Notes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indebtedness in the form of convertible senior notes, which could adversely affect our financial condition and our ability to respond to changes in our business.</w:t>
      </w:r>
    </w:p>
    <w:p>
      <w:pPr>
        <w:spacing w:after="0" w:line="159" w:lineRule="exact"/>
        <w:rPr>
          <w:sz w:val="20"/>
          <w:szCs w:val="20"/>
          <w:color w:val="auto"/>
        </w:rPr>
      </w:pPr>
    </w:p>
    <w:p>
      <w:pPr>
        <w:ind w:firstLine="619"/>
        <w:spacing w:after="0" w:line="239" w:lineRule="auto"/>
        <w:rPr>
          <w:sz w:val="20"/>
          <w:szCs w:val="20"/>
          <w:color w:val="auto"/>
        </w:rPr>
      </w:pPr>
      <w:r>
        <w:rPr>
          <w:rFonts w:ascii="Arial" w:cs="Arial" w:eastAsia="Arial" w:hAnsi="Arial"/>
          <w:sz w:val="13"/>
          <w:szCs w:val="13"/>
          <w:color w:val="auto"/>
        </w:rPr>
        <w:t>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In addition, upon conversion of the Notes, unless we elect to deliver solely shares of our common stock to settle such conversion, we will be required to make cash payments in respect of the Notes being converted. Furthermore, the indenture governing the Notes provides that, in the event 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a result of our increased level of indebtedness due to the Notes Offering:</w:t>
      </w:r>
    </w:p>
    <w:p>
      <w:pPr>
        <w:spacing w:after="0" w:line="169" w:lineRule="exact"/>
        <w:rPr>
          <w:sz w:val="20"/>
          <w:szCs w:val="20"/>
          <w:color w:val="auto"/>
        </w:rPr>
      </w:pPr>
    </w:p>
    <w:p>
      <w:pPr>
        <w:ind w:left="1480" w:hanging="487"/>
        <w:spacing w:after="0"/>
        <w:tabs>
          <w:tab w:leader="none" w:pos="1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level of vulnerability to adverse economic conditions and competitive pressures may be heightened;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 are required to dedicate a portion of our liquidity position or cash flow from operations to interest payments, limiting the availability of cash for other purposes;</w:t>
      </w:r>
    </w:p>
    <w:p>
      <w:pPr>
        <w:spacing w:after="0" w:line="180" w:lineRule="exact"/>
        <w:rPr>
          <w:rFonts w:ascii="Arial" w:cs="Arial" w:eastAsia="Arial" w:hAnsi="Arial"/>
          <w:sz w:val="13"/>
          <w:szCs w:val="13"/>
          <w:color w:val="auto"/>
        </w:rPr>
      </w:pPr>
    </w:p>
    <w:p>
      <w:pPr>
        <w:ind w:left="1480" w:hanging="487"/>
        <w:spacing w:after="0"/>
        <w:tabs>
          <w:tab w:leader="none" w:pos="1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flexibility in planning for, or reacting to, changes in our business and industry may be more limited; and</w:t>
      </w:r>
    </w:p>
    <w:p>
      <w:pPr>
        <w:spacing w:after="0" w:line="169" w:lineRule="exact"/>
        <w:rPr>
          <w:rFonts w:ascii="Arial" w:cs="Arial" w:eastAsia="Arial" w:hAnsi="Arial"/>
          <w:sz w:val="14"/>
          <w:szCs w:val="14"/>
          <w:color w:val="auto"/>
        </w:rPr>
      </w:pPr>
    </w:p>
    <w:p>
      <w:pPr>
        <w:ind w:left="1480" w:hanging="487"/>
        <w:spacing w:after="0"/>
        <w:tabs>
          <w:tab w:leader="none" w:pos="1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obtain additional financing in the future for working capital, capital expenditures, acquisitions, investments or general corporate purposes may be impaired.</w:t>
      </w:r>
    </w:p>
    <w:p>
      <w:pPr>
        <w:spacing w:after="0" w:line="366" w:lineRule="exact"/>
        <w:rPr>
          <w:sz w:val="20"/>
          <w:szCs w:val="20"/>
          <w:color w:val="auto"/>
        </w:rPr>
      </w:pPr>
    </w:p>
    <w:p>
      <w:pPr>
        <w:ind w:firstLine="619"/>
        <w:spacing w:after="0" w:line="305" w:lineRule="auto"/>
        <w:rPr>
          <w:sz w:val="20"/>
          <w:szCs w:val="20"/>
          <w:color w:val="auto"/>
        </w:rPr>
      </w:pPr>
      <w:r>
        <w:rPr>
          <w:rFonts w:ascii="Arial" w:cs="Arial" w:eastAsia="Arial" w:hAnsi="Arial"/>
          <w:sz w:val="13"/>
          <w:szCs w:val="13"/>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Servicing the Notes will require a significant amount of cash, and we may not have sufficient cash flow from our business to repay the Notes.</w:t>
      </w:r>
    </w:p>
    <w:p>
      <w:pPr>
        <w:spacing w:after="0" w:line="169" w:lineRule="exact"/>
        <w:rPr>
          <w:sz w:val="20"/>
          <w:szCs w:val="20"/>
          <w:color w:val="auto"/>
        </w:rPr>
      </w:pPr>
    </w:p>
    <w:p>
      <w:pPr>
        <w:ind w:right="60" w:firstLine="619"/>
        <w:spacing w:after="0" w:line="270" w:lineRule="auto"/>
        <w:rPr>
          <w:sz w:val="20"/>
          <w:szCs w:val="20"/>
          <w:color w:val="auto"/>
        </w:rPr>
      </w:pPr>
      <w:r>
        <w:rPr>
          <w:rFonts w:ascii="Arial" w:cs="Arial" w:eastAsia="Arial" w:hAnsi="Arial"/>
          <w:sz w:val="13"/>
          <w:szCs w:val="13"/>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substantial additional debt or take other actions which could diminish our ability to make payments on the Notes.</w:t>
      </w:r>
    </w:p>
    <w:p>
      <w:pPr>
        <w:spacing w:after="0" w:line="169" w:lineRule="exact"/>
        <w:rPr>
          <w:sz w:val="20"/>
          <w:szCs w:val="20"/>
          <w:color w:val="auto"/>
        </w:rPr>
      </w:pPr>
    </w:p>
    <w:p>
      <w:pPr>
        <w:ind w:right="80" w:firstLine="619"/>
        <w:spacing w:after="0" w:line="252" w:lineRule="auto"/>
        <w:rPr>
          <w:sz w:val="20"/>
          <w:szCs w:val="20"/>
          <w:color w:val="auto"/>
        </w:rPr>
      </w:pPr>
      <w:r>
        <w:rPr>
          <w:rFonts w:ascii="Arial" w:cs="Arial" w:eastAsia="Arial" w:hAnsi="Arial"/>
          <w:sz w:val="14"/>
          <w:szCs w:val="14"/>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79" w:name="page80"/>
    <w:bookmarkEnd w:id="79"/>
    <w:p>
      <w:pPr>
        <w:ind w:left="40" w:right="500"/>
        <w:spacing w:after="0" w:line="266" w:lineRule="auto"/>
        <w:rPr>
          <w:sz w:val="20"/>
          <w:szCs w:val="20"/>
          <w:color w:val="auto"/>
        </w:rPr>
      </w:pPr>
      <w:r>
        <w:rPr>
          <w:rFonts w:ascii="Arial" w:cs="Arial" w:eastAsia="Arial" w:hAnsi="Arial"/>
          <w:sz w:val="14"/>
          <w:szCs w:val="14"/>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38" w:lineRule="exact"/>
        <w:rPr>
          <w:sz w:val="20"/>
          <w:szCs w:val="20"/>
          <w:color w:val="auto"/>
        </w:rPr>
      </w:pPr>
    </w:p>
    <w:p>
      <w:pPr>
        <w:ind w:firstLine="619"/>
        <w:spacing w:after="0" w:line="270" w:lineRule="auto"/>
        <w:rPr>
          <w:sz w:val="20"/>
          <w:szCs w:val="20"/>
          <w:color w:val="auto"/>
        </w:rPr>
      </w:pPr>
      <w:r>
        <w:rPr>
          <w:rFonts w:ascii="Arial" w:cs="Arial" w:eastAsia="Arial" w:hAnsi="Arial"/>
          <w:sz w:val="13"/>
          <w:szCs w:val="13"/>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conditional conversion feature of the Notes may adversely affect our liquidity.</w:t>
      </w:r>
    </w:p>
    <w:p>
      <w:pPr>
        <w:spacing w:after="0" w:line="169" w:lineRule="exact"/>
        <w:rPr>
          <w:sz w:val="20"/>
          <w:szCs w:val="20"/>
          <w:color w:val="auto"/>
        </w:rPr>
      </w:pPr>
    </w:p>
    <w:p>
      <w:pPr>
        <w:ind w:right="100" w:firstLine="619"/>
        <w:spacing w:after="0" w:line="278" w:lineRule="auto"/>
        <w:rPr>
          <w:sz w:val="20"/>
          <w:szCs w:val="20"/>
          <w:color w:val="auto"/>
        </w:rPr>
      </w:pPr>
      <w:r>
        <w:rPr>
          <w:rFonts w:ascii="Arial" w:cs="Arial" w:eastAsia="Arial" w:hAnsi="Arial"/>
          <w:sz w:val="13"/>
          <w:szCs w:val="13"/>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32" w:lineRule="exact"/>
        <w:rPr>
          <w:sz w:val="20"/>
          <w:szCs w:val="20"/>
          <w:color w:val="auto"/>
        </w:rPr>
      </w:pPr>
    </w:p>
    <w:p>
      <w:pPr>
        <w:ind w:left="40" w:right="140"/>
        <w:spacing w:after="0" w:line="266" w:lineRule="auto"/>
        <w:rPr>
          <w:sz w:val="20"/>
          <w:szCs w:val="20"/>
          <w:color w:val="auto"/>
        </w:rPr>
      </w:pPr>
      <w:r>
        <w:rPr>
          <w:rFonts w:ascii="Arial" w:cs="Arial" w:eastAsia="Arial" w:hAnsi="Arial"/>
          <w:sz w:val="14"/>
          <w:szCs w:val="14"/>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38" w:lineRule="exact"/>
        <w:rPr>
          <w:sz w:val="20"/>
          <w:szCs w:val="20"/>
          <w:color w:val="auto"/>
        </w:rPr>
      </w:pPr>
    </w:p>
    <w:p>
      <w:pPr>
        <w:ind w:right="140" w:firstLine="619"/>
        <w:spacing w:after="0" w:line="358" w:lineRule="auto"/>
        <w:rPr>
          <w:sz w:val="20"/>
          <w:szCs w:val="20"/>
          <w:color w:val="auto"/>
        </w:rPr>
      </w:pPr>
      <w:r>
        <w:rPr>
          <w:rFonts w:ascii="Arial" w:cs="Arial" w:eastAsia="Arial" w:hAnsi="Arial"/>
          <w:sz w:val="11"/>
          <w:szCs w:val="11"/>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fundamental change repurchase feature of the Notes may delay or prevent an otherwise beneficial takeover attempt.</w:t>
      </w:r>
    </w:p>
    <w:p>
      <w:pPr>
        <w:spacing w:after="0" w:line="169"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231F20"/>
        </w:rPr>
        <w:t>The Capped Call Transactions may affect the value of the Notes and our common stock.</w:t>
      </w:r>
    </w:p>
    <w:p>
      <w:pPr>
        <w:spacing w:after="0" w:line="169" w:lineRule="exact"/>
        <w:rPr>
          <w:sz w:val="20"/>
          <w:szCs w:val="20"/>
          <w:color w:val="auto"/>
        </w:rPr>
      </w:pPr>
    </w:p>
    <w:p>
      <w:pPr>
        <w:ind w:right="160" w:firstLine="619"/>
        <w:spacing w:after="0" w:line="256" w:lineRule="auto"/>
        <w:rPr>
          <w:sz w:val="20"/>
          <w:szCs w:val="20"/>
          <w:color w:val="auto"/>
        </w:rPr>
      </w:pPr>
      <w:r>
        <w:rPr>
          <w:rFonts w:ascii="Arial" w:cs="Arial" w:eastAsia="Arial" w:hAnsi="Arial"/>
          <w:sz w:val="14"/>
          <w:szCs w:val="14"/>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80"/>
          </w:cols>
          <w:pgMar w:left="300" w:top="717" w:right="419" w:bottom="1440" w:gutter="0" w:footer="0" w:header="0"/>
        </w:sectPr>
      </w:pPr>
    </w:p>
    <w:bookmarkStart w:id="80" w:name="page81"/>
    <w:bookmarkEnd w:id="80"/>
    <w:p>
      <w:pPr>
        <w:ind w:right="80" w:firstLine="619"/>
        <w:spacing w:after="0" w:line="272" w:lineRule="auto"/>
        <w:rPr>
          <w:sz w:val="20"/>
          <w:szCs w:val="20"/>
          <w:color w:val="auto"/>
        </w:rPr>
      </w:pPr>
      <w:r>
        <w:rPr>
          <w:rFonts w:ascii="Arial" w:cs="Arial" w:eastAsia="Arial" w:hAnsi="Arial"/>
          <w:sz w:val="13"/>
          <w:szCs w:val="13"/>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39" w:lineRule="exact"/>
        <w:rPr>
          <w:sz w:val="20"/>
          <w:szCs w:val="20"/>
          <w:color w:val="auto"/>
        </w:rPr>
      </w:pPr>
    </w:p>
    <w:p>
      <w:pPr>
        <w:ind w:right="80" w:firstLine="619"/>
        <w:spacing w:after="0" w:line="256" w:lineRule="auto"/>
        <w:rPr>
          <w:sz w:val="20"/>
          <w:szCs w:val="20"/>
          <w:color w:val="auto"/>
        </w:rPr>
      </w:pPr>
      <w:r>
        <w:rPr>
          <w:rFonts w:ascii="Arial" w:cs="Arial" w:eastAsia="Arial" w:hAnsi="Arial"/>
          <w:sz w:val="14"/>
          <w:szCs w:val="14"/>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45" w:lineRule="exact"/>
        <w:rPr>
          <w:sz w:val="20"/>
          <w:szCs w:val="20"/>
          <w:color w:val="auto"/>
        </w:rPr>
      </w:pPr>
    </w:p>
    <w:p>
      <w:pPr>
        <w:ind w:right="80" w:firstLine="619"/>
        <w:spacing w:after="0" w:line="256" w:lineRule="auto"/>
        <w:rPr>
          <w:sz w:val="20"/>
          <w:szCs w:val="20"/>
          <w:color w:val="auto"/>
        </w:rPr>
      </w:pPr>
      <w:r>
        <w:rPr>
          <w:rFonts w:ascii="Arial" w:cs="Arial" w:eastAsia="Arial" w:hAnsi="Arial"/>
          <w:sz w:val="14"/>
          <w:szCs w:val="14"/>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counterparty risk with respect to the Capped Call Transactions.</w:t>
      </w:r>
    </w:p>
    <w:p>
      <w:pPr>
        <w:spacing w:after="0" w:line="169" w:lineRule="exact"/>
        <w:rPr>
          <w:sz w:val="20"/>
          <w:szCs w:val="20"/>
          <w:color w:val="auto"/>
        </w:rPr>
      </w:pPr>
    </w:p>
    <w:p>
      <w:pPr>
        <w:ind w:firstLine="619"/>
        <w:spacing w:after="0" w:line="274" w:lineRule="auto"/>
        <w:rPr>
          <w:sz w:val="20"/>
          <w:szCs w:val="20"/>
          <w:color w:val="auto"/>
        </w:rPr>
      </w:pPr>
      <w:r>
        <w:rPr>
          <w:rFonts w:ascii="Arial" w:cs="Arial" w:eastAsia="Arial" w:hAnsi="Arial"/>
          <w:sz w:val="13"/>
          <w:szCs w:val="13"/>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717" w:right="37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120"/>
        <w:spacing w:after="0"/>
        <w:rPr>
          <w:sz w:val="20"/>
          <w:szCs w:val="20"/>
          <w:color w:val="auto"/>
        </w:rPr>
      </w:pPr>
      <w:r>
        <w:rPr>
          <w:rFonts w:ascii="Arial" w:cs="Arial" w:eastAsia="Arial" w:hAnsi="Arial"/>
          <w:sz w:val="11"/>
          <w:szCs w:val="11"/>
          <w:b w:val="1"/>
          <w:bCs w:val="1"/>
          <w:color w:val="auto"/>
        </w:rPr>
        <w:t>Exhibit Number</w:t>
      </w:r>
    </w:p>
    <w:p>
      <w:pPr>
        <w:spacing w:after="0" w:line="63" w:lineRule="exact"/>
        <w:rPr>
          <w:sz w:val="20"/>
          <w:szCs w:val="20"/>
          <w:color w:val="auto"/>
        </w:rPr>
      </w:pPr>
    </w:p>
    <w:p>
      <w:pPr>
        <w:jc w:val="center"/>
        <w:ind w:left="120"/>
        <w:spacing w:after="0"/>
        <w:rPr>
          <w:sz w:val="20"/>
          <w:szCs w:val="20"/>
          <w:color w:val="auto"/>
        </w:rPr>
      </w:pPr>
      <w:r>
        <w:rPr>
          <w:rFonts w:ascii="Arial" w:cs="Arial" w:eastAsia="Arial" w:hAnsi="Arial"/>
          <w:sz w:val="14"/>
          <w:szCs w:val="14"/>
          <w:color w:val="auto"/>
        </w:rPr>
        <w:t>10.1</w:t>
      </w:r>
    </w:p>
    <w:p>
      <w:pPr>
        <w:spacing w:after="0" w:line="76" w:lineRule="exact"/>
        <w:rPr>
          <w:sz w:val="20"/>
          <w:szCs w:val="20"/>
          <w:color w:val="auto"/>
        </w:rPr>
      </w:pPr>
    </w:p>
    <w:p>
      <w:pPr>
        <w:jc w:val="center"/>
        <w:ind w:left="120"/>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center"/>
              <w:ind w:right="591"/>
              <w:spacing w:after="0"/>
              <w:rPr>
                <w:sz w:val="20"/>
                <w:szCs w:val="20"/>
                <w:color w:val="auto"/>
              </w:rPr>
            </w:pPr>
            <w:r>
              <w:rPr>
                <w:rFonts w:ascii="Arial" w:cs="Arial" w:eastAsia="Arial" w:hAnsi="Arial"/>
                <w:sz w:val="14"/>
                <w:szCs w:val="14"/>
                <w:b w:val="1"/>
                <w:bCs w:val="1"/>
                <w:color w:val="auto"/>
                <w:w w:val="89"/>
              </w:rPr>
              <w:t>Incorporated by Reference</w:t>
            </w:r>
          </w:p>
        </w:tc>
        <w:tc>
          <w:tcPr>
            <w:tcW w:w="10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Provided Herewith</w:t>
            </w:r>
          </w:p>
        </w:tc>
        <w:tc>
          <w:tcPr>
            <w:tcW w:w="0" w:type="dxa"/>
            <w:vAlign w:val="bottom"/>
          </w:tcPr>
          <w:p>
            <w:pPr>
              <w:spacing w:after="0"/>
              <w:rPr>
                <w:sz w:val="1"/>
                <w:szCs w:val="1"/>
                <w:color w:val="auto"/>
              </w:rPr>
            </w:pPr>
          </w:p>
        </w:tc>
      </w:tr>
      <w:tr>
        <w:trPr>
          <w:trHeight w:val="125"/>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1"/>
              </w:rPr>
              <w:t>Form</w:t>
            </w:r>
          </w:p>
        </w:tc>
        <w:tc>
          <w:tcPr>
            <w:tcW w:w="12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0"/>
              </w:rPr>
              <w:t>File No.</w:t>
            </w:r>
          </w:p>
        </w:tc>
        <w:tc>
          <w:tcPr>
            <w:tcW w:w="1060" w:type="dxa"/>
            <w:vAlign w:val="bottom"/>
          </w:tcPr>
          <w:p>
            <w:pPr>
              <w:jc w:val="center"/>
              <w:ind w:left="11"/>
              <w:spacing w:after="0" w:line="125" w:lineRule="exact"/>
              <w:rPr>
                <w:sz w:val="20"/>
                <w:szCs w:val="20"/>
                <w:color w:val="auto"/>
              </w:rPr>
            </w:pPr>
            <w:r>
              <w:rPr>
                <w:rFonts w:ascii="Arial" w:cs="Arial" w:eastAsia="Arial" w:hAnsi="Arial"/>
                <w:sz w:val="14"/>
                <w:szCs w:val="14"/>
                <w:b w:val="1"/>
                <w:bCs w:val="1"/>
                <w:color w:val="auto"/>
                <w:w w:val="90"/>
              </w:rPr>
              <w:t>Date of First</w:t>
            </w:r>
          </w:p>
        </w:tc>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0" w:type="dxa"/>
            <w:vAlign w:val="bottom"/>
          </w:tcPr>
          <w:p>
            <w:pPr>
              <w:spacing w:after="0"/>
              <w:rPr>
                <w:sz w:val="1"/>
                <w:szCs w:val="1"/>
                <w:color w:val="auto"/>
              </w:rPr>
            </w:pPr>
          </w:p>
        </w:tc>
      </w:tr>
      <w:tr>
        <w:trPr>
          <w:trHeight w:val="175"/>
        </w:trPr>
        <w:tc>
          <w:tcPr>
            <w:tcW w:w="476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60" w:type="dxa"/>
            <w:vAlign w:val="bottom"/>
          </w:tcPr>
          <w:p>
            <w:pPr>
              <w:jc w:val="center"/>
              <w:ind w:left="11"/>
              <w:spacing w:after="0"/>
              <w:rPr>
                <w:sz w:val="20"/>
                <w:szCs w:val="20"/>
                <w:color w:val="auto"/>
              </w:rPr>
            </w:pPr>
            <w:r>
              <w:rPr>
                <w:rFonts w:ascii="Arial" w:cs="Arial" w:eastAsia="Arial" w:hAnsi="Arial"/>
                <w:sz w:val="14"/>
                <w:szCs w:val="14"/>
                <w:b w:val="1"/>
                <w:bCs w:val="1"/>
                <w:color w:val="auto"/>
                <w:w w:val="90"/>
              </w:rPr>
              <w:t>Filing</w:t>
            </w:r>
          </w:p>
        </w:tc>
        <w:tc>
          <w:tcPr>
            <w:tcW w:w="2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760" w:type="dxa"/>
            <w:vAlign w:val="bottom"/>
            <w:gridSpan w:val="4"/>
          </w:tcPr>
          <w:p>
            <w:pPr>
              <w:spacing w:after="0" w:line="145" w:lineRule="exact"/>
              <w:rPr>
                <w:rFonts w:ascii="Arial" w:cs="Arial" w:eastAsia="Arial" w:hAnsi="Arial"/>
                <w:sz w:val="14"/>
                <w:szCs w:val="14"/>
                <w:color w:val="0000FF"/>
                <w:w w:val="91"/>
              </w:rPr>
            </w:pPr>
            <w:hyperlink w:anchor="page84">
              <w:r>
                <w:rPr>
                  <w:rFonts w:ascii="Arial" w:cs="Arial" w:eastAsia="Arial" w:hAnsi="Arial"/>
                  <w:sz w:val="14"/>
                  <w:szCs w:val="14"/>
                  <w:color w:val="0000FF"/>
                  <w:w w:val="91"/>
                </w:rPr>
                <w:t>Credit Agreement Between Tandem Diabetes Care, Inc., and Bank of America, N.A.</w:t>
              </w:r>
            </w:hyperlink>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6"/>
        </w:trPr>
        <w:tc>
          <w:tcPr>
            <w:tcW w:w="4640" w:type="dxa"/>
            <w:vAlign w:val="bottom"/>
            <w:tcBorders>
              <w:top w:val="single" w:sz="8" w:color="0000FF"/>
            </w:tcBorders>
            <w:gridSpan w:val="3"/>
          </w:tcPr>
          <w:p>
            <w:pPr>
              <w:spacing w:after="0"/>
              <w:rPr>
                <w:rFonts w:ascii="Arial" w:cs="Arial" w:eastAsia="Arial" w:hAnsi="Arial"/>
                <w:sz w:val="14"/>
                <w:szCs w:val="14"/>
                <w:color w:val="0000FF"/>
                <w:w w:val="90"/>
              </w:rPr>
            </w:pPr>
            <w:hyperlink w:anchor="page214">
              <w:r>
                <w:rPr>
                  <w:rFonts w:ascii="Arial" w:cs="Arial" w:eastAsia="Arial" w:hAnsi="Arial"/>
                  <w:sz w:val="14"/>
                  <w:szCs w:val="14"/>
                  <w:color w:val="0000FF"/>
                  <w:w w:val="90"/>
                </w:rPr>
                <w:t>Confidential Intellectual Property Agreement, dated July 10, 2012, by and between</w:t>
              </w:r>
            </w:hyperlink>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72"/>
        </w:trPr>
        <w:tc>
          <w:tcPr>
            <w:tcW w:w="4560" w:type="dxa"/>
            <w:vAlign w:val="bottom"/>
            <w:tcBorders>
              <w:top w:val="single" w:sz="8" w:color="0000FF"/>
            </w:tcBorders>
            <w:gridSpan w:val="2"/>
            <w:vMerge w:val="restart"/>
          </w:tcPr>
          <w:p>
            <w:pPr>
              <w:spacing w:after="0" w:line="114" w:lineRule="exact"/>
              <w:rPr>
                <w:rFonts w:ascii="Arial" w:cs="Arial" w:eastAsia="Arial" w:hAnsi="Arial"/>
                <w:sz w:val="13"/>
                <w:szCs w:val="13"/>
                <w:color w:val="0000FF"/>
              </w:rPr>
            </w:pPr>
            <w:hyperlink w:anchor="page214">
              <w:r>
                <w:rPr>
                  <w:rFonts w:ascii="Arial" w:cs="Arial" w:eastAsia="Arial" w:hAnsi="Arial"/>
                  <w:sz w:val="13"/>
                  <w:szCs w:val="13"/>
                  <w:color w:val="0000FF"/>
                </w:rPr>
                <w:t>Tandem Diabetes Care, Inc. and Smiths Medical ASD, Inc.</w:t>
              </w:r>
            </w:hyperlink>
          </w:p>
        </w:tc>
        <w:tc>
          <w:tcPr>
            <w:tcW w:w="200" w:type="dxa"/>
            <w:vAlign w:val="bottom"/>
            <w:gridSpan w:val="2"/>
            <w:vMerge w:val="restart"/>
          </w:tcPr>
          <w:p>
            <w:pPr>
              <w:spacing w:after="0"/>
              <w:rPr>
                <w:sz w:val="6"/>
                <w:szCs w:val="6"/>
                <w:color w:val="auto"/>
              </w:rPr>
            </w:pPr>
          </w:p>
        </w:tc>
        <w:tc>
          <w:tcPr>
            <w:tcW w:w="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4560" w:type="dxa"/>
            <w:vAlign w:val="bottom"/>
            <w:gridSpan w:val="2"/>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-300355</wp:posOffset>
            </wp:positionV>
            <wp:extent cx="7138670" cy="118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1811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1080" w:space="140"/>
            <w:col w:w="10020"/>
          </w:cols>
          <w:pgMar w:left="300" w:top="713" w:right="359" w:bottom="1440" w:gutter="0" w:footer="0" w:header="0"/>
        </w:sectPr>
      </w:pPr>
    </w:p>
    <w:tbl>
      <w:tblPr>
        <w:tblLayout w:type="fixed"/>
        <w:tblInd w:w="340" w:type="dxa"/>
        <w:tblCellMar>
          <w:top w:w="0" w:type="dxa"/>
          <w:left w:w="0" w:type="dxa"/>
          <w:bottom w:w="0" w:type="dxa"/>
          <w:right w:w="0" w:type="dxa"/>
        </w:tblCellMar>
      </w:tblPr>
      <w:tr>
        <w:trPr>
          <w:trHeight w:val="161"/>
        </w:trPr>
        <w:tc>
          <w:tcPr>
            <w:tcW w:w="880" w:type="dxa"/>
            <w:vAlign w:val="bottom"/>
            <w:vMerge w:val="restart"/>
          </w:tcPr>
          <w:p>
            <w:pPr>
              <w:jc w:val="center"/>
              <w:ind w:right="291"/>
              <w:spacing w:after="0"/>
              <w:rPr>
                <w:sz w:val="20"/>
                <w:szCs w:val="20"/>
                <w:color w:val="auto"/>
              </w:rPr>
            </w:pPr>
            <w:r>
              <w:rPr>
                <w:rFonts w:ascii="Arial" w:cs="Arial" w:eastAsia="Arial" w:hAnsi="Arial"/>
                <w:sz w:val="14"/>
                <w:szCs w:val="14"/>
                <w:color w:val="auto"/>
                <w:w w:val="87"/>
              </w:rPr>
              <w:t>31.1</w:t>
            </w:r>
          </w:p>
        </w:tc>
        <w:tc>
          <w:tcPr>
            <w:tcW w:w="4700" w:type="dxa"/>
            <w:vAlign w:val="bottom"/>
            <w:gridSpan w:val="6"/>
          </w:tcPr>
          <w:p>
            <w:pPr>
              <w:spacing w:after="0"/>
              <w:rPr>
                <w:rFonts w:ascii="Arial" w:cs="Arial" w:eastAsia="Arial" w:hAnsi="Arial"/>
                <w:sz w:val="14"/>
                <w:szCs w:val="14"/>
                <w:color w:val="0000FF"/>
                <w:w w:val="89"/>
              </w:rPr>
            </w:pPr>
            <w:hyperlink w:anchor="page236">
              <w:r>
                <w:rPr>
                  <w:rFonts w:ascii="Arial" w:cs="Arial" w:eastAsia="Arial" w:hAnsi="Arial"/>
                  <w:sz w:val="14"/>
                  <w:szCs w:val="14"/>
                  <w:color w:val="0000FF"/>
                  <w:w w:val="89"/>
                </w:rPr>
                <w:t>Certification of John F. Sheridan, Chief Executive Officer, pursuant to Section 302 of</w:t>
              </w:r>
            </w:hyperlink>
          </w:p>
        </w:tc>
        <w:tc>
          <w:tcPr>
            <w:tcW w:w="0" w:type="dxa"/>
            <w:vAlign w:val="bottom"/>
          </w:tcPr>
          <w:p>
            <w:pPr>
              <w:spacing w:after="0"/>
              <w:rPr>
                <w:sz w:val="1"/>
                <w:szCs w:val="1"/>
                <w:color w:val="auto"/>
              </w:rPr>
            </w:pPr>
          </w:p>
        </w:tc>
      </w:tr>
      <w:tr>
        <w:trPr>
          <w:trHeight w:val="72"/>
        </w:trPr>
        <w:tc>
          <w:tcPr>
            <w:tcW w:w="880" w:type="dxa"/>
            <w:vAlign w:val="bottom"/>
            <w:vMerge w:val="continue"/>
          </w:tcPr>
          <w:p>
            <w:pPr>
              <w:spacing w:after="0"/>
              <w:rPr>
                <w:sz w:val="6"/>
                <w:szCs w:val="6"/>
                <w:color w:val="auto"/>
              </w:rPr>
            </w:pPr>
          </w:p>
        </w:tc>
        <w:tc>
          <w:tcPr>
            <w:tcW w:w="1800" w:type="dxa"/>
            <w:vAlign w:val="bottom"/>
            <w:tcBorders>
              <w:top w:val="single" w:sz="8" w:color="0000FF"/>
            </w:tcBorders>
            <w:vMerge w:val="restart"/>
          </w:tcPr>
          <w:p>
            <w:pPr>
              <w:spacing w:after="0" w:line="114" w:lineRule="exact"/>
              <w:rPr>
                <w:rFonts w:ascii="Arial" w:cs="Arial" w:eastAsia="Arial" w:hAnsi="Arial"/>
                <w:sz w:val="13"/>
                <w:szCs w:val="13"/>
                <w:color w:val="0000FF"/>
                <w:w w:val="94"/>
              </w:rPr>
            </w:pPr>
            <w:hyperlink w:anchor="page236">
              <w:r>
                <w:rPr>
                  <w:rFonts w:ascii="Arial" w:cs="Arial" w:eastAsia="Arial" w:hAnsi="Arial"/>
                  <w:sz w:val="13"/>
                  <w:szCs w:val="13"/>
                  <w:color w:val="0000FF"/>
                  <w:w w:val="94"/>
                </w:rPr>
                <w:t>the Sarbanes-Oxley Act of 2002.</w:t>
              </w:r>
            </w:hyperlink>
          </w:p>
        </w:tc>
        <w:tc>
          <w:tcPr>
            <w:tcW w:w="2880" w:type="dxa"/>
            <w:vAlign w:val="bottom"/>
            <w:tcBorders>
              <w:top w:val="single" w:sz="8" w:color="0000FF"/>
            </w:tcBorders>
            <w:gridSpan w:val="4"/>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3"/>
                <w:szCs w:val="3"/>
                <w:color w:val="auto"/>
              </w:rPr>
            </w:pPr>
          </w:p>
        </w:tc>
        <w:tc>
          <w:tcPr>
            <w:tcW w:w="1800" w:type="dxa"/>
            <w:vAlign w:val="bottom"/>
            <w:tcBorders>
              <w:bottom w:val="single" w:sz="8" w:color="0000FF"/>
            </w:tcBorders>
            <w:vMerge w:val="continue"/>
          </w:tcPr>
          <w:p>
            <w:pPr>
              <w:spacing w:after="0"/>
              <w:rPr>
                <w:sz w:val="3"/>
                <w:szCs w:val="3"/>
                <w:color w:val="auto"/>
              </w:rPr>
            </w:pPr>
          </w:p>
        </w:tc>
        <w:tc>
          <w:tcPr>
            <w:tcW w:w="288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291"/>
              <w:spacing w:after="0"/>
              <w:rPr>
                <w:sz w:val="20"/>
                <w:szCs w:val="20"/>
                <w:color w:val="auto"/>
              </w:rPr>
            </w:pPr>
            <w:r>
              <w:rPr>
                <w:rFonts w:ascii="Arial" w:cs="Arial" w:eastAsia="Arial" w:hAnsi="Arial"/>
                <w:sz w:val="14"/>
                <w:szCs w:val="14"/>
                <w:color w:val="auto"/>
                <w:w w:val="87"/>
              </w:rPr>
              <w:t>31.2</w:t>
            </w:r>
          </w:p>
        </w:tc>
        <w:tc>
          <w:tcPr>
            <w:tcW w:w="4700" w:type="dxa"/>
            <w:vAlign w:val="bottom"/>
            <w:gridSpan w:val="6"/>
          </w:tcPr>
          <w:p>
            <w:pPr>
              <w:spacing w:after="0" w:line="155" w:lineRule="exact"/>
              <w:rPr>
                <w:rFonts w:ascii="Arial" w:cs="Arial" w:eastAsia="Arial" w:hAnsi="Arial"/>
                <w:sz w:val="14"/>
                <w:szCs w:val="14"/>
                <w:color w:val="0000FF"/>
                <w:w w:val="92"/>
              </w:rPr>
            </w:pPr>
            <w:hyperlink w:anchor="page237">
              <w:r>
                <w:rPr>
                  <w:rFonts w:ascii="Arial" w:cs="Arial" w:eastAsia="Arial" w:hAnsi="Arial"/>
                  <w:sz w:val="14"/>
                  <w:szCs w:val="14"/>
                  <w:color w:val="0000FF"/>
                  <w:w w:val="92"/>
                </w:rPr>
                <w:t>Certification of Leigh A. Vosseller, Chief Financial Officer, pursuant to Section 302</w:t>
              </w:r>
            </w:hyperlink>
          </w:p>
        </w:tc>
        <w:tc>
          <w:tcPr>
            <w:tcW w:w="0" w:type="dxa"/>
            <w:vAlign w:val="bottom"/>
          </w:tcPr>
          <w:p>
            <w:pPr>
              <w:spacing w:after="0"/>
              <w:rPr>
                <w:sz w:val="1"/>
                <w:szCs w:val="1"/>
                <w:color w:val="auto"/>
              </w:rPr>
            </w:pPr>
          </w:p>
        </w:tc>
      </w:tr>
      <w:tr>
        <w:trPr>
          <w:trHeight w:val="72"/>
        </w:trPr>
        <w:tc>
          <w:tcPr>
            <w:tcW w:w="880" w:type="dxa"/>
            <w:vAlign w:val="bottom"/>
            <w:vMerge w:val="continue"/>
          </w:tcPr>
          <w:p>
            <w:pPr>
              <w:spacing w:after="0"/>
              <w:rPr>
                <w:sz w:val="6"/>
                <w:szCs w:val="6"/>
                <w:color w:val="auto"/>
              </w:rPr>
            </w:pPr>
          </w:p>
        </w:tc>
        <w:tc>
          <w:tcPr>
            <w:tcW w:w="4600" w:type="dxa"/>
            <w:vAlign w:val="bottom"/>
            <w:tcBorders>
              <w:top w:val="single" w:sz="8" w:color="0000FF"/>
            </w:tcBorders>
            <w:gridSpan w:val="4"/>
            <w:vMerge w:val="restart"/>
          </w:tcPr>
          <w:p>
            <w:pPr>
              <w:spacing w:after="0" w:line="114" w:lineRule="exact"/>
              <w:rPr>
                <w:rFonts w:ascii="Arial" w:cs="Arial" w:eastAsia="Arial" w:hAnsi="Arial"/>
                <w:sz w:val="13"/>
                <w:szCs w:val="13"/>
                <w:color w:val="0000FF"/>
              </w:rPr>
            </w:pPr>
            <w:hyperlink w:anchor="page237">
              <w:r>
                <w:rPr>
                  <w:rFonts w:ascii="Arial" w:cs="Arial" w:eastAsia="Arial" w:hAnsi="Arial"/>
                  <w:sz w:val="13"/>
                  <w:szCs w:val="13"/>
                  <w:color w:val="0000FF"/>
                </w:rPr>
                <w:t>of the Sarbanes-Oxley Act of 2002.</w:t>
              </w:r>
            </w:hyperlink>
          </w:p>
        </w:tc>
        <w:tc>
          <w:tcPr>
            <w:tcW w:w="1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80" w:type="dxa"/>
            <w:vAlign w:val="bottom"/>
          </w:tcPr>
          <w:p>
            <w:pPr>
              <w:spacing w:after="0"/>
              <w:rPr>
                <w:sz w:val="3"/>
                <w:szCs w:val="3"/>
                <w:color w:val="auto"/>
              </w:rPr>
            </w:pPr>
          </w:p>
        </w:tc>
        <w:tc>
          <w:tcPr>
            <w:tcW w:w="4600" w:type="dxa"/>
            <w:vAlign w:val="bottom"/>
            <w:gridSpan w:val="4"/>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vMerge w:val="restart"/>
          </w:tcPr>
          <w:p>
            <w:pPr>
              <w:jc w:val="center"/>
              <w:ind w:right="291"/>
              <w:spacing w:after="0"/>
              <w:rPr>
                <w:sz w:val="20"/>
                <w:szCs w:val="20"/>
                <w:color w:val="auto"/>
              </w:rPr>
            </w:pPr>
            <w:r>
              <w:rPr>
                <w:rFonts w:ascii="Arial" w:cs="Arial" w:eastAsia="Arial" w:hAnsi="Arial"/>
                <w:sz w:val="14"/>
                <w:szCs w:val="14"/>
                <w:color w:val="auto"/>
                <w:w w:val="97"/>
              </w:rPr>
              <w:t>32.1*</w:t>
            </w:r>
          </w:p>
        </w:tc>
        <w:tc>
          <w:tcPr>
            <w:tcW w:w="4320" w:type="dxa"/>
            <w:vAlign w:val="bottom"/>
            <w:tcBorders>
              <w:bottom w:val="single" w:sz="8" w:color="0000FF"/>
            </w:tcBorders>
            <w:gridSpan w:val="3"/>
          </w:tcPr>
          <w:p>
            <w:pPr>
              <w:spacing w:after="0" w:line="155" w:lineRule="exact"/>
              <w:rPr>
                <w:rFonts w:ascii="Arial" w:cs="Arial" w:eastAsia="Arial" w:hAnsi="Arial"/>
                <w:sz w:val="14"/>
                <w:szCs w:val="14"/>
                <w:color w:val="0000FF"/>
                <w:w w:val="90"/>
              </w:rPr>
            </w:pPr>
            <w:hyperlink w:anchor="page238">
              <w:r>
                <w:rPr>
                  <w:rFonts w:ascii="Arial" w:cs="Arial" w:eastAsia="Arial" w:hAnsi="Arial"/>
                  <w:sz w:val="14"/>
                  <w:szCs w:val="14"/>
                  <w:color w:val="0000FF"/>
                  <w:w w:val="90"/>
                </w:rPr>
                <w:t>Certification of John F. Sheridan, Chief Executive Officer, pursuant to U.S.C.</w:t>
              </w:r>
            </w:hyperlink>
          </w:p>
        </w:tc>
        <w:tc>
          <w:tcPr>
            <w:tcW w:w="3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880" w:type="dxa"/>
            <w:vAlign w:val="bottom"/>
            <w:vMerge w:val="continue"/>
          </w:tcPr>
          <w:p>
            <w:pPr>
              <w:spacing w:after="0"/>
              <w:rPr>
                <w:sz w:val="6"/>
                <w:szCs w:val="6"/>
                <w:color w:val="auto"/>
              </w:rPr>
            </w:pPr>
          </w:p>
        </w:tc>
        <w:tc>
          <w:tcPr>
            <w:tcW w:w="4700" w:type="dxa"/>
            <w:vAlign w:val="bottom"/>
            <w:gridSpan w:val="6"/>
            <w:vMerge w:val="restart"/>
          </w:tcPr>
          <w:p>
            <w:pPr>
              <w:spacing w:after="0" w:line="114" w:lineRule="exact"/>
              <w:rPr>
                <w:rFonts w:ascii="Arial" w:cs="Arial" w:eastAsia="Arial" w:hAnsi="Arial"/>
                <w:sz w:val="13"/>
                <w:szCs w:val="13"/>
                <w:color w:val="0000FF"/>
                <w:w w:val="94"/>
              </w:rPr>
            </w:pPr>
            <w:hyperlink w:anchor="page238">
              <w:r>
                <w:rPr>
                  <w:rFonts w:ascii="Arial" w:cs="Arial" w:eastAsia="Arial" w:hAnsi="Arial"/>
                  <w:sz w:val="13"/>
                  <w:szCs w:val="13"/>
                  <w:color w:val="0000FF"/>
                  <w:w w:val="94"/>
                </w:rPr>
                <w:t>Section 1350, as adopted pursuant to Section 906 of the Sarbanes-Oxley Act of 2002.</w:t>
              </w:r>
            </w:hyperlink>
          </w:p>
        </w:tc>
        <w:tc>
          <w:tcPr>
            <w:tcW w:w="0" w:type="dxa"/>
            <w:vAlign w:val="bottom"/>
          </w:tcPr>
          <w:p>
            <w:pPr>
              <w:spacing w:after="0"/>
              <w:rPr>
                <w:sz w:val="1"/>
                <w:szCs w:val="1"/>
                <w:color w:val="auto"/>
              </w:rPr>
            </w:pPr>
          </w:p>
        </w:tc>
      </w:tr>
      <w:tr>
        <w:trPr>
          <w:trHeight w:val="48"/>
        </w:trPr>
        <w:tc>
          <w:tcPr>
            <w:tcW w:w="880" w:type="dxa"/>
            <w:vAlign w:val="bottom"/>
          </w:tcPr>
          <w:p>
            <w:pPr>
              <w:spacing w:after="0"/>
              <w:rPr>
                <w:sz w:val="3"/>
                <w:szCs w:val="3"/>
                <w:color w:val="auto"/>
              </w:rPr>
            </w:pPr>
          </w:p>
        </w:tc>
        <w:tc>
          <w:tcPr>
            <w:tcW w:w="470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291"/>
              <w:spacing w:after="0"/>
              <w:rPr>
                <w:sz w:val="20"/>
                <w:szCs w:val="20"/>
                <w:color w:val="auto"/>
              </w:rPr>
            </w:pPr>
            <w:r>
              <w:rPr>
                <w:rFonts w:ascii="Arial" w:cs="Arial" w:eastAsia="Arial" w:hAnsi="Arial"/>
                <w:sz w:val="14"/>
                <w:szCs w:val="14"/>
                <w:color w:val="auto"/>
                <w:w w:val="97"/>
              </w:rPr>
              <w:t>32.2*</w:t>
            </w:r>
          </w:p>
        </w:tc>
        <w:tc>
          <w:tcPr>
            <w:tcW w:w="4700" w:type="dxa"/>
            <w:vAlign w:val="bottom"/>
            <w:gridSpan w:val="6"/>
          </w:tcPr>
          <w:p>
            <w:pPr>
              <w:spacing w:after="0" w:line="155" w:lineRule="exact"/>
              <w:rPr>
                <w:rFonts w:ascii="Arial" w:cs="Arial" w:eastAsia="Arial" w:hAnsi="Arial"/>
                <w:sz w:val="14"/>
                <w:szCs w:val="14"/>
                <w:color w:val="0000FF"/>
                <w:w w:val="98"/>
              </w:rPr>
            </w:pPr>
            <w:hyperlink w:anchor="page239">
              <w:r>
                <w:rPr>
                  <w:rFonts w:ascii="Arial" w:cs="Arial" w:eastAsia="Arial" w:hAnsi="Arial"/>
                  <w:sz w:val="14"/>
                  <w:szCs w:val="14"/>
                  <w:color w:val="0000FF"/>
                  <w:w w:val="98"/>
                </w:rPr>
                <w:t>Certification of Leigh A. Vosseller, Chief Financial Officer, pursuant to U.S.C.</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80" w:type="dxa"/>
            <w:vAlign w:val="bottom"/>
            <w:vMerge w:val="continue"/>
          </w:tcPr>
          <w:p>
            <w:pPr>
              <w:spacing w:after="0"/>
              <w:rPr>
                <w:sz w:val="6"/>
                <w:szCs w:val="6"/>
                <w:color w:val="auto"/>
              </w:rPr>
            </w:pPr>
          </w:p>
        </w:tc>
        <w:tc>
          <w:tcPr>
            <w:tcW w:w="4700" w:type="dxa"/>
            <w:vAlign w:val="bottom"/>
            <w:gridSpan w:val="6"/>
            <w:vMerge w:val="restart"/>
          </w:tcPr>
          <w:p>
            <w:pPr>
              <w:spacing w:after="0" w:line="114" w:lineRule="exact"/>
              <w:rPr>
                <w:rFonts w:ascii="Arial" w:cs="Arial" w:eastAsia="Arial" w:hAnsi="Arial"/>
                <w:sz w:val="13"/>
                <w:szCs w:val="13"/>
                <w:color w:val="0000FF"/>
                <w:w w:val="94"/>
              </w:rPr>
            </w:pPr>
            <w:hyperlink w:anchor="page239">
              <w:r>
                <w:rPr>
                  <w:rFonts w:ascii="Arial" w:cs="Arial" w:eastAsia="Arial" w:hAnsi="Arial"/>
                  <w:sz w:val="13"/>
                  <w:szCs w:val="13"/>
                  <w:color w:val="0000FF"/>
                  <w:w w:val="94"/>
                </w:rPr>
                <w:t>Section 1350, as adopted pursuant to Section 906 of the Sarbanes-Oxley Act of 2002.</w:t>
              </w:r>
            </w:hyperlink>
          </w:p>
        </w:tc>
        <w:tc>
          <w:tcPr>
            <w:tcW w:w="0" w:type="dxa"/>
            <w:vAlign w:val="bottom"/>
          </w:tcPr>
          <w:p>
            <w:pPr>
              <w:spacing w:after="0"/>
              <w:rPr>
                <w:sz w:val="1"/>
                <w:szCs w:val="1"/>
                <w:color w:val="auto"/>
              </w:rPr>
            </w:pPr>
          </w:p>
        </w:tc>
      </w:tr>
      <w:tr>
        <w:trPr>
          <w:trHeight w:val="48"/>
        </w:trPr>
        <w:tc>
          <w:tcPr>
            <w:tcW w:w="880" w:type="dxa"/>
            <w:vAlign w:val="bottom"/>
          </w:tcPr>
          <w:p>
            <w:pPr>
              <w:spacing w:after="0"/>
              <w:rPr>
                <w:sz w:val="3"/>
                <w:szCs w:val="3"/>
                <w:color w:val="auto"/>
              </w:rPr>
            </w:pPr>
          </w:p>
        </w:tc>
        <w:tc>
          <w:tcPr>
            <w:tcW w:w="470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80" w:type="dxa"/>
            <w:vAlign w:val="bottom"/>
          </w:tcPr>
          <w:p>
            <w:pPr>
              <w:jc w:val="center"/>
              <w:ind w:right="291"/>
              <w:spacing w:after="0"/>
              <w:rPr>
                <w:sz w:val="20"/>
                <w:szCs w:val="20"/>
                <w:color w:val="auto"/>
              </w:rPr>
            </w:pPr>
            <w:r>
              <w:rPr>
                <w:rFonts w:ascii="Arial" w:cs="Arial" w:eastAsia="Arial" w:hAnsi="Arial"/>
                <w:sz w:val="14"/>
                <w:szCs w:val="14"/>
                <w:color w:val="auto"/>
                <w:w w:val="94"/>
              </w:rPr>
              <w:t>101.INS</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175"/>
        </w:trPr>
        <w:tc>
          <w:tcPr>
            <w:tcW w:w="880" w:type="dxa"/>
            <w:vAlign w:val="bottom"/>
          </w:tcPr>
          <w:p>
            <w:pPr>
              <w:jc w:val="center"/>
              <w:ind w:right="291"/>
              <w:spacing w:after="0"/>
              <w:rPr>
                <w:sz w:val="20"/>
                <w:szCs w:val="20"/>
                <w:color w:val="auto"/>
              </w:rPr>
            </w:pPr>
            <w:r>
              <w:rPr>
                <w:rFonts w:ascii="Arial" w:cs="Arial" w:eastAsia="Arial" w:hAnsi="Arial"/>
                <w:sz w:val="14"/>
                <w:szCs w:val="14"/>
                <w:color w:val="auto"/>
                <w:w w:val="91"/>
              </w:rPr>
              <w:t>101.SCH</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75"/>
        </w:trPr>
        <w:tc>
          <w:tcPr>
            <w:tcW w:w="880" w:type="dxa"/>
            <w:vAlign w:val="bottom"/>
          </w:tcPr>
          <w:p>
            <w:pPr>
              <w:jc w:val="center"/>
              <w:ind w:right="291"/>
              <w:spacing w:after="0"/>
              <w:rPr>
                <w:sz w:val="20"/>
                <w:szCs w:val="20"/>
                <w:color w:val="auto"/>
              </w:rPr>
            </w:pPr>
            <w:r>
              <w:rPr>
                <w:rFonts w:ascii="Arial" w:cs="Arial" w:eastAsia="Arial" w:hAnsi="Arial"/>
                <w:sz w:val="14"/>
                <w:szCs w:val="14"/>
                <w:color w:val="auto"/>
                <w:w w:val="95"/>
              </w:rPr>
              <w:t>101.CAL</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75"/>
        </w:trPr>
        <w:tc>
          <w:tcPr>
            <w:tcW w:w="880" w:type="dxa"/>
            <w:vAlign w:val="bottom"/>
          </w:tcPr>
          <w:p>
            <w:pPr>
              <w:jc w:val="center"/>
              <w:ind w:right="271"/>
              <w:spacing w:after="0"/>
              <w:rPr>
                <w:sz w:val="20"/>
                <w:szCs w:val="20"/>
                <w:color w:val="auto"/>
              </w:rPr>
            </w:pPr>
            <w:r>
              <w:rPr>
                <w:rFonts w:ascii="Arial" w:cs="Arial" w:eastAsia="Arial" w:hAnsi="Arial"/>
                <w:sz w:val="14"/>
                <w:szCs w:val="14"/>
                <w:color w:val="auto"/>
                <w:w w:val="90"/>
              </w:rPr>
              <w:t>101.DEF</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75"/>
        </w:trPr>
        <w:tc>
          <w:tcPr>
            <w:tcW w:w="880" w:type="dxa"/>
            <w:vAlign w:val="bottom"/>
          </w:tcPr>
          <w:p>
            <w:pPr>
              <w:jc w:val="center"/>
              <w:ind w:right="291"/>
              <w:spacing w:after="0"/>
              <w:rPr>
                <w:sz w:val="20"/>
                <w:szCs w:val="20"/>
                <w:color w:val="auto"/>
              </w:rPr>
            </w:pPr>
            <w:r>
              <w:rPr>
                <w:rFonts w:ascii="Arial" w:cs="Arial" w:eastAsia="Arial" w:hAnsi="Arial"/>
                <w:sz w:val="14"/>
                <w:szCs w:val="14"/>
                <w:color w:val="auto"/>
                <w:w w:val="96"/>
              </w:rPr>
              <w:t>101.LAB</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175"/>
        </w:trPr>
        <w:tc>
          <w:tcPr>
            <w:tcW w:w="880" w:type="dxa"/>
            <w:vAlign w:val="bottom"/>
          </w:tcPr>
          <w:p>
            <w:pPr>
              <w:jc w:val="center"/>
              <w:ind w:right="291"/>
              <w:spacing w:after="0"/>
              <w:rPr>
                <w:sz w:val="20"/>
                <w:szCs w:val="20"/>
                <w:color w:val="auto"/>
              </w:rPr>
            </w:pPr>
            <w:r>
              <w:rPr>
                <w:rFonts w:ascii="Arial" w:cs="Arial" w:eastAsia="Arial" w:hAnsi="Arial"/>
                <w:sz w:val="14"/>
                <w:szCs w:val="14"/>
                <w:color w:val="auto"/>
                <w:w w:val="85"/>
              </w:rPr>
              <w:t>101.PRE</w:t>
            </w:r>
          </w:p>
        </w:tc>
        <w:tc>
          <w:tcPr>
            <w:tcW w:w="4700" w:type="dxa"/>
            <w:vAlign w:val="bottom"/>
            <w:gridSpan w:val="6"/>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-1452245</wp:posOffset>
            </wp:positionV>
            <wp:extent cx="7138670" cy="196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962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-1059815</wp:posOffset>
            </wp:positionV>
            <wp:extent cx="7138670" cy="1962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962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-666750</wp:posOffset>
            </wp:positionV>
            <wp:extent cx="7138670" cy="111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713867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-220980</wp:posOffset>
            </wp:positionV>
            <wp:extent cx="7138670" cy="111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111125"/>
                    </a:xfrm>
                    <a:prstGeom prst="rect">
                      <a:avLst/>
                    </a:prstGeom>
                    <a:noFill/>
                  </pic:spPr>
                </pic:pic>
              </a:graphicData>
            </a:graphic>
          </wp:anchor>
        </w:drawing>
      </w:r>
    </w:p>
    <w:p>
      <w:pPr>
        <w:ind w:left="1220" w:right="4180" w:hanging="722"/>
        <w:spacing w:after="0" w:line="184" w:lineRule="auto"/>
        <w:tabs>
          <w:tab w:leader="none" w:pos="1220" w:val="left"/>
        </w:tabs>
        <w:numPr>
          <w:ilvl w:val="0"/>
          <w:numId w:val="40"/>
        </w:numPr>
        <w:rPr>
          <w:rFonts w:ascii="Arial" w:cs="Arial" w:eastAsia="Arial" w:hAnsi="Arial"/>
          <w:sz w:val="23"/>
          <w:szCs w:val="23"/>
          <w:color w:val="auto"/>
          <w:vertAlign w:val="subscript"/>
        </w:rPr>
      </w:pPr>
      <w:r>
        <w:rPr>
          <w:rFonts w:ascii="Arial" w:cs="Arial" w:eastAsia="Arial" w:hAnsi="Arial"/>
          <w:sz w:val="12"/>
          <w:szCs w:val="12"/>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7138670" cy="196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96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ectPr>
          <w:pgSz w:w="11900" w:h="16838" w:orient="portrait"/>
          <w:cols w:equalWidth="0" w:num="2">
            <w:col w:w="9800" w:space="720"/>
            <w:col w:w="720"/>
          </w:cols>
          <w:pgMar w:left="300" w:top="713" w:right="359" w:bottom="1440" w:gutter="0" w:footer="0" w:header="0"/>
          <w:type w:val="continuous"/>
        </w:sectPr>
      </w:pPr>
    </w:p>
    <w:p>
      <w:pPr>
        <w:spacing w:after="0" w:line="48" w:lineRule="exact"/>
        <w:rPr>
          <w:sz w:val="20"/>
          <w:szCs w:val="20"/>
          <w:color w:val="auto"/>
        </w:rPr>
      </w:pPr>
    </w:p>
    <w:p>
      <w:pPr>
        <w:ind w:right="80" w:firstLine="3"/>
        <w:spacing w:after="0" w:line="404" w:lineRule="auto"/>
        <w:tabs>
          <w:tab w:leader="none" w:pos="103"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90" w:lineRule="exact"/>
        <w:rPr>
          <w:sz w:val="20"/>
          <w:szCs w:val="20"/>
          <w:color w:val="auto"/>
        </w:rPr>
      </w:pPr>
    </w:p>
    <w:p>
      <w:pPr>
        <w:ind w:right="380" w:firstLine="3"/>
        <w:spacing w:after="0" w:line="266" w:lineRule="auto"/>
        <w:tabs>
          <w:tab w:leader="none" w:pos="17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9010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713" w:right="359" w:bottom="1440" w:gutter="0" w:footer="0" w:header="0"/>
          <w:type w:val="continuous"/>
        </w:sectPr>
      </w:pPr>
    </w:p>
    <w:bookmarkStart w:id="82" w:name="page83"/>
    <w:bookmarkEnd w:id="82"/>
    <w:p>
      <w:pPr>
        <w:jc w:val="center"/>
        <w:ind w:right="-619"/>
        <w:spacing w:after="0"/>
        <w:rPr>
          <w:sz w:val="20"/>
          <w:szCs w:val="20"/>
          <w:color w:val="auto"/>
        </w:rPr>
      </w:pPr>
      <w:r>
        <w:rPr>
          <w:rFonts w:ascii="Arial" w:cs="Arial" w:eastAsia="Arial" w:hAnsi="Arial"/>
          <w:sz w:val="14"/>
          <w:szCs w:val="14"/>
          <w:b w:val="1"/>
          <w:bCs w:val="1"/>
          <w:color w:val="auto"/>
        </w:rPr>
        <w:t>SIGNATURES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317"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Tandem Diabetes Care, Inc.</w:t>
      </w:r>
    </w:p>
    <w:p>
      <w:pPr>
        <w:spacing w:after="0" w:line="231" w:lineRule="exact"/>
        <w:rPr>
          <w:sz w:val="20"/>
          <w:szCs w:val="20"/>
          <w:color w:val="auto"/>
        </w:rPr>
      </w:pPr>
    </w:p>
    <w:p>
      <w:pPr>
        <w:spacing w:after="0"/>
        <w:tabs>
          <w:tab w:leader="none" w:pos="5780" w:val="left"/>
          <w:tab w:leader="none" w:pos="6260" w:val="left"/>
        </w:tabs>
        <w:rPr>
          <w:sz w:val="20"/>
          <w:szCs w:val="20"/>
          <w:color w:val="auto"/>
        </w:rPr>
      </w:pPr>
      <w:r>
        <w:rPr>
          <w:rFonts w:ascii="Arial" w:cs="Arial" w:eastAsia="Arial" w:hAnsi="Arial"/>
          <w:sz w:val="14"/>
          <w:szCs w:val="14"/>
          <w:color w:val="auto"/>
        </w:rPr>
        <w:t>Dated August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9525</wp:posOffset>
            </wp:positionV>
            <wp:extent cx="31502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50235" cy="635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4"/>
          <w:szCs w:val="14"/>
          <w:color w:val="auto"/>
        </w:rPr>
        <w:t>John F. Sheridan</w:t>
      </w:r>
    </w:p>
    <w:p>
      <w:pPr>
        <w:ind w:left="6280"/>
        <w:spacing w:after="0" w:line="199" w:lineRule="auto"/>
        <w:rPr>
          <w:sz w:val="20"/>
          <w:szCs w:val="20"/>
          <w:color w:val="auto"/>
        </w:rPr>
      </w:pPr>
      <w:r>
        <w:rPr>
          <w:rFonts w:ascii="Arial" w:cs="Arial" w:eastAsia="Arial" w:hAnsi="Arial"/>
          <w:sz w:val="14"/>
          <w:szCs w:val="14"/>
          <w:color w:val="auto"/>
        </w:rPr>
        <w:t>President and Chief Executive Officer</w:t>
      </w:r>
    </w:p>
    <w:p>
      <w:pPr>
        <w:ind w:left="6280"/>
        <w:spacing w:after="0" w:line="200" w:lineRule="auto"/>
        <w:rPr>
          <w:sz w:val="20"/>
          <w:szCs w:val="20"/>
          <w:color w:val="auto"/>
        </w:rPr>
      </w:pPr>
      <w:r>
        <w:rPr>
          <w:rFonts w:ascii="Arial" w:cs="Arial" w:eastAsia="Arial" w:hAnsi="Arial"/>
          <w:sz w:val="14"/>
          <w:szCs w:val="14"/>
          <w:color w:val="auto"/>
        </w:rPr>
        <w:t>(on behalf of the registrant and as the registrant’s</w:t>
      </w:r>
    </w:p>
    <w:p>
      <w:pPr>
        <w:ind w:left="6280"/>
        <w:spacing w:after="0"/>
        <w:rPr>
          <w:sz w:val="20"/>
          <w:szCs w:val="20"/>
          <w:color w:val="auto"/>
        </w:rPr>
      </w:pPr>
      <w:r>
        <w:rPr>
          <w:rFonts w:ascii="Arial" w:cs="Arial" w:eastAsia="Arial" w:hAnsi="Arial"/>
          <w:sz w:val="14"/>
          <w:szCs w:val="14"/>
          <w:color w:val="auto"/>
        </w:rPr>
        <w:t>Principal Executive Officer)</w:t>
      </w:r>
    </w:p>
    <w:p>
      <w:pPr>
        <w:spacing w:after="0" w:line="198" w:lineRule="exact"/>
        <w:rPr>
          <w:sz w:val="20"/>
          <w:szCs w:val="20"/>
          <w:color w:val="auto"/>
        </w:rPr>
      </w:pPr>
    </w:p>
    <w:p>
      <w:pPr>
        <w:spacing w:after="0"/>
        <w:tabs>
          <w:tab w:leader="none" w:pos="5780" w:val="left"/>
          <w:tab w:leader="none" w:pos="6260" w:val="left"/>
        </w:tabs>
        <w:rPr>
          <w:sz w:val="20"/>
          <w:szCs w:val="20"/>
          <w:color w:val="auto"/>
        </w:rPr>
      </w:pPr>
      <w:r>
        <w:rPr>
          <w:rFonts w:ascii="Arial" w:cs="Arial" w:eastAsia="Arial" w:hAnsi="Arial"/>
          <w:sz w:val="14"/>
          <w:szCs w:val="14"/>
          <w:color w:val="auto"/>
        </w:rPr>
        <w:t>Dated August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9525</wp:posOffset>
            </wp:positionV>
            <wp:extent cx="31502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50235" cy="635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4"/>
          <w:szCs w:val="14"/>
          <w:color w:val="auto"/>
        </w:rPr>
        <w:t>Leigh A. Vosseller</w:t>
      </w:r>
    </w:p>
    <w:p>
      <w:pPr>
        <w:ind w:left="6280"/>
        <w:spacing w:after="0" w:line="199" w:lineRule="auto"/>
        <w:rPr>
          <w:sz w:val="20"/>
          <w:szCs w:val="20"/>
          <w:color w:val="auto"/>
        </w:rPr>
      </w:pPr>
      <w:r>
        <w:rPr>
          <w:rFonts w:ascii="Arial" w:cs="Arial" w:eastAsia="Arial" w:hAnsi="Arial"/>
          <w:sz w:val="14"/>
          <w:szCs w:val="14"/>
          <w:color w:val="auto"/>
        </w:rPr>
        <w:t>Executive Vice President, Chief Financial Officer and Treasurer</w:t>
      </w:r>
    </w:p>
    <w:p>
      <w:pPr>
        <w:ind w:left="6280"/>
        <w:spacing w:after="0" w:line="200" w:lineRule="auto"/>
        <w:rPr>
          <w:sz w:val="20"/>
          <w:szCs w:val="20"/>
          <w:color w:val="auto"/>
        </w:rPr>
      </w:pPr>
      <w:r>
        <w:rPr>
          <w:rFonts w:ascii="Arial" w:cs="Arial" w:eastAsia="Arial" w:hAnsi="Arial"/>
          <w:sz w:val="14"/>
          <w:szCs w:val="14"/>
          <w:color w:val="auto"/>
        </w:rPr>
        <w:t>(on behalf of the registrant and as the registrant’s</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640"/>
          </w:cols>
          <w:pgMar w:left="320" w:top="1063" w:right="9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546100</wp:posOffset>
            </wp:positionV>
            <wp:extent cx="716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CREDIT AGREEMENT</w:t>
      </w:r>
    </w:p>
    <w:p>
      <w:pPr>
        <w:spacing w:after="0" w:line="244"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Dated as of May 18, 2022</w:t>
      </w:r>
    </w:p>
    <w:p>
      <w:pPr>
        <w:spacing w:after="0" w:line="24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among</w:t>
      </w:r>
    </w:p>
    <w:p>
      <w:pPr>
        <w:spacing w:after="0" w:line="236" w:lineRule="exact"/>
        <w:rPr>
          <w:sz w:val="20"/>
          <w:szCs w:val="20"/>
          <w:color w:val="auto"/>
        </w:rPr>
      </w:pPr>
    </w:p>
    <w:p>
      <w:pPr>
        <w:ind w:left="3320"/>
        <w:spacing w:after="0"/>
        <w:rPr>
          <w:sz w:val="20"/>
          <w:szCs w:val="20"/>
          <w:color w:val="auto"/>
        </w:rPr>
      </w:pPr>
      <w:r>
        <w:rPr>
          <w:rFonts w:ascii="Arial" w:cs="Arial" w:eastAsia="Arial" w:hAnsi="Arial"/>
          <w:sz w:val="15"/>
          <w:szCs w:val="15"/>
          <w:b w:val="1"/>
          <w:bCs w:val="1"/>
          <w:color w:val="auto"/>
        </w:rPr>
        <w:t>TANDEM DIABETES CARE, INC.</w:t>
      </w:r>
      <w:r>
        <w:rPr>
          <w:rFonts w:ascii="Arial" w:cs="Arial" w:eastAsia="Arial" w:hAnsi="Arial"/>
          <w:sz w:val="15"/>
          <w:szCs w:val="15"/>
          <w:color w:val="auto"/>
        </w:rPr>
        <w:t>,</w:t>
      </w:r>
    </w:p>
    <w:p>
      <w:pPr>
        <w:spacing w:after="0" w:line="244"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as the Borrower,</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THE SUBSIDIARY GUARANTORS FROM TIME TO TIME PARTY HERETO,</w:t>
      </w:r>
    </w:p>
    <w:p>
      <w:pPr>
        <w:spacing w:after="0" w:line="16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as the Guarantors,</w:t>
      </w:r>
    </w:p>
    <w:p>
      <w:pPr>
        <w:spacing w:after="0" w:line="215"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BANK OF AMERICA, N.A.</w:t>
      </w:r>
      <w:r>
        <w:rPr>
          <w:rFonts w:ascii="Arial" w:cs="Arial" w:eastAsia="Arial" w:hAnsi="Arial"/>
          <w:sz w:val="14"/>
          <w:szCs w:val="14"/>
          <w:color w:val="auto"/>
        </w:rPr>
        <w:t>, as Administrative Agent, a Swing Line Lender and an L/C Issuer,</w:t>
      </w:r>
    </w:p>
    <w:p>
      <w:pPr>
        <w:spacing w:after="0" w:line="231" w:lineRule="exact"/>
        <w:rPr>
          <w:sz w:val="20"/>
          <w:szCs w:val="20"/>
          <w:color w:val="auto"/>
        </w:rPr>
      </w:pPr>
    </w:p>
    <w:p>
      <w:pPr>
        <w:ind w:left="1860"/>
        <w:spacing w:after="0"/>
        <w:rPr>
          <w:sz w:val="20"/>
          <w:szCs w:val="20"/>
          <w:color w:val="auto"/>
        </w:rPr>
      </w:pPr>
      <w:r>
        <w:rPr>
          <w:rFonts w:ascii="Arial" w:cs="Arial" w:eastAsia="Arial" w:hAnsi="Arial"/>
          <w:sz w:val="15"/>
          <w:szCs w:val="15"/>
          <w:b w:val="1"/>
          <w:bCs w:val="1"/>
          <w:color w:val="auto"/>
        </w:rPr>
        <w:t>THE SUBSIDIARY GUARANTORS FROM TIME TO TIME PARTY HERETO,</w:t>
      </w:r>
    </w:p>
    <w:p>
      <w:pPr>
        <w:spacing w:after="0" w:line="244"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as the Guarantors,</w:t>
      </w:r>
    </w:p>
    <w:p>
      <w:pPr>
        <w:spacing w:after="0" w:line="236"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BANK OF AMERICA, N.A.,</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as Administrative Agent, a Swing Line Lender and</w:t>
      </w:r>
    </w:p>
    <w:p>
      <w:pPr>
        <w:spacing w:after="0" w:line="34"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 L/C Issuer,</w:t>
      </w:r>
    </w:p>
    <w:p>
      <w:pPr>
        <w:spacing w:after="0" w:line="200" w:lineRule="exact"/>
        <w:rPr>
          <w:sz w:val="20"/>
          <w:szCs w:val="20"/>
          <w:color w:val="auto"/>
        </w:rPr>
      </w:pP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and</w:t>
      </w:r>
    </w:p>
    <w:p>
      <w:pPr>
        <w:spacing w:after="0" w:line="24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The Other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1195070</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1247775</wp:posOffset>
            </wp:positionV>
            <wp:extent cx="1349375"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493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80"/>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0140"/>
          </w:cols>
          <w:pgMar w:left="1440" w:top="129"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8000" w:type="dxa"/>
            <w:vAlign w:val="bottom"/>
          </w:tcPr>
          <w:p>
            <w:pPr>
              <w:ind w:left="2560"/>
              <w:spacing w:after="0"/>
              <w:rPr>
                <w:sz w:val="20"/>
                <w:szCs w:val="20"/>
                <w:color w:val="auto"/>
              </w:rPr>
            </w:pPr>
            <w:r>
              <w:rPr>
                <w:rFonts w:ascii="Arial" w:cs="Arial" w:eastAsia="Arial" w:hAnsi="Arial"/>
                <w:sz w:val="14"/>
                <w:szCs w:val="14"/>
                <w:color w:val="auto"/>
              </w:rPr>
              <w:t>TABLE OF CONTENTS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I DEFINITIONS AND ACCOUNTING TERMS</w:t>
            </w:r>
          </w:p>
        </w:tc>
        <w:tc>
          <w:tcPr>
            <w:tcW w:w="80" w:type="dxa"/>
            <w:vAlign w:val="bottom"/>
            <w:tcBorders>
              <w:bottom w:val="single" w:sz="8" w:color="0000FF"/>
            </w:tcBorders>
          </w:tcPr>
          <w:p>
            <w:pPr>
              <w:spacing w:after="0"/>
              <w:rPr>
                <w:rFonts w:ascii="Arial" w:cs="Arial" w:eastAsia="Arial" w:hAnsi="Arial"/>
                <w:sz w:val="14"/>
                <w:szCs w:val="14"/>
                <w:color w:val="0000FF"/>
                <w:w w:val="76"/>
              </w:rPr>
            </w:pPr>
            <w:hyperlink w:anchor="page91">
              <w:r>
                <w:rPr>
                  <w:rFonts w:ascii="Arial" w:cs="Arial" w:eastAsia="Arial" w:hAnsi="Arial"/>
                  <w:sz w:val="14"/>
                  <w:szCs w:val="14"/>
                  <w:color w:val="0000FF"/>
                  <w:w w:val="76"/>
                </w:rPr>
                <w:t>8</w:t>
              </w:r>
            </w:hyperlink>
          </w:p>
        </w:tc>
        <w:tc>
          <w:tcPr>
            <w:tcW w:w="60" w:type="dxa"/>
            <w:vAlign w:val="bottom"/>
          </w:tcPr>
          <w:p>
            <w:pPr>
              <w:spacing w:after="0"/>
              <w:rPr>
                <w:sz w:val="24"/>
                <w:szCs w:val="24"/>
                <w:color w:val="auto"/>
              </w:rPr>
            </w:pPr>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1.01</w:t>
            </w:r>
          </w:p>
        </w:tc>
        <w:tc>
          <w:tcPr>
            <w:tcW w:w="8000" w:type="dxa"/>
            <w:vAlign w:val="bottom"/>
          </w:tcPr>
          <w:p>
            <w:pPr>
              <w:ind w:left="160"/>
              <w:spacing w:after="0"/>
              <w:rPr>
                <w:sz w:val="20"/>
                <w:szCs w:val="20"/>
                <w:color w:val="auto"/>
              </w:rPr>
            </w:pPr>
            <w:r>
              <w:rPr>
                <w:rFonts w:ascii="Arial" w:cs="Arial" w:eastAsia="Arial" w:hAnsi="Arial"/>
                <w:sz w:val="14"/>
                <w:szCs w:val="14"/>
                <w:color w:val="auto"/>
              </w:rPr>
              <w:t>Defined Terms</w:t>
            </w:r>
          </w:p>
        </w:tc>
        <w:tc>
          <w:tcPr>
            <w:tcW w:w="80" w:type="dxa"/>
            <w:vAlign w:val="bottom"/>
            <w:tcBorders>
              <w:bottom w:val="single" w:sz="8" w:color="0000FF"/>
            </w:tcBorders>
          </w:tcPr>
          <w:p>
            <w:pPr>
              <w:spacing w:after="0"/>
              <w:rPr>
                <w:rFonts w:ascii="Arial" w:cs="Arial" w:eastAsia="Arial" w:hAnsi="Arial"/>
                <w:sz w:val="14"/>
                <w:szCs w:val="14"/>
                <w:color w:val="0000FF"/>
                <w:w w:val="76"/>
              </w:rPr>
            </w:pPr>
            <w:hyperlink w:anchor="page91">
              <w:r>
                <w:rPr>
                  <w:rFonts w:ascii="Arial" w:cs="Arial" w:eastAsia="Arial" w:hAnsi="Arial"/>
                  <w:sz w:val="14"/>
                  <w:szCs w:val="14"/>
                  <w:color w:val="0000FF"/>
                  <w:w w:val="76"/>
                </w:rPr>
                <w:t>8</w:t>
              </w:r>
            </w:hyperlink>
          </w:p>
        </w:tc>
        <w:tc>
          <w:tcPr>
            <w:tcW w:w="60" w:type="dxa"/>
            <w:vAlign w:val="bottom"/>
          </w:tcPr>
          <w:p>
            <w:pPr>
              <w:spacing w:after="0"/>
              <w:rPr>
                <w:sz w:val="14"/>
                <w:szCs w:val="14"/>
                <w:color w:val="auto"/>
              </w:rPr>
            </w:pPr>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1.02</w:t>
            </w:r>
          </w:p>
        </w:tc>
        <w:tc>
          <w:tcPr>
            <w:tcW w:w="8000" w:type="dxa"/>
            <w:vAlign w:val="bottom"/>
          </w:tcPr>
          <w:p>
            <w:pPr>
              <w:ind w:left="160"/>
              <w:spacing w:after="0"/>
              <w:rPr>
                <w:sz w:val="20"/>
                <w:szCs w:val="20"/>
                <w:color w:val="auto"/>
              </w:rPr>
            </w:pPr>
            <w:r>
              <w:rPr>
                <w:rFonts w:ascii="Arial" w:cs="Arial" w:eastAsia="Arial" w:hAnsi="Arial"/>
                <w:sz w:val="14"/>
                <w:szCs w:val="14"/>
                <w:color w:val="auto"/>
              </w:rPr>
              <w:t>Other Interpretive Provisions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19">
              <w:r>
                <w:rPr>
                  <w:rFonts w:ascii="Arial" w:cs="Arial" w:eastAsia="Arial" w:hAnsi="Arial"/>
                  <w:sz w:val="14"/>
                  <w:szCs w:val="14"/>
                  <w:color w:val="0000FF"/>
                  <w:w w:val="76"/>
                </w:rPr>
                <w:t>36</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1.03</w:t>
            </w:r>
          </w:p>
        </w:tc>
        <w:tc>
          <w:tcPr>
            <w:tcW w:w="8000" w:type="dxa"/>
            <w:vAlign w:val="bottom"/>
          </w:tcPr>
          <w:p>
            <w:pPr>
              <w:ind w:left="160"/>
              <w:spacing w:after="0"/>
              <w:rPr>
                <w:sz w:val="20"/>
                <w:szCs w:val="20"/>
                <w:color w:val="auto"/>
              </w:rPr>
            </w:pPr>
            <w:r>
              <w:rPr>
                <w:rFonts w:ascii="Arial" w:cs="Arial" w:eastAsia="Arial" w:hAnsi="Arial"/>
                <w:sz w:val="14"/>
                <w:szCs w:val="14"/>
                <w:color w:val="auto"/>
              </w:rPr>
              <w:t>Accounting Terms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19">
              <w:r>
                <w:rPr>
                  <w:rFonts w:ascii="Arial" w:cs="Arial" w:eastAsia="Arial" w:hAnsi="Arial"/>
                  <w:sz w:val="14"/>
                  <w:szCs w:val="14"/>
                  <w:color w:val="0000FF"/>
                  <w:w w:val="76"/>
                </w:rPr>
                <w:t>37</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1.04</w:t>
            </w:r>
          </w:p>
        </w:tc>
        <w:tc>
          <w:tcPr>
            <w:tcW w:w="8000" w:type="dxa"/>
            <w:vAlign w:val="bottom"/>
          </w:tcPr>
          <w:p>
            <w:pPr>
              <w:ind w:left="160"/>
              <w:spacing w:after="0"/>
              <w:rPr>
                <w:sz w:val="20"/>
                <w:szCs w:val="20"/>
                <w:color w:val="auto"/>
              </w:rPr>
            </w:pPr>
            <w:r>
              <w:rPr>
                <w:rFonts w:ascii="Arial" w:cs="Arial" w:eastAsia="Arial" w:hAnsi="Arial"/>
                <w:sz w:val="14"/>
                <w:szCs w:val="14"/>
                <w:color w:val="auto"/>
              </w:rPr>
              <w:t>Rounding</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0">
              <w:r>
                <w:rPr>
                  <w:rFonts w:ascii="Arial" w:cs="Arial" w:eastAsia="Arial" w:hAnsi="Arial"/>
                  <w:sz w:val="14"/>
                  <w:szCs w:val="14"/>
                  <w:color w:val="0000FF"/>
                  <w:w w:val="76"/>
                </w:rPr>
                <w:t>37</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1.05</w:t>
            </w:r>
          </w:p>
        </w:tc>
        <w:tc>
          <w:tcPr>
            <w:tcW w:w="8000" w:type="dxa"/>
            <w:vAlign w:val="bottom"/>
          </w:tcPr>
          <w:p>
            <w:pPr>
              <w:ind w:left="160"/>
              <w:spacing w:after="0"/>
              <w:rPr>
                <w:sz w:val="20"/>
                <w:szCs w:val="20"/>
                <w:color w:val="auto"/>
              </w:rPr>
            </w:pPr>
            <w:r>
              <w:rPr>
                <w:rFonts w:ascii="Arial" w:cs="Arial" w:eastAsia="Arial" w:hAnsi="Arial"/>
                <w:sz w:val="14"/>
                <w:szCs w:val="14"/>
                <w:color w:val="auto"/>
              </w:rPr>
              <w:t>Times of Day</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0">
              <w:r>
                <w:rPr>
                  <w:rFonts w:ascii="Arial" w:cs="Arial" w:eastAsia="Arial" w:hAnsi="Arial"/>
                  <w:sz w:val="14"/>
                  <w:szCs w:val="14"/>
                  <w:color w:val="0000FF"/>
                  <w:w w:val="76"/>
                </w:rPr>
                <w:t>37</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1.06</w:t>
            </w:r>
          </w:p>
        </w:tc>
        <w:tc>
          <w:tcPr>
            <w:tcW w:w="8000" w:type="dxa"/>
            <w:vAlign w:val="bottom"/>
          </w:tcPr>
          <w:p>
            <w:pPr>
              <w:ind w:left="160"/>
              <w:spacing w:after="0"/>
              <w:rPr>
                <w:sz w:val="20"/>
                <w:szCs w:val="20"/>
                <w:color w:val="auto"/>
              </w:rPr>
            </w:pPr>
            <w:r>
              <w:rPr>
                <w:rFonts w:ascii="Arial" w:cs="Arial" w:eastAsia="Arial" w:hAnsi="Arial"/>
                <w:sz w:val="14"/>
                <w:szCs w:val="14"/>
                <w:color w:val="auto"/>
              </w:rPr>
              <w:t>References to Agreements and Laws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0">
              <w:r>
                <w:rPr>
                  <w:rFonts w:ascii="Arial" w:cs="Arial" w:eastAsia="Arial" w:hAnsi="Arial"/>
                  <w:sz w:val="14"/>
                  <w:szCs w:val="14"/>
                  <w:color w:val="0000FF"/>
                  <w:w w:val="76"/>
                </w:rPr>
                <w:t>37</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1.07</w:t>
            </w:r>
          </w:p>
        </w:tc>
        <w:tc>
          <w:tcPr>
            <w:tcW w:w="8000" w:type="dxa"/>
            <w:vAlign w:val="bottom"/>
          </w:tcPr>
          <w:p>
            <w:pPr>
              <w:ind w:left="160"/>
              <w:spacing w:after="0"/>
              <w:rPr>
                <w:sz w:val="20"/>
                <w:szCs w:val="20"/>
                <w:color w:val="auto"/>
              </w:rPr>
            </w:pPr>
            <w:r>
              <w:rPr>
                <w:rFonts w:ascii="Arial" w:cs="Arial" w:eastAsia="Arial" w:hAnsi="Arial"/>
                <w:sz w:val="14"/>
                <w:szCs w:val="14"/>
                <w:color w:val="auto"/>
              </w:rPr>
              <w:t>Letter of Credit Amounts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0">
              <w:r>
                <w:rPr>
                  <w:rFonts w:ascii="Arial" w:cs="Arial" w:eastAsia="Arial" w:hAnsi="Arial"/>
                  <w:sz w:val="14"/>
                  <w:szCs w:val="14"/>
                  <w:color w:val="0000FF"/>
                  <w:w w:val="76"/>
                </w:rPr>
                <w:t>38</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1.08</w:t>
            </w:r>
          </w:p>
        </w:tc>
        <w:tc>
          <w:tcPr>
            <w:tcW w:w="8000" w:type="dxa"/>
            <w:vAlign w:val="bottom"/>
          </w:tcPr>
          <w:p>
            <w:pPr>
              <w:ind w:left="160"/>
              <w:spacing w:after="0"/>
              <w:rPr>
                <w:sz w:val="20"/>
                <w:szCs w:val="20"/>
                <w:color w:val="auto"/>
              </w:rPr>
            </w:pPr>
            <w:r>
              <w:rPr>
                <w:rFonts w:ascii="Arial" w:cs="Arial" w:eastAsia="Arial" w:hAnsi="Arial"/>
                <w:sz w:val="14"/>
                <w:szCs w:val="14"/>
                <w:color w:val="auto"/>
              </w:rPr>
              <w:t>Currency Equivalents Generally</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1">
              <w:r>
                <w:rPr>
                  <w:rFonts w:ascii="Arial" w:cs="Arial" w:eastAsia="Arial" w:hAnsi="Arial"/>
                  <w:sz w:val="14"/>
                  <w:szCs w:val="14"/>
                  <w:color w:val="0000FF"/>
                  <w:w w:val="76"/>
                </w:rPr>
                <w:t>38</w:t>
              </w:r>
            </w:hyperlink>
          </w:p>
        </w:tc>
      </w:tr>
      <w:tr>
        <w:trPr>
          <w:trHeight w:val="166"/>
        </w:trPr>
        <w:tc>
          <w:tcPr>
            <w:tcW w:w="2360" w:type="dxa"/>
            <w:vAlign w:val="bottom"/>
          </w:tcPr>
          <w:p>
            <w:pPr>
              <w:jc w:val="right"/>
              <w:ind w:right="91"/>
              <w:spacing w:after="0"/>
              <w:rPr>
                <w:sz w:val="20"/>
                <w:szCs w:val="20"/>
                <w:color w:val="auto"/>
              </w:rPr>
            </w:pPr>
            <w:r>
              <w:rPr>
                <w:rFonts w:ascii="Arial" w:cs="Arial" w:eastAsia="Arial" w:hAnsi="Arial"/>
                <w:sz w:val="14"/>
                <w:szCs w:val="14"/>
                <w:color w:val="auto"/>
              </w:rPr>
              <w:t>1.09</w:t>
            </w:r>
          </w:p>
        </w:tc>
        <w:tc>
          <w:tcPr>
            <w:tcW w:w="8000" w:type="dxa"/>
            <w:vAlign w:val="bottom"/>
          </w:tcPr>
          <w:p>
            <w:pPr>
              <w:ind w:left="160"/>
              <w:spacing w:after="0"/>
              <w:rPr>
                <w:sz w:val="20"/>
                <w:szCs w:val="20"/>
                <w:color w:val="auto"/>
              </w:rPr>
            </w:pPr>
            <w:r>
              <w:rPr>
                <w:rFonts w:ascii="Arial" w:cs="Arial" w:eastAsia="Arial" w:hAnsi="Arial"/>
                <w:sz w:val="14"/>
                <w:szCs w:val="14"/>
                <w:color w:val="auto"/>
              </w:rPr>
              <w:t>Interest Rates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1">
              <w:r>
                <w:rPr>
                  <w:rFonts w:ascii="Arial" w:cs="Arial" w:eastAsia="Arial" w:hAnsi="Arial"/>
                  <w:sz w:val="14"/>
                  <w:szCs w:val="14"/>
                  <w:color w:val="0000FF"/>
                  <w:w w:val="76"/>
                </w:rPr>
                <w:t>38</w:t>
              </w:r>
            </w:hyperlink>
          </w:p>
        </w:tc>
      </w:tr>
      <w:tr>
        <w:trPr>
          <w:trHeight w:val="36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II THE COMMITMENTS AND CREDIT EXTENSIONS</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21">
              <w:r>
                <w:rPr>
                  <w:rFonts w:ascii="Arial" w:cs="Arial" w:eastAsia="Arial" w:hAnsi="Arial"/>
                  <w:sz w:val="14"/>
                  <w:szCs w:val="14"/>
                  <w:color w:val="0000FF"/>
                  <w:w w:val="76"/>
                </w:rPr>
                <w:t>38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Loans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22">
              <w:r>
                <w:rPr>
                  <w:rFonts w:ascii="Arial" w:cs="Arial" w:eastAsia="Arial" w:hAnsi="Arial"/>
                  <w:sz w:val="14"/>
                  <w:szCs w:val="14"/>
                  <w:color w:val="0000FF"/>
                  <w:w w:val="76"/>
                </w:rPr>
                <w:t>39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Borrowings, Conversions and Continuations of Loans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22">
              <w:r>
                <w:rPr>
                  <w:rFonts w:ascii="Arial" w:cs="Arial" w:eastAsia="Arial" w:hAnsi="Arial"/>
                  <w:sz w:val="14"/>
                  <w:szCs w:val="14"/>
                  <w:color w:val="0000FF"/>
                  <w:w w:val="76"/>
                </w:rPr>
                <w:t>39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Letters of Credit</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23">
              <w:r>
                <w:rPr>
                  <w:rFonts w:ascii="Arial" w:cs="Arial" w:eastAsia="Arial" w:hAnsi="Arial"/>
                  <w:sz w:val="14"/>
                  <w:szCs w:val="14"/>
                  <w:color w:val="0000FF"/>
                  <w:w w:val="76"/>
                </w:rPr>
                <w:t>40</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Swing Line Loans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1">
              <w:r>
                <w:rPr>
                  <w:rFonts w:ascii="Arial" w:cs="Arial" w:eastAsia="Arial" w:hAnsi="Arial"/>
                  <w:sz w:val="14"/>
                  <w:szCs w:val="14"/>
                  <w:color w:val="0000FF"/>
                  <w:w w:val="76"/>
                </w:rPr>
                <w:t>48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Prepayments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3">
              <w:r>
                <w:rPr>
                  <w:rFonts w:ascii="Arial" w:cs="Arial" w:eastAsia="Arial" w:hAnsi="Arial"/>
                  <w:sz w:val="14"/>
                  <w:szCs w:val="14"/>
                  <w:color w:val="0000FF"/>
                  <w:w w:val="76"/>
                </w:rPr>
                <w:t>50</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Termination or Reduction of Commitments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4">
              <w:r>
                <w:rPr>
                  <w:rFonts w:ascii="Arial" w:cs="Arial" w:eastAsia="Arial" w:hAnsi="Arial"/>
                  <w:sz w:val="14"/>
                  <w:szCs w:val="14"/>
                  <w:color w:val="0000FF"/>
                  <w:w w:val="76"/>
                </w:rPr>
                <w:t>51</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Repayment of Loans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4">
              <w:r>
                <w:rPr>
                  <w:rFonts w:ascii="Arial" w:cs="Arial" w:eastAsia="Arial" w:hAnsi="Arial"/>
                  <w:sz w:val="14"/>
                  <w:szCs w:val="14"/>
                  <w:color w:val="0000FF"/>
                  <w:w w:val="76"/>
                </w:rPr>
                <w:t>51</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2.08</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Interest</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5">
              <w:r>
                <w:rPr>
                  <w:rFonts w:ascii="Arial" w:cs="Arial" w:eastAsia="Arial" w:hAnsi="Arial"/>
                  <w:sz w:val="14"/>
                  <w:szCs w:val="14"/>
                  <w:color w:val="0000FF"/>
                  <w:w w:val="76"/>
                </w:rPr>
                <w:t>52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2.09</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Fees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5">
              <w:r>
                <w:rPr>
                  <w:rFonts w:ascii="Arial" w:cs="Arial" w:eastAsia="Arial" w:hAnsi="Arial"/>
                  <w:sz w:val="14"/>
                  <w:szCs w:val="14"/>
                  <w:color w:val="0000FF"/>
                  <w:w w:val="76"/>
                </w:rPr>
                <w:t>53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2.10</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Computation of Interest and Fees; Retroactive Adjustments of Applicable Rate</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6">
              <w:r>
                <w:rPr>
                  <w:rFonts w:ascii="Arial" w:cs="Arial" w:eastAsia="Arial" w:hAnsi="Arial"/>
                  <w:sz w:val="14"/>
                  <w:szCs w:val="14"/>
                  <w:color w:val="0000FF"/>
                  <w:w w:val="76"/>
                </w:rPr>
                <w:t>53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Evidence of Debt</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6">
              <w:r>
                <w:rPr>
                  <w:rFonts w:ascii="Arial" w:cs="Arial" w:eastAsia="Arial" w:hAnsi="Arial"/>
                  <w:sz w:val="14"/>
                  <w:szCs w:val="14"/>
                  <w:color w:val="0000FF"/>
                  <w:w w:val="76"/>
                </w:rPr>
                <w:t>54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Payments Generally; Administrative Agent’s Clawback</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7">
              <w:r>
                <w:rPr>
                  <w:rFonts w:ascii="Arial" w:cs="Arial" w:eastAsia="Arial" w:hAnsi="Arial"/>
                  <w:sz w:val="14"/>
                  <w:szCs w:val="14"/>
                  <w:color w:val="0000FF"/>
                  <w:w w:val="76"/>
                </w:rPr>
                <w:t>54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Sharing of Payments by Lenders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8">
              <w:r>
                <w:rPr>
                  <w:rFonts w:ascii="Arial" w:cs="Arial" w:eastAsia="Arial" w:hAnsi="Arial"/>
                  <w:sz w:val="14"/>
                  <w:szCs w:val="14"/>
                  <w:color w:val="0000FF"/>
                  <w:w w:val="76"/>
                </w:rPr>
                <w:t>56</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9">
              <w:r>
                <w:rPr>
                  <w:rFonts w:ascii="Arial" w:cs="Arial" w:eastAsia="Arial" w:hAnsi="Arial"/>
                  <w:sz w:val="14"/>
                  <w:szCs w:val="14"/>
                  <w:color w:val="0000FF"/>
                  <w:w w:val="76"/>
                </w:rPr>
                <w:t>56</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Increase in Commitments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39">
              <w:r>
                <w:rPr>
                  <w:rFonts w:ascii="Arial" w:cs="Arial" w:eastAsia="Arial" w:hAnsi="Arial"/>
                  <w:sz w:val="14"/>
                  <w:szCs w:val="14"/>
                  <w:color w:val="0000FF"/>
                  <w:w w:val="76"/>
                </w:rPr>
                <w:t>57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Cash Collateral</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41">
              <w:r>
                <w:rPr>
                  <w:rFonts w:ascii="Arial" w:cs="Arial" w:eastAsia="Arial" w:hAnsi="Arial"/>
                  <w:sz w:val="14"/>
                  <w:szCs w:val="14"/>
                  <w:color w:val="0000FF"/>
                  <w:w w:val="76"/>
                </w:rPr>
                <w:t>59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2.17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Defaulting Lenders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43">
              <w:r>
                <w:rPr>
                  <w:rFonts w:ascii="Arial" w:cs="Arial" w:eastAsia="Arial" w:hAnsi="Arial"/>
                  <w:sz w:val="14"/>
                  <w:szCs w:val="14"/>
                  <w:color w:val="0000FF"/>
                  <w:w w:val="76"/>
                </w:rPr>
                <w:t>60</w:t>
              </w:r>
            </w:hyperlink>
          </w:p>
        </w:tc>
      </w:tr>
      <w:tr>
        <w:trPr>
          <w:trHeight w:val="36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III TAXES, YIELD PROTECTION AND ILLEGALITY</w:t>
            </w: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144">
              <w:r>
                <w:rPr>
                  <w:rFonts w:ascii="Arial" w:cs="Arial" w:eastAsia="Arial" w:hAnsi="Arial"/>
                  <w:sz w:val="14"/>
                  <w:szCs w:val="14"/>
                  <w:color w:val="0000FF"/>
                  <w:w w:val="76"/>
                </w:rPr>
                <w:t>61</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Taxes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45">
              <w:r>
                <w:rPr>
                  <w:rFonts w:ascii="Arial" w:cs="Arial" w:eastAsia="Arial" w:hAnsi="Arial"/>
                  <w:sz w:val="14"/>
                  <w:szCs w:val="14"/>
                  <w:color w:val="0000FF"/>
                  <w:w w:val="76"/>
                </w:rPr>
                <w:t>62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Illegality</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48">
              <w:r>
                <w:rPr>
                  <w:rFonts w:ascii="Arial" w:cs="Arial" w:eastAsia="Arial" w:hAnsi="Arial"/>
                  <w:sz w:val="14"/>
                  <w:szCs w:val="14"/>
                  <w:color w:val="0000FF"/>
                  <w:w w:val="76"/>
                </w:rPr>
                <w:t>65</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Inability to Determine Rates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48">
              <w:r>
                <w:rPr>
                  <w:rFonts w:ascii="Arial" w:cs="Arial" w:eastAsia="Arial" w:hAnsi="Arial"/>
                  <w:sz w:val="14"/>
                  <w:szCs w:val="14"/>
                  <w:color w:val="0000FF"/>
                  <w:w w:val="76"/>
                </w:rPr>
                <w:t>66</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Increased Costs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51">
              <w:r>
                <w:rPr>
                  <w:rFonts w:ascii="Arial" w:cs="Arial" w:eastAsia="Arial" w:hAnsi="Arial"/>
                  <w:sz w:val="14"/>
                  <w:szCs w:val="14"/>
                  <w:color w:val="0000FF"/>
                  <w:w w:val="76"/>
                </w:rPr>
                <w:t>68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Compensation for Losses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52">
              <w:r>
                <w:rPr>
                  <w:rFonts w:ascii="Arial" w:cs="Arial" w:eastAsia="Arial" w:hAnsi="Arial"/>
                  <w:sz w:val="14"/>
                  <w:szCs w:val="14"/>
                  <w:color w:val="0000FF"/>
                  <w:w w:val="76"/>
                </w:rPr>
                <w:t>69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Mitigation Obligations; Replacement of Lenders</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52">
              <w:r>
                <w:rPr>
                  <w:rFonts w:ascii="Arial" w:cs="Arial" w:eastAsia="Arial" w:hAnsi="Arial"/>
                  <w:sz w:val="14"/>
                  <w:szCs w:val="14"/>
                  <w:color w:val="0000FF"/>
                  <w:w w:val="76"/>
                </w:rPr>
                <w:t>69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3.07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Survival</w:t>
            </w:r>
          </w:p>
        </w:tc>
        <w:tc>
          <w:tcPr>
            <w:tcW w:w="140" w:type="dxa"/>
            <w:vAlign w:val="bottom"/>
            <w:tcBorders>
              <w:bottom w:val="single" w:sz="8" w:color="0000FF"/>
            </w:tcBorders>
            <w:gridSpan w:val="2"/>
          </w:tcPr>
          <w:p>
            <w:pPr>
              <w:spacing w:after="0" w:line="155" w:lineRule="exact"/>
              <w:rPr>
                <w:rFonts w:ascii="Arial" w:cs="Arial" w:eastAsia="Arial" w:hAnsi="Arial"/>
                <w:sz w:val="14"/>
                <w:szCs w:val="14"/>
                <w:color w:val="0000FF"/>
                <w:w w:val="76"/>
              </w:rPr>
            </w:pPr>
            <w:hyperlink w:anchor="page153">
              <w:r>
                <w:rPr>
                  <w:rFonts w:ascii="Arial" w:cs="Arial" w:eastAsia="Arial" w:hAnsi="Arial"/>
                  <w:sz w:val="14"/>
                  <w:szCs w:val="14"/>
                  <w:color w:val="0000FF"/>
                  <w:w w:val="76"/>
                </w:rPr>
                <w:t>70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60"/>
          </w:cols>
          <w:pgMar w:left="320" w:top="129"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gridSpan w:val="2"/>
          </w:tcPr>
          <w:p>
            <w:pPr>
              <w:spacing w:after="0"/>
              <w:rPr>
                <w:sz w:val="20"/>
                <w:szCs w:val="20"/>
                <w:color w:val="auto"/>
              </w:rPr>
            </w:pPr>
            <w:r>
              <w:rPr>
                <w:rFonts w:ascii="Arial" w:cs="Arial" w:eastAsia="Arial" w:hAnsi="Arial"/>
                <w:sz w:val="14"/>
                <w:szCs w:val="14"/>
                <w:color w:val="auto"/>
              </w:rPr>
              <w:t>ARTICLE IV CONDITIONS PRECEDENT TO CREDIT EXTENSIONS</w:t>
            </w: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53">
              <w:r>
                <w:rPr>
                  <w:rFonts w:ascii="Arial" w:cs="Arial" w:eastAsia="Arial" w:hAnsi="Arial"/>
                  <w:sz w:val="14"/>
                  <w:szCs w:val="14"/>
                  <w:color w:val="0000FF"/>
                  <w:w w:val="76"/>
                </w:rPr>
                <w:t>70</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4.01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Conditions of Initial Credit Extension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3">
              <w:r>
                <w:rPr>
                  <w:rFonts w:ascii="Arial" w:cs="Arial" w:eastAsia="Arial" w:hAnsi="Arial"/>
                  <w:sz w:val="14"/>
                  <w:szCs w:val="14"/>
                  <w:color w:val="0000FF"/>
                  <w:w w:val="76"/>
                </w:rPr>
                <w:t>70</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4.02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Conditions to All Credit Extensions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5">
              <w:r>
                <w:rPr>
                  <w:rFonts w:ascii="Arial" w:cs="Arial" w:eastAsia="Arial" w:hAnsi="Arial"/>
                  <w:sz w:val="14"/>
                  <w:szCs w:val="14"/>
                  <w:color w:val="0000FF"/>
                  <w:w w:val="76"/>
                </w:rPr>
                <w:t>72</w:t>
              </w:r>
            </w:hyperlink>
          </w:p>
        </w:tc>
      </w:tr>
      <w:tr>
        <w:trPr>
          <w:trHeight w:val="36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V REPRESENTATIONS AND WARRANTIES</w:t>
            </w: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Existence, Qualification and Power</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Authorization; No Contravention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Governmental Authorization; Other Consents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Binding Effect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Financial Statements; No Material Adverse Effect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6">
              <w:r>
                <w:rPr>
                  <w:rFonts w:ascii="Arial" w:cs="Arial" w:eastAsia="Arial" w:hAnsi="Arial"/>
                  <w:sz w:val="14"/>
                  <w:szCs w:val="14"/>
                  <w:color w:val="0000FF"/>
                  <w:w w:val="76"/>
                </w:rPr>
                <w:t>73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Litigation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7">
              <w:r>
                <w:rPr>
                  <w:rFonts w:ascii="Arial" w:cs="Arial" w:eastAsia="Arial" w:hAnsi="Arial"/>
                  <w:sz w:val="14"/>
                  <w:szCs w:val="14"/>
                  <w:color w:val="0000FF"/>
                  <w:w w:val="76"/>
                </w:rPr>
                <w:t>74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No Default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7">
              <w:r>
                <w:rPr>
                  <w:rFonts w:ascii="Arial" w:cs="Arial" w:eastAsia="Arial" w:hAnsi="Arial"/>
                  <w:sz w:val="14"/>
                  <w:szCs w:val="14"/>
                  <w:color w:val="0000FF"/>
                  <w:w w:val="76"/>
                </w:rPr>
                <w:t>74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5.08</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Ownership of Property; Liens; Investments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7">
              <w:r>
                <w:rPr>
                  <w:rFonts w:ascii="Arial" w:cs="Arial" w:eastAsia="Arial" w:hAnsi="Arial"/>
                  <w:sz w:val="14"/>
                  <w:szCs w:val="14"/>
                  <w:color w:val="0000FF"/>
                  <w:w w:val="76"/>
                </w:rPr>
                <w:t>74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5.09</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Environmental Matters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7">
              <w:r>
                <w:rPr>
                  <w:rFonts w:ascii="Arial" w:cs="Arial" w:eastAsia="Arial" w:hAnsi="Arial"/>
                  <w:sz w:val="14"/>
                  <w:szCs w:val="14"/>
                  <w:color w:val="0000FF"/>
                  <w:w w:val="76"/>
                </w:rPr>
                <w:t>74</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5.10</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Insurance</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8">
              <w:r>
                <w:rPr>
                  <w:rFonts w:ascii="Arial" w:cs="Arial" w:eastAsia="Arial" w:hAnsi="Arial"/>
                  <w:sz w:val="14"/>
                  <w:szCs w:val="14"/>
                  <w:color w:val="0000FF"/>
                  <w:w w:val="76"/>
                </w:rPr>
                <w:t>75</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Taxes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8">
              <w:r>
                <w:rPr>
                  <w:rFonts w:ascii="Arial" w:cs="Arial" w:eastAsia="Arial" w:hAnsi="Arial"/>
                  <w:sz w:val="14"/>
                  <w:szCs w:val="14"/>
                  <w:color w:val="0000FF"/>
                  <w:w w:val="76"/>
                </w:rPr>
                <w:t>75</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ERISA Compliance</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8">
              <w:r>
                <w:rPr>
                  <w:rFonts w:ascii="Arial" w:cs="Arial" w:eastAsia="Arial" w:hAnsi="Arial"/>
                  <w:sz w:val="14"/>
                  <w:szCs w:val="14"/>
                  <w:color w:val="0000FF"/>
                  <w:w w:val="76"/>
                </w:rPr>
                <w:t>75</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Subsidiaries; Equity Interests; Loan Parties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9">
              <w:r>
                <w:rPr>
                  <w:rFonts w:ascii="Arial" w:cs="Arial" w:eastAsia="Arial" w:hAnsi="Arial"/>
                  <w:sz w:val="14"/>
                  <w:szCs w:val="14"/>
                  <w:color w:val="0000FF"/>
                  <w:w w:val="76"/>
                </w:rPr>
                <w:t>76</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Margin Regulations; Investment Company Act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9">
              <w:r>
                <w:rPr>
                  <w:rFonts w:ascii="Arial" w:cs="Arial" w:eastAsia="Arial" w:hAnsi="Arial"/>
                  <w:sz w:val="14"/>
                  <w:szCs w:val="14"/>
                  <w:color w:val="0000FF"/>
                  <w:w w:val="76"/>
                </w:rPr>
                <w:t>76</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Disclosure</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59">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Compliance with Laws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Intellectual Property; Licenses, Etc</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5.18</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Solvency</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5.19</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Casualty, Etc.</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5.20</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Labor Matters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77</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OFAC</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0">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Anti-Corruption Laws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Not an Affected Financial Institution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Beneficial Ownership Certification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5.25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Covered Entities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36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VI AFFIRMATIVE COVENANTS</w:t>
            </w: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6.01</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Financial Statements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1">
              <w:r>
                <w:rPr>
                  <w:rFonts w:ascii="Arial" w:cs="Arial" w:eastAsia="Arial" w:hAnsi="Arial"/>
                  <w:sz w:val="14"/>
                  <w:szCs w:val="14"/>
                  <w:color w:val="0000FF"/>
                  <w:w w:val="76"/>
                </w:rPr>
                <w:t>78</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6.02</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Certificates; Other Information</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2">
              <w:r>
                <w:rPr>
                  <w:rFonts w:ascii="Arial" w:cs="Arial" w:eastAsia="Arial" w:hAnsi="Arial"/>
                  <w:sz w:val="14"/>
                  <w:szCs w:val="14"/>
                  <w:color w:val="0000FF"/>
                  <w:w w:val="76"/>
                </w:rPr>
                <w:t>79</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6.03</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Notices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4">
              <w:r>
                <w:rPr>
                  <w:rFonts w:ascii="Arial" w:cs="Arial" w:eastAsia="Arial" w:hAnsi="Arial"/>
                  <w:sz w:val="14"/>
                  <w:szCs w:val="14"/>
                  <w:color w:val="0000FF"/>
                  <w:w w:val="76"/>
                </w:rPr>
                <w:t>81</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Payment of Obligations; File Tax Returns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5">
              <w:r>
                <w:rPr>
                  <w:rFonts w:ascii="Arial" w:cs="Arial" w:eastAsia="Arial" w:hAnsi="Arial"/>
                  <w:sz w:val="14"/>
                  <w:szCs w:val="14"/>
                  <w:color w:val="0000FF"/>
                  <w:w w:val="76"/>
                </w:rPr>
                <w:t>82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Preservation of Existence, Etc.</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5">
              <w:r>
                <w:rPr>
                  <w:rFonts w:ascii="Arial" w:cs="Arial" w:eastAsia="Arial" w:hAnsi="Arial"/>
                  <w:sz w:val="14"/>
                  <w:szCs w:val="14"/>
                  <w:color w:val="0000FF"/>
                  <w:w w:val="76"/>
                </w:rPr>
                <w:t>82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Maintenance of Properties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5">
              <w:r>
                <w:rPr>
                  <w:rFonts w:ascii="Arial" w:cs="Arial" w:eastAsia="Arial" w:hAnsi="Arial"/>
                  <w:sz w:val="14"/>
                  <w:szCs w:val="14"/>
                  <w:color w:val="0000FF"/>
                  <w:w w:val="76"/>
                </w:rPr>
                <w:t>82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Maintenance of Insurance</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5">
              <w:r>
                <w:rPr>
                  <w:rFonts w:ascii="Arial" w:cs="Arial" w:eastAsia="Arial" w:hAnsi="Arial"/>
                  <w:sz w:val="14"/>
                  <w:szCs w:val="14"/>
                  <w:color w:val="0000FF"/>
                  <w:w w:val="76"/>
                </w:rPr>
                <w:t>82</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6.08</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Compliance with Laws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6">
              <w:r>
                <w:rPr>
                  <w:rFonts w:ascii="Arial" w:cs="Arial" w:eastAsia="Arial" w:hAnsi="Arial"/>
                  <w:sz w:val="14"/>
                  <w:szCs w:val="14"/>
                  <w:color w:val="0000FF"/>
                  <w:w w:val="76"/>
                </w:rPr>
                <w:t>83</w:t>
              </w:r>
            </w:hyperlink>
          </w:p>
        </w:tc>
      </w:tr>
      <w:tr>
        <w:trPr>
          <w:trHeight w:val="155"/>
        </w:trPr>
        <w:tc>
          <w:tcPr>
            <w:tcW w:w="23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6.09</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Books and Records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6">
              <w:r>
                <w:rPr>
                  <w:rFonts w:ascii="Arial" w:cs="Arial" w:eastAsia="Arial" w:hAnsi="Arial"/>
                  <w:sz w:val="14"/>
                  <w:szCs w:val="14"/>
                  <w:color w:val="0000FF"/>
                  <w:w w:val="76"/>
                </w:rPr>
                <w:t>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60"/>
          </w:cols>
          <w:pgMar w:left="320" w:top="129"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jc w:val="right"/>
              <w:ind w:right="171"/>
              <w:spacing w:after="0"/>
              <w:rPr>
                <w:sz w:val="20"/>
                <w:szCs w:val="20"/>
                <w:color w:val="auto"/>
              </w:rPr>
            </w:pPr>
            <w:r>
              <w:rPr>
                <w:rFonts w:ascii="Arial" w:cs="Arial" w:eastAsia="Arial" w:hAnsi="Arial"/>
                <w:sz w:val="14"/>
                <w:szCs w:val="14"/>
                <w:color w:val="auto"/>
              </w:rPr>
              <w:t>6.10</w:t>
            </w:r>
          </w:p>
        </w:tc>
        <w:tc>
          <w:tcPr>
            <w:tcW w:w="7920" w:type="dxa"/>
            <w:vAlign w:val="bottom"/>
          </w:tcPr>
          <w:p>
            <w:pPr>
              <w:ind w:left="80"/>
              <w:spacing w:after="0"/>
              <w:rPr>
                <w:sz w:val="20"/>
                <w:szCs w:val="20"/>
                <w:color w:val="auto"/>
              </w:rPr>
            </w:pPr>
            <w:r>
              <w:rPr>
                <w:rFonts w:ascii="Arial" w:cs="Arial" w:eastAsia="Arial" w:hAnsi="Arial"/>
                <w:sz w:val="14"/>
                <w:szCs w:val="14"/>
                <w:color w:val="auto"/>
              </w:rPr>
              <w:t>Inspection Rights</w:t>
            </w: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66">
              <w:r>
                <w:rPr>
                  <w:rFonts w:ascii="Arial" w:cs="Arial" w:eastAsia="Arial" w:hAnsi="Arial"/>
                  <w:sz w:val="14"/>
                  <w:szCs w:val="14"/>
                  <w:color w:val="0000FF"/>
                  <w:w w:val="76"/>
                </w:rPr>
                <w:t>84</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6.11</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Use of Proceeds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7">
              <w:r>
                <w:rPr>
                  <w:rFonts w:ascii="Arial" w:cs="Arial" w:eastAsia="Arial" w:hAnsi="Arial"/>
                  <w:sz w:val="14"/>
                  <w:szCs w:val="14"/>
                  <w:color w:val="0000FF"/>
                  <w:w w:val="76"/>
                </w:rPr>
                <w:t>84</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6.12</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Covenant to Guarantee Obligations and Give Security</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7">
              <w:r>
                <w:rPr>
                  <w:rFonts w:ascii="Arial" w:cs="Arial" w:eastAsia="Arial" w:hAnsi="Arial"/>
                  <w:sz w:val="14"/>
                  <w:szCs w:val="14"/>
                  <w:color w:val="0000FF"/>
                  <w:w w:val="76"/>
                </w:rPr>
                <w:t>84</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6.13</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Compliance with Environmental Laws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6.14</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6.15</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Further Assurances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6.16</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Compliance with Terms of Leaseholds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6.17</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6.18</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Information Regarding Collateral</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6.19</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Material Contracts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69">
              <w:r>
                <w:rPr>
                  <w:rFonts w:ascii="Arial" w:cs="Arial" w:eastAsia="Arial" w:hAnsi="Arial"/>
                  <w:sz w:val="14"/>
                  <w:szCs w:val="14"/>
                  <w:color w:val="0000FF"/>
                  <w:w w:val="76"/>
                </w:rPr>
                <w:t>87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6.20</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Cash Collateral Accounts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0">
              <w:r>
                <w:rPr>
                  <w:rFonts w:ascii="Arial" w:cs="Arial" w:eastAsia="Arial" w:hAnsi="Arial"/>
                  <w:sz w:val="14"/>
                  <w:szCs w:val="14"/>
                  <w:color w:val="0000FF"/>
                  <w:w w:val="76"/>
                </w:rPr>
                <w:t>87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6.21</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Anti-Corruption Laws; Sanctions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0">
              <w:r>
                <w:rPr>
                  <w:rFonts w:ascii="Arial" w:cs="Arial" w:eastAsia="Arial" w:hAnsi="Arial"/>
                  <w:sz w:val="14"/>
                  <w:szCs w:val="14"/>
                  <w:color w:val="0000FF"/>
                  <w:w w:val="76"/>
                </w:rPr>
                <w:t>87</w:t>
              </w:r>
            </w:hyperlink>
          </w:p>
        </w:tc>
      </w:tr>
      <w:tr>
        <w:trPr>
          <w:trHeight w:val="362"/>
        </w:trPr>
        <w:tc>
          <w:tcPr>
            <w:tcW w:w="2440" w:type="dxa"/>
            <w:vAlign w:val="bottom"/>
          </w:tcPr>
          <w:p>
            <w:pPr>
              <w:spacing w:after="0"/>
              <w:rPr>
                <w:sz w:val="20"/>
                <w:szCs w:val="20"/>
                <w:color w:val="auto"/>
              </w:rPr>
            </w:pPr>
            <w:r>
              <w:rPr>
                <w:rFonts w:ascii="Arial" w:cs="Arial" w:eastAsia="Arial" w:hAnsi="Arial"/>
                <w:sz w:val="14"/>
                <w:szCs w:val="14"/>
                <w:color w:val="auto"/>
                <w:w w:val="98"/>
              </w:rPr>
              <w:t>ARTICLE VII NEGATIVE COVENANTS</w:t>
            </w:r>
          </w:p>
        </w:tc>
        <w:tc>
          <w:tcPr>
            <w:tcW w:w="792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70">
              <w:r>
                <w:rPr>
                  <w:rFonts w:ascii="Arial" w:cs="Arial" w:eastAsia="Arial" w:hAnsi="Arial"/>
                  <w:sz w:val="14"/>
                  <w:szCs w:val="14"/>
                  <w:color w:val="0000FF"/>
                  <w:w w:val="76"/>
                </w:rPr>
                <w:t>87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7.01</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Liens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0">
              <w:r>
                <w:rPr>
                  <w:rFonts w:ascii="Arial" w:cs="Arial" w:eastAsia="Arial" w:hAnsi="Arial"/>
                  <w:sz w:val="14"/>
                  <w:szCs w:val="14"/>
                  <w:color w:val="0000FF"/>
                  <w:w w:val="76"/>
                </w:rPr>
                <w:t>87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7.02</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Indebtedness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1">
              <w:r>
                <w:rPr>
                  <w:rFonts w:ascii="Arial" w:cs="Arial" w:eastAsia="Arial" w:hAnsi="Arial"/>
                  <w:sz w:val="14"/>
                  <w:szCs w:val="14"/>
                  <w:color w:val="0000FF"/>
                  <w:w w:val="76"/>
                </w:rPr>
                <w:t>88</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7.03</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Investments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3">
              <w:r>
                <w:rPr>
                  <w:rFonts w:ascii="Arial" w:cs="Arial" w:eastAsia="Arial" w:hAnsi="Arial"/>
                  <w:sz w:val="14"/>
                  <w:szCs w:val="14"/>
                  <w:color w:val="0000FF"/>
                  <w:w w:val="76"/>
                </w:rPr>
                <w:t>90</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7.04</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Fundamental Changes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5">
              <w:r>
                <w:rPr>
                  <w:rFonts w:ascii="Arial" w:cs="Arial" w:eastAsia="Arial" w:hAnsi="Arial"/>
                  <w:sz w:val="14"/>
                  <w:szCs w:val="14"/>
                  <w:color w:val="0000FF"/>
                  <w:w w:val="76"/>
                </w:rPr>
                <w:t>92</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7.05</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Dispositions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5">
              <w:r>
                <w:rPr>
                  <w:rFonts w:ascii="Arial" w:cs="Arial" w:eastAsia="Arial" w:hAnsi="Arial"/>
                  <w:sz w:val="14"/>
                  <w:szCs w:val="14"/>
                  <w:color w:val="0000FF"/>
                  <w:w w:val="76"/>
                </w:rPr>
                <w:t>92</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7.06</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Restricted Payments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6">
              <w:r>
                <w:rPr>
                  <w:rFonts w:ascii="Arial" w:cs="Arial" w:eastAsia="Arial" w:hAnsi="Arial"/>
                  <w:sz w:val="14"/>
                  <w:szCs w:val="14"/>
                  <w:color w:val="0000FF"/>
                  <w:w w:val="76"/>
                </w:rPr>
                <w:t>93</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7.07</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Change in Nature of Business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7">
              <w:r>
                <w:rPr>
                  <w:rFonts w:ascii="Arial" w:cs="Arial" w:eastAsia="Arial" w:hAnsi="Arial"/>
                  <w:sz w:val="14"/>
                  <w:szCs w:val="14"/>
                  <w:color w:val="0000FF"/>
                  <w:w w:val="76"/>
                </w:rPr>
                <w:t>94</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7.08</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Transactions with Affiliates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7">
              <w:r>
                <w:rPr>
                  <w:rFonts w:ascii="Arial" w:cs="Arial" w:eastAsia="Arial" w:hAnsi="Arial"/>
                  <w:sz w:val="14"/>
                  <w:szCs w:val="14"/>
                  <w:color w:val="0000FF"/>
                  <w:w w:val="76"/>
                </w:rPr>
                <w:t>95</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7.09</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Burdensome Agreements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8">
              <w:r>
                <w:rPr>
                  <w:rFonts w:ascii="Arial" w:cs="Arial" w:eastAsia="Arial" w:hAnsi="Arial"/>
                  <w:sz w:val="14"/>
                  <w:szCs w:val="14"/>
                  <w:color w:val="0000FF"/>
                  <w:w w:val="76"/>
                </w:rPr>
                <w:t>95</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7.10</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Use of Proceeds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8">
              <w:r>
                <w:rPr>
                  <w:rFonts w:ascii="Arial" w:cs="Arial" w:eastAsia="Arial" w:hAnsi="Arial"/>
                  <w:sz w:val="14"/>
                  <w:szCs w:val="14"/>
                  <w:color w:val="0000FF"/>
                  <w:w w:val="76"/>
                </w:rPr>
                <w:t>95</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7.11</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Financial Covenants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7.12</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7.13</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Sanctions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7.14</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Amendments of Organization Documents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7.15</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Accounting Changes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7.16</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Prepayments, Etc. of Indebtedness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7.17</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7.18</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Anti-Corruption Laws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7.19</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[Reserved]</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7.20</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Certain Transactions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79">
              <w:r>
                <w:rPr>
                  <w:rFonts w:ascii="Arial" w:cs="Arial" w:eastAsia="Arial" w:hAnsi="Arial"/>
                  <w:sz w:val="14"/>
                  <w:szCs w:val="14"/>
                  <w:color w:val="0000FF"/>
                  <w:w w:val="76"/>
                </w:rPr>
                <w:t>96</w:t>
              </w:r>
            </w:hyperlink>
          </w:p>
        </w:tc>
      </w:tr>
      <w:tr>
        <w:trPr>
          <w:trHeight w:val="362"/>
        </w:trPr>
        <w:tc>
          <w:tcPr>
            <w:tcW w:w="10360" w:type="dxa"/>
            <w:vAlign w:val="bottom"/>
            <w:gridSpan w:val="2"/>
          </w:tcPr>
          <w:p>
            <w:pPr>
              <w:spacing w:after="0"/>
              <w:rPr>
                <w:sz w:val="20"/>
                <w:szCs w:val="20"/>
                <w:color w:val="auto"/>
              </w:rPr>
            </w:pPr>
            <w:r>
              <w:rPr>
                <w:rFonts w:ascii="Arial" w:cs="Arial" w:eastAsia="Arial" w:hAnsi="Arial"/>
                <w:sz w:val="14"/>
                <w:szCs w:val="14"/>
                <w:color w:val="auto"/>
              </w:rPr>
              <w:t>ARTICLE VIII EVENTS OF DEFAULT AND REMEDIES</w:t>
            </w: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80">
              <w:r>
                <w:rPr>
                  <w:rFonts w:ascii="Arial" w:cs="Arial" w:eastAsia="Arial" w:hAnsi="Arial"/>
                  <w:sz w:val="14"/>
                  <w:szCs w:val="14"/>
                  <w:color w:val="0000FF"/>
                  <w:w w:val="76"/>
                </w:rPr>
                <w:t>97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8.01</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Events of Default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0">
              <w:r>
                <w:rPr>
                  <w:rFonts w:ascii="Arial" w:cs="Arial" w:eastAsia="Arial" w:hAnsi="Arial"/>
                  <w:sz w:val="14"/>
                  <w:szCs w:val="14"/>
                  <w:color w:val="0000FF"/>
                  <w:w w:val="76"/>
                </w:rPr>
                <w:t>97</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8.02</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Remedies upon Event of Default</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1">
              <w:r>
                <w:rPr>
                  <w:rFonts w:ascii="Arial" w:cs="Arial" w:eastAsia="Arial" w:hAnsi="Arial"/>
                  <w:sz w:val="14"/>
                  <w:szCs w:val="14"/>
                  <w:color w:val="0000FF"/>
                  <w:w w:val="76"/>
                </w:rPr>
                <w:t>98</w:t>
              </w:r>
            </w:hyperlink>
          </w:p>
        </w:tc>
      </w:tr>
      <w:tr>
        <w:trPr>
          <w:trHeight w:val="155"/>
        </w:trPr>
        <w:tc>
          <w:tcPr>
            <w:tcW w:w="2440" w:type="dxa"/>
            <w:vAlign w:val="bottom"/>
          </w:tcPr>
          <w:p>
            <w:pPr>
              <w:jc w:val="right"/>
              <w:ind w:right="171"/>
              <w:spacing w:after="0" w:line="155" w:lineRule="exact"/>
              <w:rPr>
                <w:sz w:val="20"/>
                <w:szCs w:val="20"/>
                <w:color w:val="auto"/>
              </w:rPr>
            </w:pPr>
            <w:r>
              <w:rPr>
                <w:rFonts w:ascii="Arial" w:cs="Arial" w:eastAsia="Arial" w:hAnsi="Arial"/>
                <w:sz w:val="14"/>
                <w:szCs w:val="14"/>
                <w:color w:val="auto"/>
              </w:rPr>
              <w:t>8.03</w:t>
            </w:r>
          </w:p>
        </w:tc>
        <w:tc>
          <w:tcPr>
            <w:tcW w:w="7920" w:type="dxa"/>
            <w:vAlign w:val="bottom"/>
          </w:tcPr>
          <w:p>
            <w:pPr>
              <w:ind w:left="80"/>
              <w:spacing w:after="0" w:line="155" w:lineRule="exact"/>
              <w:rPr>
                <w:sz w:val="20"/>
                <w:szCs w:val="20"/>
                <w:color w:val="auto"/>
              </w:rPr>
            </w:pPr>
            <w:r>
              <w:rPr>
                <w:rFonts w:ascii="Arial" w:cs="Arial" w:eastAsia="Arial" w:hAnsi="Arial"/>
                <w:sz w:val="14"/>
                <w:szCs w:val="14"/>
                <w:color w:val="auto"/>
              </w:rPr>
              <w:t>Application of Funds</w:t>
            </w:r>
          </w:p>
        </w:tc>
        <w:tc>
          <w:tcPr>
            <w:tcW w:w="14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2">
              <w:r>
                <w:rPr>
                  <w:rFonts w:ascii="Arial" w:cs="Arial" w:eastAsia="Arial" w:hAnsi="Arial"/>
                  <w:sz w:val="14"/>
                  <w:szCs w:val="14"/>
                  <w:color w:val="0000FF"/>
                  <w:w w:val="76"/>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260"/>
          </w:cols>
          <w:pgMar w:left="320" w:top="129" w:right="31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color w:val="auto"/>
                <w:w w:val="98"/>
              </w:rPr>
              <w:t>ARTICLE IX ADMINISTRATIVE AGENT</w:t>
            </w:r>
          </w:p>
        </w:tc>
        <w:tc>
          <w:tcPr>
            <w:tcW w:w="7880" w:type="dxa"/>
            <w:vAlign w:val="bottom"/>
          </w:tcPr>
          <w:p>
            <w:pPr>
              <w:spacing w:after="0"/>
              <w:rPr>
                <w:sz w:val="14"/>
                <w:szCs w:val="14"/>
                <w:color w:val="auto"/>
              </w:rPr>
            </w:pPr>
          </w:p>
        </w:tc>
        <w:tc>
          <w:tcPr>
            <w:tcW w:w="20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83">
              <w:r>
                <w:rPr>
                  <w:rFonts w:ascii="Arial" w:cs="Arial" w:eastAsia="Arial" w:hAnsi="Arial"/>
                  <w:sz w:val="14"/>
                  <w:szCs w:val="14"/>
                  <w:color w:val="0000FF"/>
                  <w:w w:val="76"/>
                </w:rPr>
                <w:t>100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Appointment and Authority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3">
              <w:r>
                <w:rPr>
                  <w:rFonts w:ascii="Arial" w:cs="Arial" w:eastAsia="Arial" w:hAnsi="Arial"/>
                  <w:sz w:val="14"/>
                  <w:szCs w:val="14"/>
                  <w:color w:val="0000FF"/>
                  <w:w w:val="76"/>
                </w:rPr>
                <w:t>100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9.02</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Rights as a Lender</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3">
              <w:r>
                <w:rPr>
                  <w:rFonts w:ascii="Arial" w:cs="Arial" w:eastAsia="Arial" w:hAnsi="Arial"/>
                  <w:sz w:val="14"/>
                  <w:szCs w:val="14"/>
                  <w:color w:val="0000FF"/>
                  <w:w w:val="76"/>
                </w:rPr>
                <w:t>100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9.03</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Exculpatory Provisions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3">
              <w:r>
                <w:rPr>
                  <w:rFonts w:ascii="Arial" w:cs="Arial" w:eastAsia="Arial" w:hAnsi="Arial"/>
                  <w:sz w:val="14"/>
                  <w:szCs w:val="14"/>
                  <w:color w:val="0000FF"/>
                  <w:w w:val="76"/>
                </w:rPr>
                <w:t>100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9.04</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Reliance by Administrative Agent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4">
              <w:r>
                <w:rPr>
                  <w:rFonts w:ascii="Arial" w:cs="Arial" w:eastAsia="Arial" w:hAnsi="Arial"/>
                  <w:sz w:val="14"/>
                  <w:szCs w:val="14"/>
                  <w:color w:val="0000FF"/>
                  <w:w w:val="76"/>
                </w:rPr>
                <w:t>101</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9.05</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Delegation of Duties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5">
              <w:r>
                <w:rPr>
                  <w:rFonts w:ascii="Arial" w:cs="Arial" w:eastAsia="Arial" w:hAnsi="Arial"/>
                  <w:sz w:val="14"/>
                  <w:szCs w:val="14"/>
                  <w:color w:val="0000FF"/>
                  <w:w w:val="76"/>
                </w:rPr>
                <w:t>102</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9.06</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Resignation of Administrative Agent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5">
              <w:r>
                <w:rPr>
                  <w:rFonts w:ascii="Arial" w:cs="Arial" w:eastAsia="Arial" w:hAnsi="Arial"/>
                  <w:sz w:val="14"/>
                  <w:szCs w:val="14"/>
                  <w:color w:val="0000FF"/>
                  <w:w w:val="76"/>
                </w:rPr>
                <w:t>102</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9.07</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Non-Reliance on the Administrative Agent and the Other Lenders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6">
              <w:r>
                <w:rPr>
                  <w:rFonts w:ascii="Arial" w:cs="Arial" w:eastAsia="Arial" w:hAnsi="Arial"/>
                  <w:sz w:val="14"/>
                  <w:szCs w:val="14"/>
                  <w:color w:val="0000FF"/>
                  <w:w w:val="76"/>
                </w:rPr>
                <w:t>104</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9.08</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[Reserved]</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7">
              <w:r>
                <w:rPr>
                  <w:rFonts w:ascii="Arial" w:cs="Arial" w:eastAsia="Arial" w:hAnsi="Arial"/>
                  <w:sz w:val="14"/>
                  <w:szCs w:val="14"/>
                  <w:color w:val="0000FF"/>
                  <w:w w:val="76"/>
                </w:rPr>
                <w:t>104</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9.09</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Administrative Agent May File Proofs of Claim; Credit Bidding</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7">
              <w:r>
                <w:rPr>
                  <w:rFonts w:ascii="Arial" w:cs="Arial" w:eastAsia="Arial" w:hAnsi="Arial"/>
                  <w:sz w:val="14"/>
                  <w:szCs w:val="14"/>
                  <w:color w:val="0000FF"/>
                  <w:w w:val="76"/>
                </w:rPr>
                <w:t>104</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9.10</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Collateral and Guaranty Matters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8">
              <w:r>
                <w:rPr>
                  <w:rFonts w:ascii="Arial" w:cs="Arial" w:eastAsia="Arial" w:hAnsi="Arial"/>
                  <w:sz w:val="14"/>
                  <w:szCs w:val="14"/>
                  <w:color w:val="0000FF"/>
                  <w:w w:val="76"/>
                </w:rPr>
                <w:t>105</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9.11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Secured Cash Management Agreements and Secured Hedge Agreements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9">
              <w:r>
                <w:rPr>
                  <w:rFonts w:ascii="Arial" w:cs="Arial" w:eastAsia="Arial" w:hAnsi="Arial"/>
                  <w:sz w:val="14"/>
                  <w:szCs w:val="14"/>
                  <w:color w:val="0000FF"/>
                  <w:w w:val="76"/>
                </w:rPr>
                <w:t>106</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9.12</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Certain ERISA Matters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89">
              <w:r>
                <w:rPr>
                  <w:rFonts w:ascii="Arial" w:cs="Arial" w:eastAsia="Arial" w:hAnsi="Arial"/>
                  <w:sz w:val="14"/>
                  <w:szCs w:val="14"/>
                  <w:color w:val="0000FF"/>
                  <w:w w:val="76"/>
                </w:rPr>
                <w:t>106</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9.13</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Recovery of Erroneous Payments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0">
              <w:r>
                <w:rPr>
                  <w:rFonts w:ascii="Arial" w:cs="Arial" w:eastAsia="Arial" w:hAnsi="Arial"/>
                  <w:sz w:val="14"/>
                  <w:szCs w:val="14"/>
                  <w:color w:val="0000FF"/>
                  <w:w w:val="76"/>
                </w:rPr>
                <w:t>107</w:t>
              </w:r>
            </w:hyperlink>
          </w:p>
        </w:tc>
      </w:tr>
      <w:tr>
        <w:trPr>
          <w:trHeight w:val="362"/>
        </w:trPr>
        <w:tc>
          <w:tcPr>
            <w:tcW w:w="2480" w:type="dxa"/>
            <w:vAlign w:val="bottom"/>
          </w:tcPr>
          <w:p>
            <w:pPr>
              <w:spacing w:after="0"/>
              <w:rPr>
                <w:sz w:val="20"/>
                <w:szCs w:val="20"/>
                <w:color w:val="auto"/>
              </w:rPr>
            </w:pPr>
            <w:r>
              <w:rPr>
                <w:rFonts w:ascii="Arial" w:cs="Arial" w:eastAsia="Arial" w:hAnsi="Arial"/>
                <w:sz w:val="14"/>
                <w:szCs w:val="14"/>
                <w:color w:val="auto"/>
                <w:w w:val="99"/>
              </w:rPr>
              <w:t>ARTICLE X CONTINUING GUARANTY</w:t>
            </w:r>
          </w:p>
        </w:tc>
        <w:tc>
          <w:tcPr>
            <w:tcW w:w="788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91">
              <w:r>
                <w:rPr>
                  <w:rFonts w:ascii="Arial" w:cs="Arial" w:eastAsia="Arial" w:hAnsi="Arial"/>
                  <w:sz w:val="14"/>
                  <w:szCs w:val="14"/>
                  <w:color w:val="0000FF"/>
                  <w:w w:val="76"/>
                </w:rPr>
                <w:t>108</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Guaranty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1">
              <w:r>
                <w:rPr>
                  <w:rFonts w:ascii="Arial" w:cs="Arial" w:eastAsia="Arial" w:hAnsi="Arial"/>
                  <w:sz w:val="14"/>
                  <w:szCs w:val="14"/>
                  <w:color w:val="0000FF"/>
                  <w:w w:val="76"/>
                </w:rPr>
                <w:t>108</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10.02</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Rights of Lenders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1">
              <w:r>
                <w:rPr>
                  <w:rFonts w:ascii="Arial" w:cs="Arial" w:eastAsia="Arial" w:hAnsi="Arial"/>
                  <w:sz w:val="14"/>
                  <w:szCs w:val="14"/>
                  <w:color w:val="0000FF"/>
                  <w:w w:val="76"/>
                </w:rPr>
                <w:t>108</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10.03</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Certain Waivers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1">
              <w:r>
                <w:rPr>
                  <w:rFonts w:ascii="Arial" w:cs="Arial" w:eastAsia="Arial" w:hAnsi="Arial"/>
                  <w:sz w:val="14"/>
                  <w:szCs w:val="14"/>
                  <w:color w:val="0000FF"/>
                  <w:w w:val="76"/>
                </w:rPr>
                <w:t>108</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10.04</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Obligations Independent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1">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10.05</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Subrogation</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10.06</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Termination; Reinstatement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10.07</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Subordination</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10.08</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Stay of Acceleration</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10.09</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Condition of Borrower</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109</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10.10</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Limitation on Guaranty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2">
              <w:r>
                <w:rPr>
                  <w:rFonts w:ascii="Arial" w:cs="Arial" w:eastAsia="Arial" w:hAnsi="Arial"/>
                  <w:sz w:val="14"/>
                  <w:szCs w:val="14"/>
                  <w:color w:val="0000FF"/>
                  <w:w w:val="76"/>
                </w:rPr>
                <w:t>110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10.11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Keepwell</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3">
              <w:r>
                <w:rPr>
                  <w:rFonts w:ascii="Arial" w:cs="Arial" w:eastAsia="Arial" w:hAnsi="Arial"/>
                  <w:sz w:val="14"/>
                  <w:szCs w:val="14"/>
                  <w:color w:val="0000FF"/>
                  <w:w w:val="76"/>
                </w:rPr>
                <w:t>110</w:t>
              </w:r>
            </w:hyperlink>
          </w:p>
        </w:tc>
      </w:tr>
      <w:tr>
        <w:trPr>
          <w:trHeight w:val="362"/>
        </w:trPr>
        <w:tc>
          <w:tcPr>
            <w:tcW w:w="2480" w:type="dxa"/>
            <w:vAlign w:val="bottom"/>
          </w:tcPr>
          <w:p>
            <w:pPr>
              <w:spacing w:after="0"/>
              <w:rPr>
                <w:sz w:val="20"/>
                <w:szCs w:val="20"/>
                <w:color w:val="auto"/>
              </w:rPr>
            </w:pPr>
            <w:r>
              <w:rPr>
                <w:rFonts w:ascii="Arial" w:cs="Arial" w:eastAsia="Arial" w:hAnsi="Arial"/>
                <w:sz w:val="14"/>
                <w:szCs w:val="14"/>
                <w:color w:val="auto"/>
              </w:rPr>
              <w:t>ARTICLE XI MISCELLANEOUS</w:t>
            </w:r>
          </w:p>
        </w:tc>
        <w:tc>
          <w:tcPr>
            <w:tcW w:w="788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93">
              <w:r>
                <w:rPr>
                  <w:rFonts w:ascii="Arial" w:cs="Arial" w:eastAsia="Arial" w:hAnsi="Arial"/>
                  <w:sz w:val="14"/>
                  <w:szCs w:val="14"/>
                  <w:color w:val="0000FF"/>
                  <w:w w:val="76"/>
                </w:rPr>
                <w:t>110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Amendments, Etc</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3">
              <w:r>
                <w:rPr>
                  <w:rFonts w:ascii="Arial" w:cs="Arial" w:eastAsia="Arial" w:hAnsi="Arial"/>
                  <w:sz w:val="14"/>
                  <w:szCs w:val="14"/>
                  <w:color w:val="0000FF"/>
                  <w:w w:val="76"/>
                </w:rPr>
                <w:t>110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11.02</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Notices; Effectiveness; Electronic Communications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4">
              <w:r>
                <w:rPr>
                  <w:rFonts w:ascii="Arial" w:cs="Arial" w:eastAsia="Arial" w:hAnsi="Arial"/>
                  <w:sz w:val="14"/>
                  <w:szCs w:val="14"/>
                  <w:color w:val="0000FF"/>
                  <w:w w:val="76"/>
                </w:rPr>
                <w:t>111</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11.03</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No Waiver; Cumulative Remedies; Enforcement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6">
              <w:r>
                <w:rPr>
                  <w:rFonts w:ascii="Arial" w:cs="Arial" w:eastAsia="Arial" w:hAnsi="Arial"/>
                  <w:sz w:val="14"/>
                  <w:szCs w:val="14"/>
                  <w:color w:val="0000FF"/>
                  <w:w w:val="76"/>
                </w:rPr>
                <w:t>113</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11.04</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Expenses; Indemnity; Damage Waiver</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7">
              <w:r>
                <w:rPr>
                  <w:rFonts w:ascii="Arial" w:cs="Arial" w:eastAsia="Arial" w:hAnsi="Arial"/>
                  <w:sz w:val="14"/>
                  <w:szCs w:val="14"/>
                  <w:color w:val="0000FF"/>
                  <w:w w:val="76"/>
                </w:rPr>
                <w:t>114</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11.05</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Payments Set Aside</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9">
              <w:r>
                <w:rPr>
                  <w:rFonts w:ascii="Arial" w:cs="Arial" w:eastAsia="Arial" w:hAnsi="Arial"/>
                  <w:sz w:val="14"/>
                  <w:szCs w:val="14"/>
                  <w:color w:val="0000FF"/>
                  <w:w w:val="76"/>
                </w:rPr>
                <w:t>116</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11.06</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Successors and Assigns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199">
              <w:r>
                <w:rPr>
                  <w:rFonts w:ascii="Arial" w:cs="Arial" w:eastAsia="Arial" w:hAnsi="Arial"/>
                  <w:sz w:val="14"/>
                  <w:szCs w:val="14"/>
                  <w:color w:val="0000FF"/>
                  <w:w w:val="76"/>
                </w:rPr>
                <w:t>117</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11.07</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Treatment of Certain Information; Confidentiality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3">
              <w:r>
                <w:rPr>
                  <w:rFonts w:ascii="Arial" w:cs="Arial" w:eastAsia="Arial" w:hAnsi="Arial"/>
                  <w:sz w:val="14"/>
                  <w:szCs w:val="14"/>
                  <w:color w:val="0000FF"/>
                  <w:w w:val="76"/>
                </w:rPr>
                <w:t>120</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11.08</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Right of Setoff</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4">
              <w:r>
                <w:rPr>
                  <w:rFonts w:ascii="Arial" w:cs="Arial" w:eastAsia="Arial" w:hAnsi="Arial"/>
                  <w:sz w:val="14"/>
                  <w:szCs w:val="14"/>
                  <w:color w:val="0000FF"/>
                  <w:w w:val="76"/>
                </w:rPr>
                <w:t>121</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11.09</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Interest Rate Limitation</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4">
              <w:r>
                <w:rPr>
                  <w:rFonts w:ascii="Arial" w:cs="Arial" w:eastAsia="Arial" w:hAnsi="Arial"/>
                  <w:sz w:val="14"/>
                  <w:szCs w:val="14"/>
                  <w:color w:val="0000FF"/>
                  <w:w w:val="76"/>
                </w:rPr>
                <w:t>121</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11.10</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Integration; Effectiveness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4">
              <w:r>
                <w:rPr>
                  <w:rFonts w:ascii="Arial" w:cs="Arial" w:eastAsia="Arial" w:hAnsi="Arial"/>
                  <w:sz w:val="14"/>
                  <w:szCs w:val="14"/>
                  <w:color w:val="0000FF"/>
                  <w:w w:val="76"/>
                </w:rPr>
                <w:t>122</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11.11</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Survival of Representations and Warranties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5">
              <w:r>
                <w:rPr>
                  <w:rFonts w:ascii="Arial" w:cs="Arial" w:eastAsia="Arial" w:hAnsi="Arial"/>
                  <w:sz w:val="14"/>
                  <w:szCs w:val="14"/>
                  <w:color w:val="0000FF"/>
                  <w:w w:val="76"/>
                </w:rPr>
                <w:t>122</w:t>
              </w:r>
            </w:hyperlink>
          </w:p>
        </w:tc>
      </w:tr>
      <w:tr>
        <w:trPr>
          <w:trHeight w:val="155"/>
        </w:trPr>
        <w:tc>
          <w:tcPr>
            <w:tcW w:w="248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11.12</w:t>
            </w:r>
          </w:p>
        </w:tc>
        <w:tc>
          <w:tcPr>
            <w:tcW w:w="7880" w:type="dxa"/>
            <w:vAlign w:val="bottom"/>
          </w:tcPr>
          <w:p>
            <w:pPr>
              <w:ind w:left="40"/>
              <w:spacing w:after="0" w:line="155" w:lineRule="exact"/>
              <w:rPr>
                <w:sz w:val="20"/>
                <w:szCs w:val="20"/>
                <w:color w:val="auto"/>
              </w:rPr>
            </w:pPr>
            <w:r>
              <w:rPr>
                <w:rFonts w:ascii="Arial" w:cs="Arial" w:eastAsia="Arial" w:hAnsi="Arial"/>
                <w:sz w:val="14"/>
                <w:szCs w:val="14"/>
                <w:color w:val="auto"/>
              </w:rPr>
              <w:t>Severability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5">
              <w:r>
                <w:rPr>
                  <w:rFonts w:ascii="Arial" w:cs="Arial" w:eastAsia="Arial" w:hAnsi="Arial"/>
                  <w:sz w:val="14"/>
                  <w:szCs w:val="14"/>
                  <w:color w:val="0000FF"/>
                  <w:w w:val="76"/>
                </w:rPr>
                <w:t>122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260"/>
          </w:cols>
          <w:pgMar w:left="320" w:top="129" w:right="31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60" w:type="dxa"/>
            <w:vAlign w:val="bottom"/>
          </w:tcPr>
          <w:p>
            <w:pPr>
              <w:jc w:val="right"/>
              <w:ind w:right="91"/>
              <w:spacing w:after="0"/>
              <w:rPr>
                <w:sz w:val="20"/>
                <w:szCs w:val="20"/>
                <w:color w:val="auto"/>
              </w:rPr>
            </w:pPr>
            <w:r>
              <w:rPr>
                <w:rFonts w:ascii="Arial" w:cs="Arial" w:eastAsia="Arial" w:hAnsi="Arial"/>
                <w:sz w:val="14"/>
                <w:szCs w:val="14"/>
                <w:color w:val="auto"/>
                <w:w w:val="79"/>
              </w:rPr>
              <w:t>11.13</w:t>
            </w:r>
          </w:p>
        </w:tc>
        <w:tc>
          <w:tcPr>
            <w:tcW w:w="8000" w:type="dxa"/>
            <w:vAlign w:val="bottom"/>
          </w:tcPr>
          <w:p>
            <w:pPr>
              <w:ind w:left="160"/>
              <w:spacing w:after="0"/>
              <w:rPr>
                <w:sz w:val="20"/>
                <w:szCs w:val="20"/>
                <w:color w:val="auto"/>
              </w:rPr>
            </w:pPr>
            <w:r>
              <w:rPr>
                <w:rFonts w:ascii="Arial" w:cs="Arial" w:eastAsia="Arial" w:hAnsi="Arial"/>
                <w:sz w:val="14"/>
                <w:szCs w:val="14"/>
                <w:color w:val="auto"/>
              </w:rPr>
              <w:t>Replacement of Lenders</w:t>
            </w:r>
          </w:p>
        </w:tc>
        <w:tc>
          <w:tcPr>
            <w:tcW w:w="200" w:type="dxa"/>
            <w:vAlign w:val="bottom"/>
            <w:tcBorders>
              <w:bottom w:val="single" w:sz="8" w:color="0000FF"/>
            </w:tcBorders>
          </w:tcPr>
          <w:p>
            <w:pPr>
              <w:jc w:val="right"/>
              <w:spacing w:after="0"/>
              <w:rPr>
                <w:rFonts w:ascii="Arial" w:cs="Arial" w:eastAsia="Arial" w:hAnsi="Arial"/>
                <w:sz w:val="14"/>
                <w:szCs w:val="14"/>
                <w:color w:val="0000FF"/>
                <w:w w:val="76"/>
              </w:rPr>
            </w:pPr>
            <w:hyperlink w:anchor="page205">
              <w:r>
                <w:rPr>
                  <w:rFonts w:ascii="Arial" w:cs="Arial" w:eastAsia="Arial" w:hAnsi="Arial"/>
                  <w:sz w:val="14"/>
                  <w:szCs w:val="14"/>
                  <w:color w:val="0000FF"/>
                  <w:w w:val="76"/>
                </w:rPr>
                <w:t>122</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11.14</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Governing Law; Jurisdiction; Etc.</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6">
              <w:r>
                <w:rPr>
                  <w:rFonts w:ascii="Arial" w:cs="Arial" w:eastAsia="Arial" w:hAnsi="Arial"/>
                  <w:sz w:val="14"/>
                  <w:szCs w:val="14"/>
                  <w:color w:val="0000FF"/>
                  <w:w w:val="76"/>
                </w:rPr>
                <w:t>123</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11.15</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WAIVER OF JURY TRIAL</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7">
              <w:r>
                <w:rPr>
                  <w:rFonts w:ascii="Arial" w:cs="Arial" w:eastAsia="Arial" w:hAnsi="Arial"/>
                  <w:sz w:val="14"/>
                  <w:szCs w:val="14"/>
                  <w:color w:val="0000FF"/>
                  <w:w w:val="76"/>
                </w:rPr>
                <w:t>124</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11.16</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No Advisory or Fiduciary Responsibility</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7">
              <w:r>
                <w:rPr>
                  <w:rFonts w:ascii="Arial" w:cs="Arial" w:eastAsia="Arial" w:hAnsi="Arial"/>
                  <w:sz w:val="14"/>
                  <w:szCs w:val="14"/>
                  <w:color w:val="0000FF"/>
                  <w:w w:val="76"/>
                </w:rPr>
                <w:t>124</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11.17</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Electronic Execution; Electronic Records; Counterparts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7">
              <w:r>
                <w:rPr>
                  <w:rFonts w:ascii="Arial" w:cs="Arial" w:eastAsia="Arial" w:hAnsi="Arial"/>
                  <w:sz w:val="14"/>
                  <w:szCs w:val="14"/>
                  <w:color w:val="0000FF"/>
                  <w:w w:val="76"/>
                </w:rPr>
                <w:t>125</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11.18</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USA PATRIOT Act</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8">
              <w:r>
                <w:rPr>
                  <w:rFonts w:ascii="Arial" w:cs="Arial" w:eastAsia="Arial" w:hAnsi="Arial"/>
                  <w:sz w:val="14"/>
                  <w:szCs w:val="14"/>
                  <w:color w:val="0000FF"/>
                  <w:w w:val="76"/>
                </w:rPr>
                <w:t>126</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11.19</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Acknowledgement and Consent to Bail-In of Affected Financial Institutions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9">
              <w:r>
                <w:rPr>
                  <w:rFonts w:ascii="Arial" w:cs="Arial" w:eastAsia="Arial" w:hAnsi="Arial"/>
                  <w:sz w:val="14"/>
                  <w:szCs w:val="14"/>
                  <w:color w:val="0000FF"/>
                  <w:w w:val="76"/>
                </w:rPr>
                <w:t>126</w:t>
              </w:r>
            </w:hyperlink>
          </w:p>
        </w:tc>
      </w:tr>
      <w:tr>
        <w:trPr>
          <w:trHeight w:val="155"/>
        </w:trPr>
        <w:tc>
          <w:tcPr>
            <w:tcW w:w="460" w:type="dxa"/>
            <w:vAlign w:val="bottom"/>
          </w:tcPr>
          <w:p>
            <w:pPr>
              <w:jc w:val="right"/>
              <w:ind w:right="91"/>
              <w:spacing w:after="0" w:line="155" w:lineRule="exact"/>
              <w:rPr>
                <w:sz w:val="20"/>
                <w:szCs w:val="20"/>
                <w:color w:val="auto"/>
              </w:rPr>
            </w:pPr>
            <w:r>
              <w:rPr>
                <w:rFonts w:ascii="Arial" w:cs="Arial" w:eastAsia="Arial" w:hAnsi="Arial"/>
                <w:sz w:val="14"/>
                <w:szCs w:val="14"/>
                <w:color w:val="auto"/>
                <w:w w:val="79"/>
              </w:rPr>
              <w:t>11.20</w:t>
            </w:r>
          </w:p>
        </w:tc>
        <w:tc>
          <w:tcPr>
            <w:tcW w:w="8000" w:type="dxa"/>
            <w:vAlign w:val="bottom"/>
          </w:tcPr>
          <w:p>
            <w:pPr>
              <w:ind w:left="160"/>
              <w:spacing w:after="0" w:line="155" w:lineRule="exact"/>
              <w:rPr>
                <w:sz w:val="20"/>
                <w:szCs w:val="20"/>
                <w:color w:val="auto"/>
              </w:rPr>
            </w:pPr>
            <w:r>
              <w:rPr>
                <w:rFonts w:ascii="Arial" w:cs="Arial" w:eastAsia="Arial" w:hAnsi="Arial"/>
                <w:sz w:val="14"/>
                <w:szCs w:val="14"/>
                <w:color w:val="auto"/>
              </w:rPr>
              <w:t>Acknowledgement Regarding Any Supported QFCs</w:t>
            </w:r>
          </w:p>
        </w:tc>
        <w:tc>
          <w:tcPr>
            <w:tcW w:w="200" w:type="dxa"/>
            <w:vAlign w:val="bottom"/>
            <w:tcBorders>
              <w:bottom w:val="single" w:sz="8" w:color="0000FF"/>
            </w:tcBorders>
          </w:tcPr>
          <w:p>
            <w:pPr>
              <w:jc w:val="right"/>
              <w:spacing w:after="0" w:line="155" w:lineRule="exact"/>
              <w:rPr>
                <w:rFonts w:ascii="Arial" w:cs="Arial" w:eastAsia="Arial" w:hAnsi="Arial"/>
                <w:sz w:val="14"/>
                <w:szCs w:val="14"/>
                <w:color w:val="0000FF"/>
                <w:w w:val="76"/>
              </w:rPr>
            </w:pPr>
            <w:hyperlink w:anchor="page209">
              <w:r>
                <w:rPr>
                  <w:rFonts w:ascii="Arial" w:cs="Arial" w:eastAsia="Arial" w:hAnsi="Arial"/>
                  <w:sz w:val="14"/>
                  <w:szCs w:val="14"/>
                  <w:color w:val="0000FF"/>
                  <w:w w:val="76"/>
                </w:rPr>
                <w:t>126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0140"/>
          </w:cols>
          <w:pgMar w:left="1440" w:top="129"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SCHEDULES</w:t>
      </w:r>
    </w:p>
    <w:p>
      <w:pPr>
        <w:spacing w:after="0" w:line="14" w:lineRule="exact"/>
        <w:rPr>
          <w:sz w:val="20"/>
          <w:szCs w:val="20"/>
          <w:color w:val="auto"/>
        </w:rPr>
      </w:pPr>
    </w:p>
    <w:tbl>
      <w:tblPr>
        <w:tblLayout w:type="fixed"/>
        <w:tblInd w:w="1740" w:type="dxa"/>
        <w:tblCellMar>
          <w:top w:w="0" w:type="dxa"/>
          <w:left w:w="0" w:type="dxa"/>
          <w:bottom w:w="0" w:type="dxa"/>
          <w:right w:w="0" w:type="dxa"/>
        </w:tblCellMar>
      </w:tblPr>
      <w:tr>
        <w:trPr>
          <w:trHeight w:val="174"/>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2.01A</w:t>
            </w:r>
          </w:p>
        </w:tc>
        <w:tc>
          <w:tcPr>
            <w:tcW w:w="3540" w:type="dxa"/>
            <w:vAlign w:val="bottom"/>
          </w:tcPr>
          <w:p>
            <w:pPr>
              <w:ind w:left="160"/>
              <w:spacing w:after="0"/>
              <w:rPr>
                <w:sz w:val="20"/>
                <w:szCs w:val="20"/>
                <w:color w:val="auto"/>
              </w:rPr>
            </w:pPr>
            <w:r>
              <w:rPr>
                <w:rFonts w:ascii="Arial" w:cs="Arial" w:eastAsia="Arial" w:hAnsi="Arial"/>
                <w:sz w:val="14"/>
                <w:szCs w:val="14"/>
                <w:color w:val="auto"/>
              </w:rPr>
              <w:t>Commitments and Applicable Percentages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2.01B</w:t>
            </w:r>
          </w:p>
        </w:tc>
        <w:tc>
          <w:tcPr>
            <w:tcW w:w="3540" w:type="dxa"/>
            <w:vAlign w:val="bottom"/>
          </w:tcPr>
          <w:p>
            <w:pPr>
              <w:ind w:left="160"/>
              <w:spacing w:after="0"/>
              <w:rPr>
                <w:sz w:val="20"/>
                <w:szCs w:val="20"/>
                <w:color w:val="auto"/>
              </w:rPr>
            </w:pPr>
            <w:r>
              <w:rPr>
                <w:rFonts w:ascii="Arial" w:cs="Arial" w:eastAsia="Arial" w:hAnsi="Arial"/>
                <w:sz w:val="14"/>
                <w:szCs w:val="14"/>
                <w:color w:val="auto"/>
              </w:rPr>
              <w:t>Swing Line Commitments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2.01C</w:t>
            </w:r>
          </w:p>
        </w:tc>
        <w:tc>
          <w:tcPr>
            <w:tcW w:w="3540" w:type="dxa"/>
            <w:vAlign w:val="bottom"/>
          </w:tcPr>
          <w:p>
            <w:pPr>
              <w:ind w:left="160"/>
              <w:spacing w:after="0"/>
              <w:rPr>
                <w:sz w:val="20"/>
                <w:szCs w:val="20"/>
                <w:color w:val="auto"/>
              </w:rPr>
            </w:pPr>
            <w:r>
              <w:rPr>
                <w:rFonts w:ascii="Arial" w:cs="Arial" w:eastAsia="Arial" w:hAnsi="Arial"/>
                <w:sz w:val="14"/>
                <w:szCs w:val="14"/>
                <w:color w:val="auto"/>
              </w:rPr>
              <w:t>Letter of Credit Commitments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5.13</w:t>
            </w:r>
          </w:p>
        </w:tc>
        <w:tc>
          <w:tcPr>
            <w:tcW w:w="3540" w:type="dxa"/>
            <w:vAlign w:val="bottom"/>
          </w:tcPr>
          <w:p>
            <w:pPr>
              <w:ind w:left="160"/>
              <w:spacing w:after="0"/>
              <w:rPr>
                <w:sz w:val="20"/>
                <w:szCs w:val="20"/>
                <w:color w:val="auto"/>
              </w:rPr>
            </w:pPr>
            <w:r>
              <w:rPr>
                <w:rFonts w:ascii="Arial" w:cs="Arial" w:eastAsia="Arial" w:hAnsi="Arial"/>
                <w:sz w:val="14"/>
                <w:szCs w:val="14"/>
                <w:color w:val="auto"/>
              </w:rPr>
              <w:t>Subsidiaries and Other Equity Investments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6.12</w:t>
            </w:r>
          </w:p>
        </w:tc>
        <w:tc>
          <w:tcPr>
            <w:tcW w:w="3540" w:type="dxa"/>
            <w:vAlign w:val="bottom"/>
          </w:tcPr>
          <w:p>
            <w:pPr>
              <w:ind w:left="160"/>
              <w:spacing w:after="0"/>
              <w:rPr>
                <w:sz w:val="20"/>
                <w:szCs w:val="20"/>
                <w:color w:val="auto"/>
              </w:rPr>
            </w:pPr>
            <w:r>
              <w:rPr>
                <w:rFonts w:ascii="Arial" w:cs="Arial" w:eastAsia="Arial" w:hAnsi="Arial"/>
                <w:sz w:val="14"/>
                <w:szCs w:val="14"/>
                <w:color w:val="auto"/>
              </w:rPr>
              <w:t>Guarantors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7.01</w:t>
            </w:r>
          </w:p>
        </w:tc>
        <w:tc>
          <w:tcPr>
            <w:tcW w:w="3540" w:type="dxa"/>
            <w:vAlign w:val="bottom"/>
          </w:tcPr>
          <w:p>
            <w:pPr>
              <w:ind w:left="160"/>
              <w:spacing w:after="0"/>
              <w:rPr>
                <w:sz w:val="20"/>
                <w:szCs w:val="20"/>
                <w:color w:val="auto"/>
              </w:rPr>
            </w:pPr>
            <w:r>
              <w:rPr>
                <w:rFonts w:ascii="Arial" w:cs="Arial" w:eastAsia="Arial" w:hAnsi="Arial"/>
                <w:sz w:val="14"/>
                <w:szCs w:val="14"/>
                <w:color w:val="auto"/>
              </w:rPr>
              <w:t>Existing Liens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7.02</w:t>
            </w:r>
          </w:p>
        </w:tc>
        <w:tc>
          <w:tcPr>
            <w:tcW w:w="3540" w:type="dxa"/>
            <w:vAlign w:val="bottom"/>
          </w:tcPr>
          <w:p>
            <w:pPr>
              <w:ind w:left="160"/>
              <w:spacing w:after="0"/>
              <w:rPr>
                <w:sz w:val="20"/>
                <w:szCs w:val="20"/>
                <w:color w:val="auto"/>
              </w:rPr>
            </w:pPr>
            <w:r>
              <w:rPr>
                <w:rFonts w:ascii="Arial" w:cs="Arial" w:eastAsia="Arial" w:hAnsi="Arial"/>
                <w:sz w:val="14"/>
                <w:szCs w:val="14"/>
                <w:color w:val="auto"/>
              </w:rPr>
              <w:t>Existing Indebtedness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rPr>
              <w:t>7.03</w:t>
            </w:r>
          </w:p>
        </w:tc>
        <w:tc>
          <w:tcPr>
            <w:tcW w:w="3540" w:type="dxa"/>
            <w:vAlign w:val="bottom"/>
          </w:tcPr>
          <w:p>
            <w:pPr>
              <w:ind w:left="160"/>
              <w:spacing w:after="0"/>
              <w:rPr>
                <w:sz w:val="20"/>
                <w:szCs w:val="20"/>
                <w:color w:val="auto"/>
              </w:rPr>
            </w:pPr>
            <w:r>
              <w:rPr>
                <w:rFonts w:ascii="Arial" w:cs="Arial" w:eastAsia="Arial" w:hAnsi="Arial"/>
                <w:sz w:val="14"/>
                <w:szCs w:val="14"/>
                <w:color w:val="auto"/>
              </w:rPr>
              <w:t>Existing Investments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w w:val="84"/>
              </w:rPr>
              <w:t>11.02(a)</w:t>
            </w:r>
          </w:p>
        </w:tc>
        <w:tc>
          <w:tcPr>
            <w:tcW w:w="3540" w:type="dxa"/>
            <w:vAlign w:val="bottom"/>
          </w:tcPr>
          <w:p>
            <w:pPr>
              <w:ind w:left="160"/>
              <w:spacing w:after="0"/>
              <w:rPr>
                <w:sz w:val="20"/>
                <w:szCs w:val="20"/>
                <w:color w:val="auto"/>
              </w:rPr>
            </w:pPr>
            <w:r>
              <w:rPr>
                <w:rFonts w:ascii="Arial" w:cs="Arial" w:eastAsia="Arial" w:hAnsi="Arial"/>
                <w:sz w:val="14"/>
                <w:szCs w:val="14"/>
                <w:color w:val="auto"/>
                <w:w w:val="90"/>
              </w:rPr>
              <w:t>Administrative Agent’s Office, Certain Addresses for Notices</w:t>
            </w:r>
          </w:p>
        </w:tc>
      </w:tr>
      <w:tr>
        <w:trPr>
          <w:trHeight w:val="175"/>
        </w:trPr>
        <w:tc>
          <w:tcPr>
            <w:tcW w:w="620" w:type="dxa"/>
            <w:vAlign w:val="bottom"/>
          </w:tcPr>
          <w:p>
            <w:pPr>
              <w:jc w:val="right"/>
              <w:ind w:right="91"/>
              <w:spacing w:after="0"/>
              <w:rPr>
                <w:sz w:val="20"/>
                <w:szCs w:val="20"/>
                <w:color w:val="auto"/>
              </w:rPr>
            </w:pPr>
            <w:r>
              <w:rPr>
                <w:rFonts w:ascii="Arial" w:cs="Arial" w:eastAsia="Arial" w:hAnsi="Arial"/>
                <w:sz w:val="14"/>
                <w:szCs w:val="14"/>
                <w:color w:val="auto"/>
                <w:w w:val="91"/>
              </w:rPr>
              <w:t>11.02(f)</w:t>
            </w:r>
          </w:p>
        </w:tc>
        <w:tc>
          <w:tcPr>
            <w:tcW w:w="3540" w:type="dxa"/>
            <w:vAlign w:val="bottom"/>
          </w:tcPr>
          <w:p>
            <w:pPr>
              <w:ind w:left="160"/>
              <w:spacing w:after="0"/>
              <w:rPr>
                <w:sz w:val="20"/>
                <w:szCs w:val="20"/>
                <w:color w:val="auto"/>
              </w:rPr>
            </w:pPr>
            <w:r>
              <w:rPr>
                <w:rFonts w:ascii="Arial" w:cs="Arial" w:eastAsia="Arial" w:hAnsi="Arial"/>
                <w:sz w:val="14"/>
                <w:szCs w:val="14"/>
                <w:color w:val="auto"/>
              </w:rPr>
              <w:t>Pension Plans</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 of</w:t>
      </w:r>
    </w:p>
    <w:p>
      <w:pPr>
        <w:spacing w:after="0" w:line="221" w:lineRule="exact"/>
        <w:rPr>
          <w:sz w:val="20"/>
          <w:szCs w:val="20"/>
          <w:color w:val="auto"/>
        </w:rPr>
      </w:pPr>
    </w:p>
    <w:p>
      <w:pPr>
        <w:ind w:left="2520" w:hanging="423"/>
        <w:spacing w:after="0"/>
        <w:tabs>
          <w:tab w:leader="none" w:pos="2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Committed Loan Notice</w:t>
      </w:r>
    </w:p>
    <w:p>
      <w:pPr>
        <w:spacing w:after="0" w:line="14" w:lineRule="exact"/>
        <w:rPr>
          <w:rFonts w:ascii="Arial" w:cs="Arial" w:eastAsia="Arial" w:hAnsi="Arial"/>
          <w:sz w:val="14"/>
          <w:szCs w:val="14"/>
          <w:color w:val="auto"/>
        </w:rPr>
      </w:pPr>
    </w:p>
    <w:p>
      <w:pPr>
        <w:ind w:left="210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1"/>
          <w:szCs w:val="11"/>
          <w:color w:val="auto"/>
        </w:rPr>
        <w:t>Swing Line Loan Notice</w:t>
      </w:r>
    </w:p>
    <w:p>
      <w:pPr>
        <w:spacing w:after="0" w:line="14" w:lineRule="exact"/>
        <w:rPr>
          <w:rFonts w:ascii="Arial" w:cs="Arial" w:eastAsia="Arial" w:hAnsi="Arial"/>
          <w:sz w:val="14"/>
          <w:szCs w:val="14"/>
          <w:color w:val="auto"/>
        </w:rPr>
      </w:pPr>
    </w:p>
    <w:p>
      <w:pPr>
        <w:ind w:left="2100"/>
        <w:spacing w:after="0"/>
        <w:rPr>
          <w:rFonts w:ascii="Arial" w:cs="Arial" w:eastAsia="Arial" w:hAnsi="Arial"/>
          <w:sz w:val="14"/>
          <w:szCs w:val="14"/>
          <w:color w:val="auto"/>
        </w:rPr>
      </w:pPr>
      <w:r>
        <w:rPr>
          <w:rFonts w:ascii="Arial" w:cs="Arial" w:eastAsia="Arial" w:hAnsi="Arial"/>
          <w:sz w:val="14"/>
          <w:szCs w:val="14"/>
          <w:color w:val="auto"/>
        </w:rPr>
        <w:t>C</w:t>
      </w:r>
      <w:r>
        <w:rPr>
          <w:rFonts w:ascii="Arial" w:cs="Arial" w:eastAsia="Arial" w:hAnsi="Arial"/>
          <w:sz w:val="11"/>
          <w:szCs w:val="11"/>
          <w:color w:val="auto"/>
        </w:rPr>
        <w:t>Form of Note (Revolver)</w:t>
      </w:r>
    </w:p>
    <w:p>
      <w:pPr>
        <w:spacing w:after="0" w:line="14" w:lineRule="exact"/>
        <w:rPr>
          <w:rFonts w:ascii="Arial" w:cs="Arial" w:eastAsia="Arial" w:hAnsi="Arial"/>
          <w:sz w:val="14"/>
          <w:szCs w:val="14"/>
          <w:color w:val="auto"/>
        </w:rPr>
      </w:pPr>
    </w:p>
    <w:p>
      <w:pPr>
        <w:ind w:left="2100"/>
        <w:spacing w:after="0"/>
        <w:rPr>
          <w:rFonts w:ascii="Arial" w:cs="Arial" w:eastAsia="Arial" w:hAnsi="Arial"/>
          <w:sz w:val="14"/>
          <w:szCs w:val="14"/>
          <w:color w:val="auto"/>
        </w:rPr>
      </w:pPr>
      <w:r>
        <w:rPr>
          <w:rFonts w:ascii="Arial" w:cs="Arial" w:eastAsia="Arial" w:hAnsi="Arial"/>
          <w:sz w:val="14"/>
          <w:szCs w:val="14"/>
          <w:color w:val="auto"/>
        </w:rPr>
        <w:t>D</w:t>
      </w:r>
      <w:r>
        <w:rPr>
          <w:rFonts w:ascii="Arial" w:cs="Arial" w:eastAsia="Arial" w:hAnsi="Arial"/>
          <w:sz w:val="11"/>
          <w:szCs w:val="11"/>
          <w:color w:val="auto"/>
        </w:rPr>
        <w:t>Compliance Certificate</w:t>
      </w:r>
    </w:p>
    <w:p>
      <w:pPr>
        <w:spacing w:after="0" w:line="14" w:lineRule="exact"/>
        <w:rPr>
          <w:rFonts w:ascii="Arial" w:cs="Arial" w:eastAsia="Arial" w:hAnsi="Arial"/>
          <w:sz w:val="14"/>
          <w:szCs w:val="14"/>
          <w:color w:val="auto"/>
        </w:rPr>
      </w:pPr>
    </w:p>
    <w:p>
      <w:pPr>
        <w:ind w:left="2120"/>
        <w:spacing w:after="0"/>
        <w:rPr>
          <w:rFonts w:ascii="Arial" w:cs="Arial" w:eastAsia="Arial" w:hAnsi="Arial"/>
          <w:sz w:val="14"/>
          <w:szCs w:val="14"/>
          <w:color w:val="auto"/>
        </w:rPr>
      </w:pPr>
      <w:r>
        <w:rPr>
          <w:rFonts w:ascii="Arial" w:cs="Arial" w:eastAsia="Arial" w:hAnsi="Arial"/>
          <w:sz w:val="14"/>
          <w:szCs w:val="14"/>
          <w:color w:val="auto"/>
        </w:rPr>
        <w:t>E</w:t>
      </w:r>
      <w:r>
        <w:rPr>
          <w:rFonts w:ascii="Arial" w:cs="Arial" w:eastAsia="Arial" w:hAnsi="Arial"/>
          <w:sz w:val="11"/>
          <w:szCs w:val="11"/>
          <w:color w:val="auto"/>
        </w:rPr>
        <w:t>Assignment and Assumption</w:t>
      </w:r>
    </w:p>
    <w:p>
      <w:pPr>
        <w:spacing w:after="0" w:line="14" w:lineRule="exact"/>
        <w:rPr>
          <w:rFonts w:ascii="Arial" w:cs="Arial" w:eastAsia="Arial" w:hAnsi="Arial"/>
          <w:sz w:val="14"/>
          <w:szCs w:val="14"/>
          <w:color w:val="auto"/>
        </w:rPr>
      </w:pPr>
    </w:p>
    <w:p>
      <w:pPr>
        <w:ind w:left="2160"/>
        <w:spacing w:after="0"/>
        <w:rPr>
          <w:rFonts w:ascii="Arial" w:cs="Arial" w:eastAsia="Arial" w:hAnsi="Arial"/>
          <w:sz w:val="14"/>
          <w:szCs w:val="14"/>
          <w:color w:val="auto"/>
        </w:rPr>
      </w:pPr>
      <w:r>
        <w:rPr>
          <w:rFonts w:ascii="Arial" w:cs="Arial" w:eastAsia="Arial" w:hAnsi="Arial"/>
          <w:sz w:val="14"/>
          <w:szCs w:val="14"/>
          <w:color w:val="auto"/>
        </w:rPr>
        <w:t>I</w:t>
      </w:r>
      <w:r>
        <w:rPr>
          <w:rFonts w:ascii="Arial" w:cs="Arial" w:eastAsia="Arial" w:hAnsi="Arial"/>
          <w:sz w:val="11"/>
          <w:szCs w:val="11"/>
          <w:color w:val="auto"/>
        </w:rPr>
        <w:t>Perfection Certificate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520" w:hanging="423"/>
        <w:spacing w:after="0"/>
        <w:tabs>
          <w:tab w:leader="none" w:pos="2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Solvency Certificate</w:t>
      </w:r>
    </w:p>
    <w:p>
      <w:pPr>
        <w:spacing w:after="0" w:line="14" w:lineRule="exact"/>
        <w:rPr>
          <w:rFonts w:ascii="Arial" w:cs="Arial" w:eastAsia="Arial" w:hAnsi="Arial"/>
          <w:sz w:val="14"/>
          <w:szCs w:val="14"/>
          <w:color w:val="auto"/>
        </w:rPr>
      </w:pPr>
    </w:p>
    <w:p>
      <w:pPr>
        <w:ind w:left="2100"/>
        <w:spacing w:after="0"/>
        <w:rPr>
          <w:rFonts w:ascii="Arial" w:cs="Arial" w:eastAsia="Arial" w:hAnsi="Arial"/>
          <w:sz w:val="14"/>
          <w:szCs w:val="14"/>
          <w:color w:val="auto"/>
        </w:rPr>
      </w:pPr>
      <w:r>
        <w:rPr>
          <w:rFonts w:ascii="Arial" w:cs="Arial" w:eastAsia="Arial" w:hAnsi="Arial"/>
          <w:sz w:val="14"/>
          <w:szCs w:val="14"/>
          <w:color w:val="auto"/>
        </w:rPr>
        <w:t>O</w:t>
      </w:r>
      <w:r>
        <w:rPr>
          <w:rFonts w:ascii="Arial" w:cs="Arial" w:eastAsia="Arial" w:hAnsi="Arial"/>
          <w:sz w:val="11"/>
          <w:szCs w:val="11"/>
          <w:color w:val="auto"/>
        </w:rPr>
        <w:t>Notice of Prepayment</w:t>
      </w:r>
    </w:p>
    <w:p>
      <w:pPr>
        <w:spacing w:after="0" w:line="14" w:lineRule="exact"/>
        <w:rPr>
          <w:rFonts w:ascii="Arial" w:cs="Arial" w:eastAsia="Arial" w:hAnsi="Arial"/>
          <w:sz w:val="14"/>
          <w:szCs w:val="14"/>
          <w:color w:val="auto"/>
        </w:rPr>
      </w:pPr>
    </w:p>
    <w:p>
      <w:pPr>
        <w:ind w:left="2120"/>
        <w:spacing w:after="0"/>
        <w:rPr>
          <w:rFonts w:ascii="Arial" w:cs="Arial" w:eastAsia="Arial" w:hAnsi="Arial"/>
          <w:sz w:val="14"/>
          <w:szCs w:val="14"/>
          <w:color w:val="auto"/>
        </w:rPr>
      </w:pPr>
      <w:r>
        <w:rPr>
          <w:rFonts w:ascii="Arial" w:cs="Arial" w:eastAsia="Arial" w:hAnsi="Arial"/>
          <w:sz w:val="14"/>
          <w:szCs w:val="14"/>
          <w:color w:val="auto"/>
        </w:rPr>
        <w:t>P</w:t>
      </w:r>
      <w:r>
        <w:rPr>
          <w:rFonts w:ascii="Arial" w:cs="Arial" w:eastAsia="Arial" w:hAnsi="Arial"/>
          <w:sz w:val="11"/>
          <w:szCs w:val="11"/>
          <w:color w:val="auto"/>
        </w:rPr>
        <w:t>Form of Guaranty or Guaranty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ectPr>
          <w:pgSz w:w="11900" w:h="16838" w:orient="portrait"/>
          <w:cols w:equalWidth="0" w:num="1">
            <w:col w:w="11260"/>
          </w:cols>
          <w:pgMar w:left="320" w:top="129"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CREDIT AGREEMENT</w:t>
      </w:r>
    </w:p>
    <w:p>
      <w:pPr>
        <w:spacing w:after="0" w:line="194"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4"/>
          <w:szCs w:val="14"/>
          <w:color w:val="auto"/>
        </w:rPr>
        <w:t>This CREDIT AGREEMENT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as of May 18, 2022, among TANDEM DIABETES CARE, INC., a Delaware corporation (the “</w:t>
      </w:r>
      <w:r>
        <w:rPr>
          <w:rFonts w:ascii="Arial" w:cs="Arial" w:eastAsia="Arial" w:hAnsi="Arial"/>
          <w:sz w:val="14"/>
          <w:szCs w:val="14"/>
          <w:u w:val="single" w:color="auto"/>
          <w:color w:val="auto"/>
        </w:rPr>
        <w:t>Borrower</w:t>
      </w:r>
      <w:r>
        <w:rPr>
          <w:rFonts w:ascii="Arial" w:cs="Arial" w:eastAsia="Arial" w:hAnsi="Arial"/>
          <w:sz w:val="14"/>
          <w:szCs w:val="14"/>
          <w:color w:val="auto"/>
        </w:rPr>
        <w:t>”), certain Subsidiaries of the Borrower that may be required to provide Guarantees from time to time hereunder, each lender from time to time party hereto (collectively, the “</w:t>
      </w:r>
      <w:r>
        <w:rPr>
          <w:rFonts w:ascii="Arial" w:cs="Arial" w:eastAsia="Arial" w:hAnsi="Arial"/>
          <w:sz w:val="14"/>
          <w:szCs w:val="14"/>
          <w:u w:val="single" w:color="auto"/>
          <w:color w:val="auto"/>
        </w:rPr>
        <w:t>Lenders</w:t>
      </w:r>
      <w:r>
        <w:rPr>
          <w:rFonts w:ascii="Arial" w:cs="Arial" w:eastAsia="Arial" w:hAnsi="Arial"/>
          <w:sz w:val="14"/>
          <w:szCs w:val="14"/>
          <w:color w:val="auto"/>
        </w:rPr>
        <w:t>” and individually, a “</w:t>
      </w:r>
      <w:r>
        <w:rPr>
          <w:rFonts w:ascii="Arial" w:cs="Arial" w:eastAsia="Arial" w:hAnsi="Arial"/>
          <w:sz w:val="14"/>
          <w:szCs w:val="14"/>
          <w:u w:val="single" w:color="auto"/>
          <w:color w:val="auto"/>
        </w:rPr>
        <w:t>Lender</w:t>
      </w:r>
      <w:r>
        <w:rPr>
          <w:rFonts w:ascii="Arial" w:cs="Arial" w:eastAsia="Arial" w:hAnsi="Arial"/>
          <w:sz w:val="14"/>
          <w:szCs w:val="14"/>
          <w:color w:val="auto"/>
        </w:rPr>
        <w:t>”), and BANK OF AMERICA, N.A., as Administrative Agent, a Swing Line Lender and an L/C Issuer.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PRELIMINARY STATEMENTS</w:t>
      </w:r>
      <w:r>
        <w:rPr>
          <w:rFonts w:ascii="Arial" w:cs="Arial" w:eastAsia="Arial" w:hAnsi="Arial"/>
          <w:sz w:val="14"/>
          <w:szCs w:val="14"/>
          <w:color w:val="auto"/>
        </w:rPr>
        <w:t>:</w:t>
      </w:r>
    </w:p>
    <w:p>
      <w:pPr>
        <w:spacing w:after="0" w:line="190"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4"/>
          <w:szCs w:val="14"/>
          <w:color w:val="auto"/>
        </w:rPr>
        <w:t>The Borrower has requested that the Lenders provide a revolving credit facility, and the Lenders have indicated their willingness to lend and the L/C Issuer has indicated its willingness to issue letters of credit, in each case, on the terms and subject to the conditions set forth herein.</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consideration of the mutual covenants and agreements herein contained, the parties hereto covenant and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 AND ACCOUNTING TERMS</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1"/>
          <w:szCs w:val="11"/>
          <w:b w:val="1"/>
          <w:bCs w:val="1"/>
          <w:color w:val="auto"/>
        </w:rPr>
        <w:t>Defined Terms</w:t>
      </w:r>
      <w:r>
        <w:rPr>
          <w:rFonts w:ascii="Arial" w:cs="Arial" w:eastAsia="Arial" w:hAnsi="Arial"/>
          <w:sz w:val="11"/>
          <w:szCs w:val="11"/>
          <w:color w:val="auto"/>
        </w:rPr>
        <w:t>. As used in this Agreement, the following terms shall have the meanings set forth below:</w:t>
      </w:r>
    </w:p>
    <w:p>
      <w:pPr>
        <w:spacing w:after="0" w:line="194" w:lineRule="exact"/>
        <w:rPr>
          <w:sz w:val="20"/>
          <w:szCs w:val="20"/>
          <w:color w:val="auto"/>
        </w:rPr>
      </w:pPr>
    </w:p>
    <w:p>
      <w:pPr>
        <w:ind w:right="1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2025 Convertible Notes</w:t>
      </w:r>
      <w:r>
        <w:rPr>
          <w:rFonts w:ascii="Arial" w:cs="Arial" w:eastAsia="Arial" w:hAnsi="Arial"/>
          <w:sz w:val="14"/>
          <w:szCs w:val="14"/>
          <w:color w:val="auto"/>
        </w:rPr>
        <w:t>” means the 1.50% unsecured notes of the Borrower due 2025 in an aggregate principal amount of $287,500,000 issued and sold on May 15, 2020, pursuant to the 2025 Indenture.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2025 Indenture</w:t>
      </w:r>
      <w:r>
        <w:rPr>
          <w:rFonts w:ascii="Arial" w:cs="Arial" w:eastAsia="Arial" w:hAnsi="Arial"/>
          <w:sz w:val="14"/>
          <w:szCs w:val="14"/>
          <w:color w:val="auto"/>
        </w:rPr>
        <w:t>” means that certain Indenture, dated May 15, 2020, between the Borrower and U.S. Bank National Association, as Trustee.</w:t>
      </w:r>
    </w:p>
    <w:p>
      <w:pPr>
        <w:spacing w:after="0" w:line="190"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Acquisition Consideration</w:t>
      </w:r>
      <w:r>
        <w:rPr>
          <w:rFonts w:ascii="Arial" w:cs="Arial" w:eastAsia="Arial" w:hAnsi="Arial"/>
          <w:sz w:val="14"/>
          <w:szCs w:val="14"/>
          <w:color w:val="auto"/>
        </w:rPr>
        <w:t>” means, with respect to any Permitted Acquisition, the total cash and noncash consideration (including the fair market value of all Equity Interests issued or transferred to the sellers thereof, all indemnities, earnouts and other contingent payment obligations to, and the aggregate amounts paid or to be paid under noncompete, consulting and other affiliated agreements with, the sellers thereof, all write-downs of property and reserves for liabilities with respect thereto and all assumptions of debt, liabilities and other obligations in connection therewith) paid by or on behalf of the Borrower and its Subsidiaries for such Permitted Acquisition.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11.18</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means Bank of America in its capacity as administrative agent under any of the Loan Documents, or any successor administrative agent.</w:t>
      </w:r>
    </w:p>
    <w:p>
      <w:pPr>
        <w:spacing w:after="0" w:line="190" w:lineRule="exact"/>
        <w:rPr>
          <w:sz w:val="20"/>
          <w:szCs w:val="20"/>
          <w:color w:val="auto"/>
        </w:rPr>
      </w:pPr>
    </w:p>
    <w:p>
      <w:pPr>
        <w:ind w:right="3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Agent’s Office</w:t>
      </w:r>
      <w:r>
        <w:rPr>
          <w:rFonts w:ascii="Arial" w:cs="Arial" w:eastAsia="Arial" w:hAnsi="Arial"/>
          <w:sz w:val="14"/>
          <w:szCs w:val="14"/>
          <w:color w:val="auto"/>
        </w:rPr>
        <w:t xml:space="preserve">” means the Administrative Agent’s address and, as appropriate, account as set forth on </w:t>
      </w:r>
      <w:r>
        <w:rPr>
          <w:rFonts w:ascii="Arial" w:cs="Arial" w:eastAsia="Arial" w:hAnsi="Arial"/>
          <w:sz w:val="14"/>
          <w:szCs w:val="14"/>
          <w:u w:val="single" w:color="auto"/>
          <w:color w:val="auto"/>
        </w:rPr>
        <w:t>Schedule 11.02</w:t>
      </w:r>
      <w:r>
        <w:rPr>
          <w:rFonts w:ascii="Arial" w:cs="Arial" w:eastAsia="Arial" w:hAnsi="Arial"/>
          <w:sz w:val="14"/>
          <w:szCs w:val="14"/>
          <w:color w:val="auto"/>
        </w:rPr>
        <w:t>, or such other address or account as the Administrative Agent may from time to time notify to the Borrower and the Lenders.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Questionnaire</w:t>
      </w:r>
      <w:r>
        <w:rPr>
          <w:rFonts w:ascii="Arial" w:cs="Arial" w:eastAsia="Arial" w:hAnsi="Arial"/>
          <w:sz w:val="14"/>
          <w:szCs w:val="14"/>
          <w:color w:val="auto"/>
        </w:rPr>
        <w:t>” means an Administrative Questionnaire in substantially the form approved by the Administrative Agent.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Affected Financial Institution</w:t>
      </w:r>
      <w:r>
        <w:rPr>
          <w:rFonts w:ascii="Arial" w:cs="Arial" w:eastAsia="Arial" w:hAnsi="Arial"/>
          <w:sz w:val="14"/>
          <w:szCs w:val="14"/>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ectPr>
          <w:pgSz w:w="11900" w:h="16838" w:orient="portrait"/>
          <w:cols w:equalWidth="0" w:num="1">
            <w:col w:w="11280"/>
          </w:cols>
          <w:pgMar w:left="300" w:top="129"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Aggregate Commitments</w:t>
      </w:r>
      <w:r>
        <w:rPr>
          <w:rFonts w:ascii="Arial" w:cs="Arial" w:eastAsia="Arial" w:hAnsi="Arial"/>
          <w:sz w:val="14"/>
          <w:szCs w:val="14"/>
          <w:color w:val="auto"/>
        </w:rPr>
        <w:t>” means the Commitments of all the Lenders.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has the meaning specified in the introductory paragraph hereto.</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Fee Rate</w:t>
      </w:r>
      <w:r>
        <w:rPr>
          <w:rFonts w:ascii="Arial" w:cs="Arial" w:eastAsia="Arial" w:hAnsi="Arial"/>
          <w:sz w:val="13"/>
          <w:szCs w:val="13"/>
          <w:color w:val="auto"/>
        </w:rPr>
        <w:t>” means, at any time, (a) from the Closing Date to the first Business Day immediately following the date on which the Administrative Agent receives a Compliance</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Certificate pursuant to </w:t>
      </w:r>
      <w:r>
        <w:rPr>
          <w:rFonts w:ascii="Arial" w:cs="Arial" w:eastAsia="Arial" w:hAnsi="Arial"/>
          <w:sz w:val="11"/>
          <w:szCs w:val="11"/>
          <w:u w:val="single" w:color="auto"/>
          <w:color w:val="auto"/>
        </w:rPr>
        <w:t>Section 6.02(b)</w:t>
      </w:r>
      <w:r>
        <w:rPr>
          <w:rFonts w:ascii="Arial" w:cs="Arial" w:eastAsia="Arial" w:hAnsi="Arial"/>
          <w:sz w:val="11"/>
          <w:szCs w:val="11"/>
          <w:color w:val="auto"/>
        </w:rPr>
        <w:t xml:space="preserve"> for the fiscal quarter ending June 30, 2022, 0.25% per annum and (b) thereafter, the applicable percentage per annum set forth below determined by reference to the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Consolidated Net Leverage Ratio as set forth in the most recent Compliance Certificate received by the Administrative Agent pursuant to </w:t>
      </w:r>
      <w:r>
        <w:rPr>
          <w:rFonts w:ascii="Arial" w:cs="Arial" w:eastAsia="Arial" w:hAnsi="Arial"/>
          <w:sz w:val="14"/>
          <w:szCs w:val="14"/>
          <w:u w:val="single" w:color="auto"/>
          <w:color w:val="auto"/>
        </w:rPr>
        <w:t>Section 6.02(b)</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134620</wp:posOffset>
            </wp:positionV>
            <wp:extent cx="5730240" cy="7531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30240" cy="753110"/>
                    </a:xfrm>
                    <a:prstGeom prst="rect">
                      <a:avLst/>
                    </a:prstGeom>
                    <a:noFill/>
                  </pic:spPr>
                </pic:pic>
              </a:graphicData>
            </a:graphic>
          </wp:anchor>
        </w:drawing>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Applicable Fee Rate</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2800" w:type="dxa"/>
            <w:vAlign w:val="bottom"/>
            <w:tcBorders>
              <w:top w:val="single" w:sz="8" w:color="auto"/>
              <w:bottom w:val="single" w:sz="8" w:color="auto"/>
              <w:right w:val="single" w:sz="8" w:color="auto"/>
            </w:tcBorders>
          </w:tcPr>
          <w:p>
            <w:pPr>
              <w:jc w:val="center"/>
              <w:ind w:left="431"/>
              <w:spacing w:after="0"/>
              <w:rPr>
                <w:sz w:val="20"/>
                <w:szCs w:val="20"/>
                <w:color w:val="auto"/>
              </w:rPr>
            </w:pPr>
            <w:r>
              <w:rPr>
                <w:rFonts w:ascii="Arial" w:cs="Arial" w:eastAsia="Arial" w:hAnsi="Arial"/>
                <w:sz w:val="14"/>
                <w:szCs w:val="14"/>
                <w:color w:val="auto"/>
                <w:w w:val="92"/>
              </w:rPr>
              <w:t>Pricing Level</w:t>
            </w:r>
          </w:p>
        </w:tc>
        <w:tc>
          <w:tcPr>
            <w:tcW w:w="3440" w:type="dxa"/>
            <w:vAlign w:val="bottom"/>
            <w:tcBorders>
              <w:top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9"/>
              </w:rPr>
              <w:t>Consolidated Net Leverage Ratio</w:t>
            </w:r>
          </w:p>
        </w:tc>
        <w:tc>
          <w:tcPr>
            <w:tcW w:w="2780" w:type="dxa"/>
            <w:vAlign w:val="bottom"/>
            <w:tcBorders>
              <w:top w:val="single" w:sz="8" w:color="auto"/>
              <w:bottom w:val="single" w:sz="8" w:color="auto"/>
            </w:tcBorders>
          </w:tcPr>
          <w:p>
            <w:pPr>
              <w:jc w:val="center"/>
              <w:ind w:left="431"/>
              <w:spacing w:after="0"/>
              <w:rPr>
                <w:sz w:val="20"/>
                <w:szCs w:val="20"/>
                <w:color w:val="auto"/>
              </w:rPr>
            </w:pPr>
            <w:r>
              <w:rPr>
                <w:rFonts w:ascii="Arial" w:cs="Arial" w:eastAsia="Arial" w:hAnsi="Arial"/>
                <w:sz w:val="14"/>
                <w:szCs w:val="14"/>
                <w:color w:val="auto"/>
                <w:w w:val="89"/>
              </w:rPr>
              <w:t>Commitment Fee</w:t>
            </w:r>
          </w:p>
        </w:tc>
      </w:tr>
      <w:tr>
        <w:trPr>
          <w:trHeight w:val="176"/>
        </w:trPr>
        <w:tc>
          <w:tcPr>
            <w:tcW w:w="28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rPr>
              <w:t>1</w:t>
            </w:r>
          </w:p>
        </w:tc>
        <w:tc>
          <w:tcPr>
            <w:tcW w:w="344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91"/>
              </w:rPr>
              <w:t>≤ 1.00:1.00</w:t>
            </w:r>
          </w:p>
        </w:tc>
        <w:tc>
          <w:tcPr>
            <w:tcW w:w="278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w w:val="85"/>
              </w:rPr>
              <w:t>0.20%</w:t>
            </w:r>
          </w:p>
        </w:tc>
      </w:tr>
      <w:tr>
        <w:trPr>
          <w:trHeight w:val="176"/>
        </w:trPr>
        <w:tc>
          <w:tcPr>
            <w:tcW w:w="28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rPr>
              <w:t>2</w:t>
            </w:r>
          </w:p>
        </w:tc>
        <w:tc>
          <w:tcPr>
            <w:tcW w:w="344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90"/>
              </w:rPr>
              <w:t>&gt;1.00:1.00 but ≤ 2.00:1.00</w:t>
            </w:r>
          </w:p>
        </w:tc>
        <w:tc>
          <w:tcPr>
            <w:tcW w:w="278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w w:val="85"/>
              </w:rPr>
              <w:t>0.25%</w:t>
            </w:r>
          </w:p>
        </w:tc>
      </w:tr>
      <w:tr>
        <w:trPr>
          <w:trHeight w:val="176"/>
        </w:trPr>
        <w:tc>
          <w:tcPr>
            <w:tcW w:w="28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rPr>
              <w:t>3</w:t>
            </w:r>
          </w:p>
        </w:tc>
        <w:tc>
          <w:tcPr>
            <w:tcW w:w="3440" w:type="dxa"/>
            <w:vAlign w:val="bottom"/>
            <w:tcBorders>
              <w:bottom w:val="single" w:sz="8" w:color="auto"/>
              <w:right w:val="single" w:sz="8" w:color="auto"/>
            </w:tcBorders>
          </w:tcPr>
          <w:p>
            <w:pPr>
              <w:jc w:val="center"/>
              <w:ind w:left="391"/>
              <w:spacing w:after="0"/>
              <w:rPr>
                <w:sz w:val="20"/>
                <w:szCs w:val="20"/>
                <w:color w:val="auto"/>
              </w:rPr>
            </w:pPr>
            <w:r>
              <w:rPr>
                <w:rFonts w:ascii="Arial" w:cs="Arial" w:eastAsia="Arial" w:hAnsi="Arial"/>
                <w:sz w:val="14"/>
                <w:szCs w:val="14"/>
                <w:color w:val="auto"/>
                <w:w w:val="89"/>
              </w:rPr>
              <w:t>&gt; 2.00:1.00 but ≤ 3.00:1.00</w:t>
            </w:r>
          </w:p>
        </w:tc>
        <w:tc>
          <w:tcPr>
            <w:tcW w:w="278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w w:val="85"/>
              </w:rPr>
              <w:t>0.30%</w:t>
            </w:r>
          </w:p>
        </w:tc>
      </w:tr>
      <w:tr>
        <w:trPr>
          <w:trHeight w:val="176"/>
        </w:trPr>
        <w:tc>
          <w:tcPr>
            <w:tcW w:w="28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rPr>
              <w:t>4</w:t>
            </w:r>
          </w:p>
        </w:tc>
        <w:tc>
          <w:tcPr>
            <w:tcW w:w="344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90"/>
              </w:rPr>
              <w:t>&gt; 3.00:1.00</w:t>
            </w:r>
          </w:p>
        </w:tc>
        <w:tc>
          <w:tcPr>
            <w:tcW w:w="278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w w:val="85"/>
              </w:rPr>
              <w:t>0.35%</w:t>
            </w:r>
          </w:p>
        </w:tc>
      </w:tr>
    </w:tbl>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 xml:space="preserve">Any increase or decrease in the Applicable Fee Rate resulting from a change in the Consolidated Net Leverage Ratio shall become effective as of the first Business Day immediately following the date a Compliance Certificate is delivered pursuant to </w:t>
      </w:r>
      <w:r>
        <w:rPr>
          <w:rFonts w:ascii="Arial" w:cs="Arial" w:eastAsia="Arial" w:hAnsi="Arial"/>
          <w:sz w:val="14"/>
          <w:szCs w:val="14"/>
          <w:u w:val="single" w:color="auto"/>
          <w:color w:val="auto"/>
        </w:rPr>
        <w:t>Section 6.02(b)</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Notwithstanding anything to the contrary contained in this definition, the determination of the Applicable Fee Rate for any period shall be subject to the provisions of </w:t>
      </w:r>
      <w:r>
        <w:rPr>
          <w:rFonts w:ascii="Arial" w:cs="Arial" w:eastAsia="Arial" w:hAnsi="Arial"/>
          <w:sz w:val="13"/>
          <w:szCs w:val="13"/>
          <w:u w:val="single" w:color="auto"/>
          <w:color w:val="auto"/>
        </w:rPr>
        <w:t>Section 2.10(b)</w:t>
      </w:r>
      <w:r>
        <w:rPr>
          <w:rFonts w:ascii="Arial" w:cs="Arial" w:eastAsia="Arial" w:hAnsi="Arial"/>
          <w:sz w:val="13"/>
          <w:szCs w:val="13"/>
          <w:color w:val="auto"/>
        </w:rPr>
        <w:t>.</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as to any Person, all applicable Laws binding upon such Person or to which such a Person is subject.</w:t>
      </w:r>
    </w:p>
    <w:p>
      <w:pPr>
        <w:spacing w:after="0" w:line="190" w:lineRule="exact"/>
        <w:rPr>
          <w:sz w:val="20"/>
          <w:szCs w:val="20"/>
          <w:color w:val="auto"/>
        </w:rPr>
      </w:pPr>
    </w:p>
    <w:p>
      <w:pPr>
        <w:ind w:right="60" w:firstLine="495"/>
        <w:spacing w:after="0" w:line="27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xml:space="preserve">” means, with respect to any Lender at any time, the percentage (carried out to the ninth decimal place) of the Revolving Credit Facility represented by such Lender’s Commitment at such time, subject to adjustment as provided in </w:t>
      </w:r>
      <w:r>
        <w:rPr>
          <w:rFonts w:ascii="Arial" w:cs="Arial" w:eastAsia="Arial" w:hAnsi="Arial"/>
          <w:sz w:val="13"/>
          <w:szCs w:val="13"/>
          <w:u w:val="single" w:color="auto"/>
          <w:color w:val="auto"/>
        </w:rPr>
        <w:t>Section 2.17</w:t>
      </w:r>
      <w:r>
        <w:rPr>
          <w:rFonts w:ascii="Arial" w:cs="Arial" w:eastAsia="Arial" w:hAnsi="Arial"/>
          <w:sz w:val="13"/>
          <w:szCs w:val="13"/>
          <w:color w:val="auto"/>
        </w:rPr>
        <w:t xml:space="preserve">. If the commitment of each Lender to make Loans and the obligation of the L/C Issuer to make L/C Credit Extensions have been terminated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or if the Commitments have expired, then the Applicable Percentage of each Lender in respect of the Revolving Credit Facility shall be determined based on the Applicable Percentage of such Lender in respect of the Revolving Facility most recently in effect, giving effect to any subsequent assignments and to any Lender’s status as a Defaulting Lender at the time of determination. The initial Applicable Percentage of each Lender in respect of the Revolving Credit Facility is set forth opposite the name of such Lender on </w:t>
      </w:r>
      <w:r>
        <w:rPr>
          <w:rFonts w:ascii="Arial" w:cs="Arial" w:eastAsia="Arial" w:hAnsi="Arial"/>
          <w:sz w:val="13"/>
          <w:szCs w:val="13"/>
          <w:u w:val="single" w:color="auto"/>
          <w:color w:val="auto"/>
        </w:rPr>
        <w:t>Schedule 2.01A</w:t>
      </w:r>
      <w:r>
        <w:rPr>
          <w:rFonts w:ascii="Arial" w:cs="Arial" w:eastAsia="Arial" w:hAnsi="Arial"/>
          <w:sz w:val="13"/>
          <w:szCs w:val="13"/>
          <w:color w:val="auto"/>
        </w:rPr>
        <w:t xml:space="preserve"> or in the Assignment and Assumption pursuant to which such Lender becomes a party hereto, as applicable.</w:t>
      </w:r>
    </w:p>
    <w:p>
      <w:pPr>
        <w:spacing w:after="0" w:line="159" w:lineRule="exact"/>
        <w:rPr>
          <w:sz w:val="20"/>
          <w:szCs w:val="20"/>
          <w:color w:val="auto"/>
        </w:rPr>
      </w:pPr>
    </w:p>
    <w:p>
      <w:pPr>
        <w:ind w:right="4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Rate</w:t>
      </w:r>
      <w:r>
        <w:rPr>
          <w:rFonts w:ascii="Arial" w:cs="Arial" w:eastAsia="Arial" w:hAnsi="Arial"/>
          <w:sz w:val="14"/>
          <w:szCs w:val="14"/>
          <w:color w:val="auto"/>
        </w:rPr>
        <w:t xml:space="preserve">” means, (i) from the Closing Date to the first Business Day immediately following the date on which the Administrative Agent receives a Compliance Certificate pursuant to </w:t>
      </w:r>
      <w:r>
        <w:rPr>
          <w:rFonts w:ascii="Arial" w:cs="Arial" w:eastAsia="Arial" w:hAnsi="Arial"/>
          <w:sz w:val="14"/>
          <w:szCs w:val="14"/>
          <w:u w:val="single" w:color="auto"/>
          <w:color w:val="auto"/>
        </w:rPr>
        <w:t>Section 6.02(b)</w:t>
      </w:r>
      <w:r>
        <w:rPr>
          <w:rFonts w:ascii="Arial" w:cs="Arial" w:eastAsia="Arial" w:hAnsi="Arial"/>
          <w:sz w:val="14"/>
          <w:szCs w:val="14"/>
          <w:color w:val="auto"/>
        </w:rPr>
        <w:t xml:space="preserve"> for the fiscal quarter ending June 30, 2022, 0.50% per annum for Base Rate Loans and 1.50% per annum for Term SOFR Loans and Letter of Credit Fees and (ii) thereafter, the applicable percentage per annum set forth below determined by reference to the Consolidated Net Leverage Ratio as set forth in the most recent Compliance Certificate received by the Administrative Agent pursuant to </w:t>
      </w:r>
      <w:r>
        <w:rPr>
          <w:rFonts w:ascii="Arial" w:cs="Arial" w:eastAsia="Arial" w:hAnsi="Arial"/>
          <w:sz w:val="14"/>
          <w:szCs w:val="14"/>
          <w:u w:val="single" w:color="auto"/>
          <w:color w:val="auto"/>
        </w:rPr>
        <w:t>Section 6.02(b)</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280"/>
          </w:cols>
          <w:pgMar w:left="300" w:top="129"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10" w:type="dxa"/>
        <w:tblCellMar>
          <w:top w:w="0" w:type="dxa"/>
          <w:left w:w="0" w:type="dxa"/>
          <w:bottom w:w="0" w:type="dxa"/>
          <w:right w:w="0" w:type="dxa"/>
        </w:tblCellMar>
      </w:tblPr>
      <w:tr>
        <w:trPr>
          <w:trHeight w:val="190"/>
        </w:trPr>
        <w:tc>
          <w:tcPr>
            <w:tcW w:w="186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760" w:type="dxa"/>
            <w:vAlign w:val="bottom"/>
            <w:tcBorders>
              <w:top w:val="single" w:sz="8" w:color="auto"/>
              <w:bottom w:val="single" w:sz="8" w:color="auto"/>
            </w:tcBorders>
          </w:tcPr>
          <w:p>
            <w:pPr>
              <w:spacing w:after="0"/>
              <w:rPr>
                <w:sz w:val="16"/>
                <w:szCs w:val="16"/>
                <w:color w:val="auto"/>
              </w:rPr>
            </w:pPr>
          </w:p>
        </w:tc>
        <w:tc>
          <w:tcPr>
            <w:tcW w:w="334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4"/>
                <w:szCs w:val="14"/>
                <w:color w:val="auto"/>
              </w:rPr>
              <w:t>Applicable Rate</w:t>
            </w:r>
          </w:p>
        </w:tc>
        <w:tc>
          <w:tcPr>
            <w:tcW w:w="2500" w:type="dxa"/>
            <w:vAlign w:val="bottom"/>
            <w:tcBorders>
              <w:top w:val="single" w:sz="8" w:color="auto"/>
              <w:bottom w:val="single" w:sz="8" w:color="auto"/>
              <w:right w:val="single" w:sz="8" w:color="auto"/>
            </w:tcBorders>
          </w:tcPr>
          <w:p>
            <w:pPr>
              <w:spacing w:after="0"/>
              <w:rPr>
                <w:sz w:val="16"/>
                <w:szCs w:val="16"/>
                <w:color w:val="auto"/>
              </w:rPr>
            </w:pPr>
          </w:p>
        </w:tc>
      </w:tr>
      <w:tr>
        <w:trPr>
          <w:trHeight w:val="176"/>
        </w:trPr>
        <w:tc>
          <w:tcPr>
            <w:tcW w:w="186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92"/>
              </w:rPr>
              <w:t>Pricing Level</w:t>
            </w:r>
          </w:p>
        </w:tc>
        <w:tc>
          <w:tcPr>
            <w:tcW w:w="2760" w:type="dxa"/>
            <w:vAlign w:val="bottom"/>
            <w:tcBorders>
              <w:bottom w:val="single" w:sz="8" w:color="auto"/>
            </w:tcBorders>
          </w:tcPr>
          <w:p>
            <w:pPr>
              <w:jc w:val="center"/>
              <w:ind w:left="691"/>
              <w:spacing w:after="0"/>
              <w:rPr>
                <w:sz w:val="20"/>
                <w:szCs w:val="20"/>
                <w:color w:val="auto"/>
              </w:rPr>
            </w:pPr>
            <w:r>
              <w:rPr>
                <w:rFonts w:ascii="Arial" w:cs="Arial" w:eastAsia="Arial" w:hAnsi="Arial"/>
                <w:sz w:val="14"/>
                <w:szCs w:val="14"/>
                <w:color w:val="auto"/>
                <w:w w:val="89"/>
              </w:rPr>
              <w:t>Consolidated Net Leverage Ratio</w:t>
            </w:r>
          </w:p>
        </w:tc>
        <w:tc>
          <w:tcPr>
            <w:tcW w:w="2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7"/>
              </w:rPr>
              <w:t>Term SOFR</w:t>
            </w:r>
          </w:p>
        </w:tc>
        <w:tc>
          <w:tcPr>
            <w:tcW w:w="250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14"/>
                <w:szCs w:val="14"/>
                <w:color w:val="auto"/>
              </w:rPr>
              <w:t>Base Rate</w:t>
            </w:r>
          </w:p>
        </w:tc>
      </w:tr>
      <w:tr>
        <w:trPr>
          <w:trHeight w:val="176"/>
        </w:trPr>
        <w:tc>
          <w:tcPr>
            <w:tcW w:w="186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76"/>
              </w:rPr>
              <w:t>1</w:t>
            </w:r>
          </w:p>
        </w:tc>
        <w:tc>
          <w:tcPr>
            <w:tcW w:w="2760" w:type="dxa"/>
            <w:vAlign w:val="bottom"/>
            <w:tcBorders>
              <w:bottom w:val="single" w:sz="8" w:color="auto"/>
            </w:tcBorders>
          </w:tcPr>
          <w:p>
            <w:pPr>
              <w:jc w:val="center"/>
              <w:ind w:left="671"/>
              <w:spacing w:after="0"/>
              <w:rPr>
                <w:sz w:val="20"/>
                <w:szCs w:val="20"/>
                <w:color w:val="auto"/>
              </w:rPr>
            </w:pPr>
            <w:r>
              <w:rPr>
                <w:rFonts w:ascii="Arial" w:cs="Arial" w:eastAsia="Arial" w:hAnsi="Arial"/>
                <w:sz w:val="14"/>
                <w:szCs w:val="14"/>
                <w:color w:val="auto"/>
                <w:w w:val="88"/>
              </w:rPr>
              <w:t>≤ 1.00:1.00</w:t>
            </w:r>
          </w:p>
        </w:tc>
        <w:tc>
          <w:tcPr>
            <w:tcW w:w="2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1.25%</w:t>
            </w:r>
          </w:p>
        </w:tc>
        <w:tc>
          <w:tcPr>
            <w:tcW w:w="25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8"/>
              </w:rPr>
              <w:t>0.250%</w:t>
            </w:r>
          </w:p>
        </w:tc>
      </w:tr>
      <w:tr>
        <w:trPr>
          <w:trHeight w:val="176"/>
        </w:trPr>
        <w:tc>
          <w:tcPr>
            <w:tcW w:w="186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76"/>
              </w:rPr>
              <w:t>2</w:t>
            </w:r>
          </w:p>
        </w:tc>
        <w:tc>
          <w:tcPr>
            <w:tcW w:w="2760" w:type="dxa"/>
            <w:vAlign w:val="bottom"/>
            <w:tcBorders>
              <w:bottom w:val="single" w:sz="8" w:color="auto"/>
            </w:tcBorders>
          </w:tcPr>
          <w:p>
            <w:pPr>
              <w:jc w:val="center"/>
              <w:ind w:left="671"/>
              <w:spacing w:after="0"/>
              <w:rPr>
                <w:sz w:val="20"/>
                <w:szCs w:val="20"/>
                <w:color w:val="auto"/>
              </w:rPr>
            </w:pPr>
            <w:r>
              <w:rPr>
                <w:rFonts w:ascii="Arial" w:cs="Arial" w:eastAsia="Arial" w:hAnsi="Arial"/>
                <w:sz w:val="14"/>
                <w:szCs w:val="14"/>
                <w:color w:val="auto"/>
                <w:w w:val="89"/>
              </w:rPr>
              <w:t>&gt;1.00:1.00 but ≤ 2.00:1.00</w:t>
            </w:r>
          </w:p>
        </w:tc>
        <w:tc>
          <w:tcPr>
            <w:tcW w:w="2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1.50%</w:t>
            </w:r>
          </w:p>
        </w:tc>
        <w:tc>
          <w:tcPr>
            <w:tcW w:w="25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0.50%</w:t>
            </w:r>
          </w:p>
        </w:tc>
      </w:tr>
      <w:tr>
        <w:trPr>
          <w:trHeight w:val="176"/>
        </w:trPr>
        <w:tc>
          <w:tcPr>
            <w:tcW w:w="186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76"/>
              </w:rPr>
              <w:t>3</w:t>
            </w:r>
          </w:p>
        </w:tc>
        <w:tc>
          <w:tcPr>
            <w:tcW w:w="2760" w:type="dxa"/>
            <w:vAlign w:val="bottom"/>
            <w:tcBorders>
              <w:bottom w:val="single" w:sz="8" w:color="auto"/>
            </w:tcBorders>
          </w:tcPr>
          <w:p>
            <w:pPr>
              <w:jc w:val="center"/>
              <w:ind w:left="671"/>
              <w:spacing w:after="0"/>
              <w:rPr>
                <w:sz w:val="20"/>
                <w:szCs w:val="20"/>
                <w:color w:val="auto"/>
              </w:rPr>
            </w:pPr>
            <w:r>
              <w:rPr>
                <w:rFonts w:ascii="Arial" w:cs="Arial" w:eastAsia="Arial" w:hAnsi="Arial"/>
                <w:sz w:val="14"/>
                <w:szCs w:val="14"/>
                <w:color w:val="auto"/>
                <w:w w:val="89"/>
              </w:rPr>
              <w:t>&gt; 2.00:1.00 but ≤ 3.00:1.00</w:t>
            </w:r>
          </w:p>
        </w:tc>
        <w:tc>
          <w:tcPr>
            <w:tcW w:w="2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1.75%</w:t>
            </w:r>
          </w:p>
        </w:tc>
        <w:tc>
          <w:tcPr>
            <w:tcW w:w="25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0.75%</w:t>
            </w:r>
          </w:p>
        </w:tc>
      </w:tr>
      <w:tr>
        <w:trPr>
          <w:trHeight w:val="176"/>
        </w:trPr>
        <w:tc>
          <w:tcPr>
            <w:tcW w:w="186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76"/>
              </w:rPr>
              <w:t>4</w:t>
            </w:r>
          </w:p>
        </w:tc>
        <w:tc>
          <w:tcPr>
            <w:tcW w:w="2760" w:type="dxa"/>
            <w:vAlign w:val="bottom"/>
            <w:tcBorders>
              <w:bottom w:val="single" w:sz="8" w:color="auto"/>
            </w:tcBorders>
          </w:tcPr>
          <w:p>
            <w:pPr>
              <w:jc w:val="center"/>
              <w:ind w:left="671"/>
              <w:spacing w:after="0"/>
              <w:rPr>
                <w:sz w:val="20"/>
                <w:szCs w:val="20"/>
                <w:color w:val="auto"/>
              </w:rPr>
            </w:pPr>
            <w:r>
              <w:rPr>
                <w:rFonts w:ascii="Arial" w:cs="Arial" w:eastAsia="Arial" w:hAnsi="Arial"/>
                <w:sz w:val="14"/>
                <w:szCs w:val="14"/>
                <w:color w:val="auto"/>
                <w:w w:val="87"/>
              </w:rPr>
              <w:t>&gt; 3.00:1.00</w:t>
            </w:r>
          </w:p>
        </w:tc>
        <w:tc>
          <w:tcPr>
            <w:tcW w:w="2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2.00%</w:t>
            </w:r>
          </w:p>
        </w:tc>
        <w:tc>
          <w:tcPr>
            <w:tcW w:w="2500" w:type="dxa"/>
            <w:vAlign w:val="bottom"/>
            <w:tcBorders>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5"/>
              </w:rPr>
              <w:t>1.00%</w:t>
            </w:r>
          </w:p>
        </w:tc>
      </w:tr>
    </w:tbl>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Arial" w:cs="Arial" w:eastAsia="Arial" w:hAnsi="Arial"/>
          <w:sz w:val="14"/>
          <w:szCs w:val="14"/>
          <w:u w:val="single" w:color="auto"/>
          <w:color w:val="auto"/>
        </w:rPr>
        <w:t>Section 6.02(b)</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3"/>
          <w:szCs w:val="13"/>
          <w:u w:val="single" w:color="auto"/>
          <w:color w:val="auto"/>
        </w:rPr>
        <w:t>Section 2.10(b)</w:t>
      </w:r>
      <w:r>
        <w:rPr>
          <w:rFonts w:ascii="Arial" w:cs="Arial" w:eastAsia="Arial" w:hAnsi="Arial"/>
          <w:sz w:val="13"/>
          <w:szCs w:val="13"/>
          <w:color w:val="auto"/>
        </w:rPr>
        <w:t>.</w:t>
      </w:r>
    </w:p>
    <w:p>
      <w:pPr>
        <w:spacing w:after="0" w:line="201"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Revolving Credit Percentage</w:t>
      </w:r>
      <w:r>
        <w:rPr>
          <w:rFonts w:ascii="Arial" w:cs="Arial" w:eastAsia="Arial" w:hAnsi="Arial"/>
          <w:sz w:val="14"/>
          <w:szCs w:val="14"/>
          <w:color w:val="auto"/>
        </w:rPr>
        <w:t>” means with respect to any Revolving Credit Lender at any time, such Revolving Credit Lender’s Applicable Percentage in respect of the Revolving Credit Facility at such time.</w:t>
      </w:r>
    </w:p>
    <w:p>
      <w:pPr>
        <w:spacing w:after="0" w:line="159" w:lineRule="exact"/>
        <w:rPr>
          <w:sz w:val="20"/>
          <w:szCs w:val="20"/>
          <w:color w:val="auto"/>
        </w:rPr>
      </w:pPr>
    </w:p>
    <w:p>
      <w:pPr>
        <w:jc w:val="both"/>
        <w:ind w:right="12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Appropriate Lender</w:t>
      </w:r>
      <w:r>
        <w:rPr>
          <w:rFonts w:ascii="Arial" w:cs="Arial" w:eastAsia="Arial" w:hAnsi="Arial"/>
          <w:sz w:val="14"/>
          <w:szCs w:val="14"/>
          <w:color w:val="auto"/>
        </w:rPr>
        <w:t xml:space="preserve">” means, at any time, (a) a Lender that has a Commitment with respect to the Revolving Credit Facility or holds a Revolving Credit Loan at such time, (b) with respect to the Letter of Credit Sublimit, (i) the L/C Issuer and (ii) if any Letters of Credit have been issued pursuant to </w:t>
      </w:r>
      <w:r>
        <w:rPr>
          <w:rFonts w:ascii="Arial" w:cs="Arial" w:eastAsia="Arial" w:hAnsi="Arial"/>
          <w:sz w:val="14"/>
          <w:szCs w:val="14"/>
          <w:u w:val="single" w:color="auto"/>
          <w:color w:val="auto"/>
        </w:rPr>
        <w:t>Section 2.03(a)</w:t>
      </w:r>
      <w:r>
        <w:rPr>
          <w:rFonts w:ascii="Arial" w:cs="Arial" w:eastAsia="Arial" w:hAnsi="Arial"/>
          <w:sz w:val="14"/>
          <w:szCs w:val="14"/>
          <w:color w:val="auto"/>
        </w:rPr>
        <w:t xml:space="preserve">, the Revolving Credit Lenders and (c) with respect to the Swing Line Sublimit, (i) the Swing Line Lender and (ii) if any Swing Line Loans are outstanding pursuant to </w:t>
      </w:r>
      <w:r>
        <w:rPr>
          <w:rFonts w:ascii="Arial" w:cs="Arial" w:eastAsia="Arial" w:hAnsi="Arial"/>
          <w:sz w:val="14"/>
          <w:szCs w:val="14"/>
          <w:u w:val="single" w:color="auto"/>
          <w:color w:val="auto"/>
        </w:rPr>
        <w:t>Section 2.04(a)</w:t>
      </w:r>
      <w:r>
        <w:rPr>
          <w:rFonts w:ascii="Arial" w:cs="Arial" w:eastAsia="Arial" w:hAnsi="Arial"/>
          <w:sz w:val="14"/>
          <w:szCs w:val="14"/>
          <w:color w:val="auto"/>
        </w:rPr>
        <w:t>, the Revolving Credit Lenders.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Approved Fund</w:t>
      </w:r>
      <w:r>
        <w:rPr>
          <w:rFonts w:ascii="Arial" w:cs="Arial" w:eastAsia="Arial" w:hAnsi="Arial"/>
          <w:sz w:val="11"/>
          <w:szCs w:val="11"/>
          <w:color w:val="auto"/>
        </w:rPr>
        <w:t>” means any Fund that is administered or managed by (a) a Lender, (b) an Affiliate of a Lender or (c) an entity or an Affiliate of an entity that administers or manages a Lender.</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Assignment and Assumption</w:t>
      </w:r>
      <w:r>
        <w:rPr>
          <w:rFonts w:ascii="Arial" w:cs="Arial" w:eastAsia="Arial" w:hAnsi="Arial"/>
          <w:sz w:val="11"/>
          <w:szCs w:val="11"/>
          <w:color w:val="auto"/>
        </w:rPr>
        <w:t xml:space="preserve">” means an assignment and assumption entered into by a Lender and an Eligible Assignee (with the consent of any party whose consent is required by </w:t>
      </w:r>
      <w:r>
        <w:rPr>
          <w:rFonts w:ascii="Arial" w:cs="Arial" w:eastAsia="Arial" w:hAnsi="Arial"/>
          <w:sz w:val="11"/>
          <w:szCs w:val="11"/>
          <w:u w:val="single" w:color="auto"/>
          <w:color w:val="auto"/>
        </w:rPr>
        <w:t>Section</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11.06(b)</w:t>
      </w:r>
      <w:r>
        <w:rPr>
          <w:rFonts w:ascii="Arial" w:cs="Arial" w:eastAsia="Arial" w:hAnsi="Arial"/>
          <w:sz w:val="11"/>
          <w:szCs w:val="11"/>
          <w:color w:val="auto"/>
        </w:rPr>
        <w:t xml:space="preserve">), and accepted by the Administrative Agent, in substantially the form of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or any other form (including electronic documentation generated by use of an electronic platform) approved by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the Administrative Agent.</w:t>
      </w:r>
    </w:p>
    <w:p>
      <w:pPr>
        <w:spacing w:after="0" w:line="180" w:lineRule="exact"/>
        <w:rPr>
          <w:sz w:val="20"/>
          <w:szCs w:val="20"/>
          <w:color w:val="auto"/>
        </w:rPr>
      </w:pPr>
    </w:p>
    <w:p>
      <w:pPr>
        <w:ind w:right="4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Attributable Indebtedness</w:t>
      </w:r>
      <w:r>
        <w:rPr>
          <w:rFonts w:ascii="Arial" w:cs="Arial" w:eastAsia="Arial" w:hAnsi="Arial"/>
          <w:sz w:val="14"/>
          <w:szCs w:val="14"/>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70" w:lineRule="exact"/>
        <w:rPr>
          <w:sz w:val="20"/>
          <w:szCs w:val="20"/>
          <w:color w:val="auto"/>
        </w:rPr>
      </w:pPr>
    </w:p>
    <w:p>
      <w:pPr>
        <w:ind w:right="400" w:firstLine="495"/>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Audited Financial Statements</w:t>
      </w:r>
      <w:r>
        <w:rPr>
          <w:rFonts w:ascii="Arial" w:cs="Arial" w:eastAsia="Arial" w:hAnsi="Arial"/>
          <w:sz w:val="13"/>
          <w:szCs w:val="13"/>
          <w:color w:val="auto"/>
        </w:rPr>
        <w:t>” means the audited consolidated balance sheet of the Borrower and its Subsidiaries for the fiscal year ended December 31, 2021, and the related consolidated statements of operations and comprehensive income, stockholders’ equity and cash flows for such fiscal year of the Borrower and its Subsidiaries, including the notes thereto.</w:t>
      </w:r>
    </w:p>
    <w:p>
      <w:pPr>
        <w:spacing w:after="0" w:line="136" w:lineRule="exact"/>
        <w:rPr>
          <w:sz w:val="20"/>
          <w:szCs w:val="20"/>
          <w:color w:val="auto"/>
        </w:rPr>
      </w:pPr>
    </w:p>
    <w:p>
      <w:pPr>
        <w:ind w:right="3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Availability Period</w:t>
      </w:r>
      <w:r>
        <w:rPr>
          <w:rFonts w:ascii="Arial" w:cs="Arial" w:eastAsia="Arial" w:hAnsi="Arial"/>
          <w:sz w:val="14"/>
          <w:szCs w:val="14"/>
          <w:color w:val="auto"/>
        </w:rPr>
        <w:t xml:space="preserve">” means the period from and including the Closing Date to the earliest of (i) the Maturity Date for the Revolving Credit Facility, (ii) the date of termination of the Commitments pursuant to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and (iii) the date of termination of the commitment of each Revolving Credit Lender to make Revolving Credit Loans and of the obligation of the L/C Issuer to make L/C Credit Extensions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280"/>
          </w:cols>
          <w:pgMar w:left="300" w:top="129" w:right="31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Resolution Authority in respect of any liability of an Affected Financial Institution.</w:t>
      </w:r>
    </w:p>
    <w:p>
      <w:pPr>
        <w:spacing w:after="0" w:line="201" w:lineRule="exact"/>
        <w:rPr>
          <w:sz w:val="20"/>
          <w:szCs w:val="20"/>
          <w:color w:val="auto"/>
        </w:rPr>
      </w:pPr>
    </w:p>
    <w:p>
      <w:pPr>
        <w:ind w:firstLine="495"/>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 of America</w:t>
      </w:r>
      <w:r>
        <w:rPr>
          <w:rFonts w:ascii="Arial" w:cs="Arial" w:eastAsia="Arial" w:hAnsi="Arial"/>
          <w:sz w:val="14"/>
          <w:szCs w:val="14"/>
          <w:color w:val="auto"/>
        </w:rPr>
        <w:t>” means Bank of America, N.A. and its successors.</w:t>
      </w:r>
    </w:p>
    <w:p>
      <w:pPr>
        <w:spacing w:after="0" w:line="190" w:lineRule="exact"/>
        <w:rPr>
          <w:sz w:val="20"/>
          <w:szCs w:val="20"/>
          <w:color w:val="auto"/>
        </w:rPr>
      </w:pPr>
    </w:p>
    <w:p>
      <w:pPr>
        <w:ind w:right="40" w:firstLine="495"/>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Base Rate</w:t>
      </w:r>
      <w:r>
        <w:rPr>
          <w:rFonts w:ascii="Arial" w:cs="Arial" w:eastAsia="Arial" w:hAnsi="Arial"/>
          <w:sz w:val="11"/>
          <w:szCs w:val="11"/>
          <w:color w:val="auto"/>
        </w:rPr>
        <w:t xml:space="preserve">” means for any day a fluctuating rate per annum equal to the highest of (a) the Federal Funds Rate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1/2 of 1% (b) the rate of interest in effect for such day as publicly announced from time to time by Bank of America as its “prime rate”, (c) Term SOFR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hereof, then the Base Rate shall be the greater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above and shall be determined without reference to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above.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Rate Loan</w:t>
      </w:r>
      <w:r>
        <w:rPr>
          <w:rFonts w:ascii="Arial" w:cs="Arial" w:eastAsia="Arial" w:hAnsi="Arial"/>
          <w:sz w:val="14"/>
          <w:szCs w:val="14"/>
          <w:color w:val="auto"/>
        </w:rPr>
        <w:t>” means a Revolving Credit Loan that bears interest based on the Base Rate.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Beneficial Ownership Certification</w:t>
      </w:r>
      <w:r>
        <w:rPr>
          <w:rFonts w:ascii="Arial" w:cs="Arial" w:eastAsia="Arial" w:hAnsi="Arial"/>
          <w:sz w:val="14"/>
          <w:szCs w:val="14"/>
          <w:color w:val="auto"/>
        </w:rPr>
        <w:t>” means a certification regarding beneficial ownership required by the Beneficial Ownership Regulation.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Beneficial Ownership Regulation</w:t>
      </w:r>
      <w:r>
        <w:rPr>
          <w:rFonts w:ascii="Arial" w:cs="Arial" w:eastAsia="Arial" w:hAnsi="Arial"/>
          <w:sz w:val="14"/>
          <w:szCs w:val="14"/>
          <w:color w:val="auto"/>
        </w:rPr>
        <w:t>” means 31 C.F.R. § 1010.230.</w:t>
      </w:r>
    </w:p>
    <w:p>
      <w:pPr>
        <w:spacing w:after="0" w:line="190" w:lineRule="exact"/>
        <w:rPr>
          <w:sz w:val="20"/>
          <w:szCs w:val="20"/>
          <w:color w:val="auto"/>
        </w:rPr>
      </w:pPr>
    </w:p>
    <w:p>
      <w:pPr>
        <w:ind w:right="80" w:firstLine="495"/>
        <w:spacing w:after="0" w:line="4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Benefit Plan</w:t>
      </w:r>
      <w:r>
        <w:rPr>
          <w:rFonts w:ascii="Arial" w:cs="Arial" w:eastAsia="Arial" w:hAnsi="Arial"/>
          <w:sz w:val="11"/>
          <w:szCs w:val="1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Borrower</w:t>
      </w:r>
      <w:r>
        <w:rPr>
          <w:rFonts w:ascii="Arial" w:cs="Arial" w:eastAsia="Arial" w:hAnsi="Arial"/>
          <w:sz w:val="14"/>
          <w:szCs w:val="14"/>
          <w:color w:val="auto"/>
        </w:rPr>
        <w:t>” has the meaning specified in the introductory paragraph hereto.</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Borrower Materials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w:t>
      </w:r>
      <w:r>
        <w:rPr>
          <w:rFonts w:ascii="Arial" w:cs="Arial" w:eastAsia="Arial" w:hAnsi="Arial"/>
          <w:sz w:val="14"/>
          <w:szCs w:val="14"/>
          <w:color w:val="auto"/>
        </w:rPr>
        <w:t>” means a Revolving Credit Borrowing or a Swing Line Borrowing, as the context may require.</w:t>
      </w:r>
    </w:p>
    <w:p>
      <w:pPr>
        <w:spacing w:after="0" w:line="190" w:lineRule="exact"/>
        <w:rPr>
          <w:sz w:val="20"/>
          <w:szCs w:val="20"/>
          <w:color w:val="auto"/>
        </w:rPr>
      </w:pPr>
    </w:p>
    <w:p>
      <w:pPr>
        <w:ind w:right="4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a Saturday, Sunday or other day on which commercial banks are authorized to close under the Laws of, or are in fact closed in, the state where the Administrative Agent’s Office is located.</w:t>
      </w:r>
    </w:p>
    <w:p>
      <w:pPr>
        <w:spacing w:after="0" w:line="159" w:lineRule="exact"/>
        <w:rPr>
          <w:sz w:val="20"/>
          <w:szCs w:val="20"/>
          <w:color w:val="auto"/>
        </w:rPr>
      </w:pPr>
    </w:p>
    <w:p>
      <w:pPr>
        <w:ind w:right="7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Expenditures</w:t>
      </w:r>
      <w:r>
        <w:rPr>
          <w:rFonts w:ascii="Arial" w:cs="Arial" w:eastAsia="Arial" w:hAnsi="Arial"/>
          <w:sz w:val="14"/>
          <w:szCs w:val="14"/>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59" w:lineRule="exact"/>
        <w:rPr>
          <w:sz w:val="20"/>
          <w:szCs w:val="20"/>
          <w:color w:val="auto"/>
        </w:rPr>
      </w:pPr>
    </w:p>
    <w:p>
      <w:pPr>
        <w:ind w:right="1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Capitalized Lease</w:t>
      </w:r>
      <w:r>
        <w:rPr>
          <w:rFonts w:ascii="Arial" w:cs="Arial" w:eastAsia="Arial" w:hAnsi="Arial"/>
          <w:sz w:val="14"/>
          <w:szCs w:val="14"/>
          <w:color w:val="auto"/>
        </w:rPr>
        <w:t>” means any lease that has been or is required to be, in accordance with GAAP, recorded, classified and accounted for as a capitalized lease or financing lease (and excluding, for the avoidance of doubt,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280"/>
          </w:cols>
          <w:pgMar w:left="300" w:top="129" w:right="31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 Account</w:t>
      </w:r>
      <w:r>
        <w:rPr>
          <w:rFonts w:ascii="Arial" w:cs="Arial" w:eastAsia="Arial" w:hAnsi="Arial"/>
          <w:sz w:val="14"/>
          <w:szCs w:val="14"/>
          <w:color w:val="auto"/>
        </w:rPr>
        <w:t>” means a blocked, non-interest bearing deposit account of one or more of the Loan Parties at Bank of America in the name of the Administrative Agent and under the sole dominion and control of the Administrative Agent, and otherwise established in a manner satisfactory to the Administrative Agent.</w:t>
      </w:r>
    </w:p>
    <w:p>
      <w:pPr>
        <w:spacing w:after="0" w:line="159" w:lineRule="exact"/>
        <w:rPr>
          <w:sz w:val="20"/>
          <w:szCs w:val="20"/>
          <w:color w:val="auto"/>
        </w:rPr>
      </w:pPr>
    </w:p>
    <w:p>
      <w:pPr>
        <w:ind w:right="140" w:firstLine="495"/>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Collateralize</w:t>
      </w:r>
      <w:r>
        <w:rPr>
          <w:rFonts w:ascii="Arial" w:cs="Arial" w:eastAsia="Arial" w:hAnsi="Arial"/>
          <w:sz w:val="14"/>
          <w:szCs w:val="14"/>
          <w:color w:val="auto"/>
        </w:rPr>
        <w:t>” means to pledge and deposit with or deliver to the Administrative Agent, for the benefit of one or more of the L/C Issuer or Swing Line Lender (as applicable) and the Lenders, as collateral for L/C Obligations, Obligations in respect of Swing Line Loans, or obligations of Lenders to fund participations in respect of L/C Obligations or Swing Line Loans (as the context may require), (a) cash or deposit account balances, (b) backstop letters of credit entered into on terms, from issuers and in amounts satisfactory to the Administrative Agent, L/C Issuer or Swing Line Lender, and/or (c) if the Administrative Agent, the L/C Issuer or Swing Line Lender shall agree in their sole discretion, other credit support, in each case pursuant to documentation in form and substance satisfactory to (a) the Administrative Agent and (b) the L/C Issuer or the Swing Line Lender (as applicable). “Cash Collateral” shall have a meaning correlative to the foregoing and shall include the proceeds of such Cash Collateral and other credit support.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Cash Equivalents</w:t>
      </w:r>
      <w:r>
        <w:rPr>
          <w:rFonts w:ascii="Arial" w:cs="Arial" w:eastAsia="Arial" w:hAnsi="Arial"/>
          <w:sz w:val="11"/>
          <w:szCs w:val="11"/>
          <w:color w:val="auto"/>
        </w:rPr>
        <w:t>” means any of the following types of Investments, to the extent owned by the Borrower or any of its Subsidiaries free and clear of all Liens (other than Liens created under the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Collateral Documents):</w:t>
      </w:r>
    </w:p>
    <w:p>
      <w:pPr>
        <w:spacing w:after="0" w:line="180" w:lineRule="exact"/>
        <w:rPr>
          <w:sz w:val="20"/>
          <w:szCs w:val="20"/>
          <w:color w:val="auto"/>
        </w:rPr>
      </w:pPr>
    </w:p>
    <w:p>
      <w:pPr>
        <w:ind w:left="500" w:right="160" w:firstLine="740"/>
        <w:spacing w:after="0" w:line="305" w:lineRule="auto"/>
        <w:tabs>
          <w:tab w:leader="none" w:pos="1533"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full faith and credit of the United States of America is pledged in support thereof;</w:t>
      </w:r>
    </w:p>
    <w:p>
      <w:pPr>
        <w:spacing w:after="0" w:line="135" w:lineRule="exact"/>
        <w:rPr>
          <w:rFonts w:ascii="Arial" w:cs="Arial" w:eastAsia="Arial" w:hAnsi="Arial"/>
          <w:sz w:val="13"/>
          <w:szCs w:val="13"/>
          <w:color w:val="auto"/>
        </w:rPr>
      </w:pPr>
    </w:p>
    <w:p>
      <w:pPr>
        <w:jc w:val="both"/>
        <w:ind w:left="500" w:right="200" w:firstLine="740"/>
        <w:spacing w:after="0" w:line="343" w:lineRule="auto"/>
        <w:tabs>
          <w:tab w:leader="none" w:pos="1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 xml:space="preserve">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of this definition and (iii) has combined capital and surplus of at least $1,000,000,000, in each case with maturities of not more than 90 days from the date of acquisition thereof;</w:t>
      </w:r>
    </w:p>
    <w:p>
      <w:pPr>
        <w:spacing w:after="0" w:line="122" w:lineRule="exact"/>
        <w:rPr>
          <w:rFonts w:ascii="Arial" w:cs="Arial" w:eastAsia="Arial" w:hAnsi="Arial"/>
          <w:sz w:val="11"/>
          <w:szCs w:val="11"/>
          <w:color w:val="auto"/>
        </w:rPr>
      </w:pPr>
    </w:p>
    <w:p>
      <w:pPr>
        <w:ind w:left="500" w:right="320" w:firstLine="740"/>
        <w:spacing w:after="0" w:line="305" w:lineRule="auto"/>
        <w:tabs>
          <w:tab w:leader="none" w:pos="1533"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35" w:lineRule="exact"/>
        <w:rPr>
          <w:rFonts w:ascii="Arial" w:cs="Arial" w:eastAsia="Arial" w:hAnsi="Arial"/>
          <w:sz w:val="13"/>
          <w:szCs w:val="13"/>
          <w:color w:val="auto"/>
        </w:rPr>
      </w:pPr>
    </w:p>
    <w:p>
      <w:pPr>
        <w:ind w:left="500" w:right="320" w:firstLine="740"/>
        <w:spacing w:after="0" w:line="256" w:lineRule="auto"/>
        <w:tabs>
          <w:tab w:leader="none" w:pos="1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principally comprise Investments of the character, quality and maturity described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of this definition;</w:t>
      </w:r>
    </w:p>
    <w:p>
      <w:pPr>
        <w:spacing w:after="0" w:line="165" w:lineRule="exact"/>
        <w:rPr>
          <w:rFonts w:ascii="Arial" w:cs="Arial" w:eastAsia="Arial" w:hAnsi="Arial"/>
          <w:sz w:val="14"/>
          <w:szCs w:val="14"/>
          <w:color w:val="auto"/>
        </w:rPr>
      </w:pPr>
    </w:p>
    <w:p>
      <w:pPr>
        <w:ind w:left="500" w:right="260" w:firstLine="740"/>
        <w:spacing w:after="0" w:line="305" w:lineRule="auto"/>
        <w:tabs>
          <w:tab w:leader="none" w:pos="1533" w:val="left"/>
        </w:tabs>
        <w:numPr>
          <w:ilvl w:val="0"/>
          <w:numId w:val="45"/>
        </w:numPr>
        <w:rPr>
          <w:rFonts w:ascii="Arial" w:cs="Arial" w:eastAsia="Arial" w:hAnsi="Arial"/>
          <w:sz w:val="13"/>
          <w:szCs w:val="13"/>
          <w:color w:val="auto"/>
        </w:rPr>
      </w:pPr>
      <w:r>
        <w:rPr>
          <w:rFonts w:ascii="Arial" w:cs="Arial" w:eastAsia="Arial" w:hAnsi="Arial"/>
          <w:sz w:val="13"/>
          <w:szCs w:val="13"/>
          <w:color w:val="auto"/>
        </w:rPr>
        <w:t>other Investments, classified as “cash”, “cash equivalents” or “investments” in accordance with GAAP, and that are consistent with the Borrower’s Investment Objectives &amp; Guidelines, as in effect on the Closing Date, together with any changes after the Closing Date as are reasonably satisfactory to Administrative Agent; and</w:t>
      </w:r>
    </w:p>
    <w:p>
      <w:pPr>
        <w:spacing w:after="0" w:line="135" w:lineRule="exact"/>
        <w:rPr>
          <w:rFonts w:ascii="Arial" w:cs="Arial" w:eastAsia="Arial" w:hAnsi="Arial"/>
          <w:sz w:val="13"/>
          <w:szCs w:val="13"/>
          <w:color w:val="auto"/>
        </w:rPr>
      </w:pPr>
    </w:p>
    <w:p>
      <w:pPr>
        <w:ind w:left="500" w:right="400" w:firstLine="740"/>
        <w:spacing w:after="0" w:line="305" w:lineRule="auto"/>
        <w:tabs>
          <w:tab w:leader="none" w:pos="1517" w:val="left"/>
        </w:tabs>
        <w:numPr>
          <w:ilvl w:val="0"/>
          <w:numId w:val="45"/>
        </w:numPr>
        <w:rPr>
          <w:rFonts w:ascii="Arial" w:cs="Arial" w:eastAsia="Arial" w:hAnsi="Arial"/>
          <w:sz w:val="13"/>
          <w:szCs w:val="13"/>
          <w:color w:val="auto"/>
        </w:rPr>
      </w:pPr>
      <w:r>
        <w:rPr>
          <w:rFonts w:ascii="Arial" w:cs="Arial" w:eastAsia="Arial" w:hAnsi="Arial"/>
          <w:sz w:val="13"/>
          <w:szCs w:val="13"/>
          <w:color w:val="auto"/>
        </w:rPr>
        <w:t>other Investments, classified in accordance with GAAP as current assets of the Borrower or any of its Subsidiaries, and that are consistent with the Borrower’s Investment Objectives &amp; Guidelines, as in effect on the Closing Date, together with any changes after the Closing Date as are reasonably satisfactory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280"/>
          </w:cols>
          <w:pgMar w:left="300" w:top="129"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Management Agreement</w:t>
      </w:r>
      <w:r>
        <w:rPr>
          <w:rFonts w:ascii="Arial" w:cs="Arial" w:eastAsia="Arial" w:hAnsi="Arial"/>
          <w:sz w:val="14"/>
          <w:szCs w:val="14"/>
          <w:color w:val="auto"/>
        </w:rPr>
        <w:t>” means any agreement to provide cash management services, including treasury, depository, overdraft, credit or debit card, electronic funds transfer and other cash management arrangements.</w:t>
      </w:r>
    </w:p>
    <w:p>
      <w:pPr>
        <w:spacing w:after="0" w:line="159" w:lineRule="exact"/>
        <w:rPr>
          <w:sz w:val="20"/>
          <w:szCs w:val="20"/>
          <w:color w:val="auto"/>
        </w:rPr>
      </w:pPr>
    </w:p>
    <w:p>
      <w:pPr>
        <w:jc w:val="both"/>
        <w:ind w:right="420" w:firstLine="495"/>
        <w:spacing w:after="0" w:line="24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Management Bank</w:t>
      </w:r>
      <w:r>
        <w:rPr>
          <w:rFonts w:ascii="Arial" w:cs="Arial" w:eastAsia="Arial" w:hAnsi="Arial"/>
          <w:sz w:val="14"/>
          <w:szCs w:val="14"/>
          <w:color w:val="auto"/>
        </w:rPr>
        <w:t xml:space="preserve">” means (i) any Person that, at the time it enters into a Cash Management Agreement, is a Lender or an Affiliate of a Lender, in its capacity as a party to such Cash Management Agreement or (ii) any other person that enters into a Cash Management Agreement and that is a commercial or investment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and the Borrower must have delivered a written notice to the Administrative Agent designating such Person as a Cash Management Bank prior to such date of determination.</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CERCLA</w:t>
      </w:r>
      <w:r>
        <w:rPr>
          <w:rFonts w:ascii="Arial" w:cs="Arial" w:eastAsia="Arial" w:hAnsi="Arial"/>
          <w:sz w:val="14"/>
          <w:szCs w:val="14"/>
          <w:color w:val="auto"/>
        </w:rPr>
        <w:t>” means the Comprehensive Environmental Response, Compensation and Liability Act of 1980.</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CERCLIS</w:t>
      </w:r>
      <w:r>
        <w:rPr>
          <w:rFonts w:ascii="Arial" w:cs="Arial" w:eastAsia="Arial" w:hAnsi="Arial"/>
          <w:sz w:val="14"/>
          <w:szCs w:val="14"/>
          <w:color w:val="auto"/>
        </w:rPr>
        <w:t>” means the Comprehensive Environmental Response, Compensation and Liability Information System maintained by the U.S. Environmental Protection Agency.</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CFC</w:t>
      </w:r>
      <w:r>
        <w:rPr>
          <w:rFonts w:ascii="Arial" w:cs="Arial" w:eastAsia="Arial" w:hAnsi="Arial"/>
          <w:sz w:val="14"/>
          <w:szCs w:val="14"/>
          <w:color w:val="auto"/>
        </w:rPr>
        <w:t>” means a Person that is a controlled foreign corporation under Section 957 of the Code.</w:t>
      </w:r>
    </w:p>
    <w:p>
      <w:pPr>
        <w:spacing w:after="0" w:line="190" w:lineRule="exact"/>
        <w:rPr>
          <w:sz w:val="20"/>
          <w:szCs w:val="20"/>
          <w:color w:val="auto"/>
        </w:rPr>
      </w:pPr>
    </w:p>
    <w:p>
      <w:pPr>
        <w:ind w:right="100" w:firstLine="495"/>
        <w:spacing w:after="0" w:line="27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of Control</w:t>
      </w:r>
      <w:r>
        <w:rPr>
          <w:rFonts w:ascii="Arial" w:cs="Arial" w:eastAsia="Arial" w:hAnsi="Arial"/>
          <w:sz w:val="14"/>
          <w:szCs w:val="14"/>
          <w:color w:val="auto"/>
        </w:rPr>
        <w:t>” means an event or series of events by which:</w:t>
      </w:r>
    </w:p>
    <w:p>
      <w:pPr>
        <w:spacing w:after="0" w:line="190" w:lineRule="exact"/>
        <w:rPr>
          <w:sz w:val="20"/>
          <w:szCs w:val="20"/>
          <w:color w:val="auto"/>
        </w:rPr>
      </w:pPr>
    </w:p>
    <w:p>
      <w:pPr>
        <w:ind w:left="500" w:right="60" w:firstLine="740"/>
        <w:spacing w:after="0" w:line="248" w:lineRule="auto"/>
        <w:tabs>
          <w:tab w:leader="none" w:pos="15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4"/>
          <w:szCs w:val="14"/>
          <w:u w:val="single" w:color="auto"/>
          <w:color w:val="auto"/>
        </w:rPr>
        <w:t>option right</w:t>
      </w:r>
      <w:r>
        <w:rPr>
          <w:rFonts w:ascii="Arial" w:cs="Arial" w:eastAsia="Arial" w:hAnsi="Arial"/>
          <w:sz w:val="14"/>
          <w:szCs w:val="14"/>
          <w:color w:val="auto"/>
        </w:rPr>
        <w: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 w:lineRule="exact"/>
        <w:rPr>
          <w:rFonts w:ascii="Arial" w:cs="Arial" w:eastAsia="Arial" w:hAnsi="Arial"/>
          <w:sz w:val="14"/>
          <w:szCs w:val="14"/>
          <w:color w:val="auto"/>
        </w:rPr>
      </w:pPr>
    </w:p>
    <w:p>
      <w:pPr>
        <w:ind w:left="500" w:right="60" w:firstLine="740"/>
        <w:spacing w:after="0" w:line="247" w:lineRule="auto"/>
        <w:tabs>
          <w:tab w:leader="none" w:pos="1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during any period of twelve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or reaffirmed by individuals referred to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 constituting at the time of such election or nomination at least a majority of that board or equivalent governing body or (iii) whose election or nomination to that board or other equivalent governing body was approved or reaffirmed by individuals referred to in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above constituting at the time of such election or nomination at least a majority of that board or equivalent governing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280"/>
          </w:cols>
          <w:pgMar w:left="300" w:top="129"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xml:space="preserve">” means the first date all the conditions precedent in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are satisfied or waived in accordance with </w:t>
      </w:r>
      <w:r>
        <w:rPr>
          <w:rFonts w:ascii="Arial" w:cs="Arial" w:eastAsia="Arial" w:hAnsi="Arial"/>
          <w:sz w:val="14"/>
          <w:szCs w:val="14"/>
          <w:u w:val="single" w:color="auto"/>
          <w:color w:val="auto"/>
        </w:rPr>
        <w:t>Section 11.01</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CME</w:t>
      </w:r>
      <w:r>
        <w:rPr>
          <w:rFonts w:ascii="Arial" w:cs="Arial" w:eastAsia="Arial" w:hAnsi="Arial"/>
          <w:sz w:val="13"/>
          <w:szCs w:val="13"/>
          <w:color w:val="auto"/>
        </w:rPr>
        <w:t>” means CME Group Benchmark Administration Limited as administrator of the forward-looking term Secured Overnight Financing Rate (SOFR) (or a successor administrator).</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w:t>
      </w:r>
    </w:p>
    <w:p>
      <w:pPr>
        <w:spacing w:after="0" w:line="190" w:lineRule="exact"/>
        <w:rPr>
          <w:sz w:val="20"/>
          <w:szCs w:val="20"/>
          <w:color w:val="auto"/>
        </w:rPr>
      </w:pPr>
    </w:p>
    <w:p>
      <w:pPr>
        <w:ind w:right="6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w:t>
      </w:r>
      <w:r>
        <w:rPr>
          <w:rFonts w:ascii="Arial" w:cs="Arial" w:eastAsia="Arial" w:hAnsi="Arial"/>
          <w:sz w:val="14"/>
          <w:szCs w:val="14"/>
          <w:color w:val="auto"/>
        </w:rPr>
        <w:t>” means all of the “</w:t>
      </w:r>
      <w:r>
        <w:rPr>
          <w:rFonts w:ascii="Arial" w:cs="Arial" w:eastAsia="Arial" w:hAnsi="Arial"/>
          <w:sz w:val="14"/>
          <w:szCs w:val="14"/>
          <w:u w:val="single" w:color="auto"/>
          <w:color w:val="auto"/>
        </w:rPr>
        <w:t>Collateral</w:t>
      </w:r>
      <w:r>
        <w:rPr>
          <w:rFonts w:ascii="Arial" w:cs="Arial" w:eastAsia="Arial" w:hAnsi="Arial"/>
          <w:sz w:val="14"/>
          <w:szCs w:val="14"/>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59" w:lineRule="exact"/>
        <w:rPr>
          <w:sz w:val="20"/>
          <w:szCs w:val="20"/>
          <w:color w:val="auto"/>
        </w:rPr>
      </w:pPr>
    </w:p>
    <w:p>
      <w:pPr>
        <w:ind w:right="6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 Documents</w:t>
      </w:r>
      <w:r>
        <w:rPr>
          <w:rFonts w:ascii="Arial" w:cs="Arial" w:eastAsia="Arial" w:hAnsi="Arial"/>
          <w:sz w:val="14"/>
          <w:szCs w:val="14"/>
          <w:color w:val="auto"/>
        </w:rPr>
        <w:t xml:space="preserve">” means, collectively, the Security Agreement, the Intellectual Property Security Agreements, each of the collateral assignments, Security Agreement Supplements, security agreements, pledge agreements or other similar agreements delivered to the Administrative Agent pursuant to </w:t>
      </w:r>
      <w:r>
        <w:rPr>
          <w:rFonts w:ascii="Arial" w:cs="Arial" w:eastAsia="Arial" w:hAnsi="Arial"/>
          <w:sz w:val="14"/>
          <w:szCs w:val="14"/>
          <w:u w:val="single" w:color="auto"/>
          <w:color w:val="auto"/>
        </w:rPr>
        <w:t>Section 6.12</w:t>
      </w:r>
      <w:r>
        <w:rPr>
          <w:rFonts w:ascii="Arial" w:cs="Arial" w:eastAsia="Arial" w:hAnsi="Arial"/>
          <w:sz w:val="14"/>
          <w:szCs w:val="14"/>
          <w:color w:val="auto"/>
        </w:rPr>
        <w:t>, and each of the other agreements, instruments or documents that creates or purports to create a Lien in favor of the Administrative Agent for the benefit of the Secured Parties.</w:t>
      </w:r>
    </w:p>
    <w:p>
      <w:pPr>
        <w:spacing w:after="0" w:line="166" w:lineRule="exact"/>
        <w:rPr>
          <w:sz w:val="20"/>
          <w:szCs w:val="20"/>
          <w:color w:val="auto"/>
        </w:rPr>
      </w:pPr>
    </w:p>
    <w:p>
      <w:pPr>
        <w:ind w:right="260" w:firstLine="495"/>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xml:space="preserve">” means, as to each Lender, its obligation to (a) make Revolving Credit Loans to the Borrower pursuant to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under the caption “Commitment” or opposite such caption in the Assignment and Assumption pursuant to which such Lender becomes a party hereto, as applicable, as such amount may be adjusted from time to time in accordance with this Agreement. The Commitment of all of the Lenders on the Closing Date shall be $100,000,000.</w:t>
      </w:r>
    </w:p>
    <w:p>
      <w:pPr>
        <w:spacing w:after="0" w:line="153" w:lineRule="exact"/>
        <w:rPr>
          <w:sz w:val="20"/>
          <w:szCs w:val="20"/>
          <w:color w:val="auto"/>
        </w:rPr>
      </w:pPr>
    </w:p>
    <w:p>
      <w:pPr>
        <w:jc w:val="both"/>
        <w:ind w:right="36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Committed Loan Notice</w:t>
      </w:r>
      <w:r>
        <w:rPr>
          <w:rFonts w:ascii="Arial" w:cs="Arial" w:eastAsia="Arial" w:hAnsi="Arial"/>
          <w:sz w:val="13"/>
          <w:szCs w:val="13"/>
          <w:color w:val="auto"/>
        </w:rPr>
        <w:t xml:space="preserve">” means a notice of (a) a Revolving Credit Borrowing, (b) a conversion of Loans from one Type to the other, or (c) a continuation of Term SOFR Loans, pursuant to </w:t>
      </w:r>
      <w:r>
        <w:rPr>
          <w:rFonts w:ascii="Arial" w:cs="Arial" w:eastAsia="Arial" w:hAnsi="Arial"/>
          <w:sz w:val="13"/>
          <w:szCs w:val="13"/>
          <w:u w:val="single" w:color="auto"/>
          <w:color w:val="auto"/>
        </w:rPr>
        <w:t>Section 2.02(a)</w:t>
      </w:r>
      <w:r>
        <w:rPr>
          <w:rFonts w:ascii="Arial" w:cs="Arial" w:eastAsia="Arial" w:hAnsi="Arial"/>
          <w:sz w:val="13"/>
          <w:szCs w:val="13"/>
          <w:color w:val="auto"/>
        </w:rPr>
        <w:t xml:space="preserve">, which shall be substantially in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Commodity Exchange Act</w:t>
      </w:r>
      <w:r>
        <w:rPr>
          <w:rFonts w:ascii="Arial" w:cs="Arial" w:eastAsia="Arial" w:hAnsi="Arial"/>
          <w:sz w:val="14"/>
          <w:szCs w:val="14"/>
          <w:color w:val="auto"/>
        </w:rPr>
        <w:t xml:space="preserve">” means the Commodity Exchange Act (7 U.S.C. § 1 </w:t>
      </w:r>
      <w:r>
        <w:rPr>
          <w:rFonts w:ascii="Arial" w:cs="Arial" w:eastAsia="Arial" w:hAnsi="Arial"/>
          <w:sz w:val="14"/>
          <w:szCs w:val="14"/>
          <w:i w:val="1"/>
          <w:iCs w:val="1"/>
          <w:color w:val="auto"/>
        </w:rPr>
        <w:t>et seq</w:t>
      </w:r>
      <w:r>
        <w:rPr>
          <w:rFonts w:ascii="Arial" w:cs="Arial" w:eastAsia="Arial" w:hAnsi="Arial"/>
          <w:sz w:val="14"/>
          <w:szCs w:val="14"/>
          <w:color w:val="auto"/>
        </w:rPr>
        <w:t>.), as amended from time to time, and any successor statute.</w:t>
      </w:r>
    </w:p>
    <w:p>
      <w:pPr>
        <w:spacing w:after="0" w:line="190" w:lineRule="exact"/>
        <w:rPr>
          <w:sz w:val="20"/>
          <w:szCs w:val="20"/>
          <w:color w:val="auto"/>
        </w:rPr>
      </w:pPr>
    </w:p>
    <w:p>
      <w:pPr>
        <w:ind w:right="7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Communication</w:t>
      </w:r>
      <w:r>
        <w:rPr>
          <w:rFonts w:ascii="Arial" w:cs="Arial" w:eastAsia="Arial" w:hAnsi="Arial"/>
          <w:sz w:val="14"/>
          <w:szCs w:val="14"/>
          <w:color w:val="auto"/>
        </w:rPr>
        <w:t>” means this Agreement, any Loan Document and any document, any amendment, approval, consent, information, notice, certificate, request, statement, disclosure or authorization related to any Loan Document.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means a certificate substantially in the form of </w:t>
      </w: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190" w:lineRule="exact"/>
        <w:rPr>
          <w:sz w:val="20"/>
          <w:szCs w:val="20"/>
          <w:color w:val="auto"/>
        </w:rPr>
      </w:pPr>
    </w:p>
    <w:p>
      <w:pPr>
        <w:ind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Conforming Changes</w:t>
      </w:r>
      <w:r>
        <w:rPr>
          <w:rFonts w:ascii="Arial" w:cs="Arial" w:eastAsia="Arial" w:hAnsi="Arial"/>
          <w:sz w:val="13"/>
          <w:szCs w:val="13"/>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1280"/>
          </w:cols>
          <w:pgMar w:left="300" w:top="129"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Connection Income Taxes</w:t>
      </w:r>
      <w:r>
        <w:rPr>
          <w:rFonts w:ascii="Arial" w:cs="Arial" w:eastAsia="Arial" w:hAnsi="Arial"/>
          <w:sz w:val="13"/>
          <w:szCs w:val="13"/>
          <w:color w:val="auto"/>
        </w:rPr>
        <w:t>” means Other Connection Taxes that are imposed on or measured by net income (however denominated) or that are franchise Taxes or branch profits Taxes.</w:t>
      </w:r>
    </w:p>
    <w:p>
      <w:pPr>
        <w:spacing w:after="0" w:line="201" w:lineRule="exact"/>
        <w:rPr>
          <w:sz w:val="20"/>
          <w:szCs w:val="20"/>
          <w:color w:val="auto"/>
        </w:rPr>
      </w:pPr>
    </w:p>
    <w:p>
      <w:pPr>
        <w:ind w:firstLine="495"/>
        <w:spacing w:after="0" w:line="31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EBITDA</w:t>
      </w:r>
      <w:r>
        <w:rPr>
          <w:rFonts w:ascii="Arial" w:cs="Arial" w:eastAsia="Arial" w:hAnsi="Arial"/>
          <w:sz w:val="11"/>
          <w:szCs w:val="11"/>
          <w:color w:val="auto"/>
        </w:rPr>
        <w:t xml:space="preserve">” means, at any date of determination, an amount equal to Consolidated Net Income of the Borrower and its Subsidiaries on a consolidated basis for the most recently completed Measurement Period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 the following to the extent deducted in calculating such Consolidated Net Income: (i) Consolidated Interest Charges, (ii) the provision for federal, state, local and foreign income taxes payable, (iii) depreciation and amortization expense, (iv) costs and expenses, including all stock-based compensation expenses, incurred pursuant to any management equity plan, stock option plan, stock incentive plan, stock purchase plan or other management or employee benefit plan, to the extent such costs or expenses are either non-cash or are funded with cash proceeds of the issuance of equity interests by Borrower; (v) any non-cash losses related to hedging, including, without limitation, resulting from hedging transactions for (x) interest rate risks associated with this Agreement or (y) the Convertible Notes; (vi) acquired in-process research and development expense in connection with an acquisition permitted hereunder by the Borrower or any of its Subsidiaries of any assets; (vii) restructuring or reorganization charges or reserves, including any one-time costs incurred in connection with acquisitions or investments permitted hereunder and other Investments and costs related to the closure, consolidation and integration of facilities, information technology infrastructure and legal entities, or other internal reorganizations or consolidations, and severance and retention bonuses;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amount of expenses added back pursuant to this clause (vii) shall not exceed 12% of Consolidated EBITIDA for any applicable Measurement Period (prior to giving effect to the addbacks pursuant to this clause (vii)); (viii) costs paid and expenses incurred in connection with litigation settlements; (ix) unrealized losses on equity and securities investments, and changes in value of stock warrants and similar securities issued by the Borrower; (x) cost savings, operating expense reductions and synergies reasonably expected by Borrower in good faith to be realized as a result of any acquisition, other Investment or Disposition, in each case permitted hereunder, or any operational initiative, in each case within the eight consecutive fiscal quarters following the consummation of such acquisition, Investment, Disposition or initiative, calculated as though such cost savings and synergies had been realized on the first day of such period and net of the amount of actual benefits received during such period from such acquisition;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a duly completed certificate (which may be included in a Compliance Certificate) signed by a Responsible Officer of the Borrower (summarizing in detail reasonably satisfactory to Administrative Agent the cash savings, operating expense reductions or synergies expected in connection with such acquisition, Investment, Disposition or initiative) shall have been delivered to the Administrative Agent, (B) no cost savings or synergies shall be added pursuant to this clause (x) to the extent duplicative of any expenses or charges otherwise added to Consolidated EBITDA, whether through a pro forma adjustment or otherwise, for such period and (C) the aggregate amount of cost savings and synergies added back pursuant to this clause (x) shall not exceed 20% of Consolidated EBITDA for any applicable Measurement Period (prior to giving effect to the addbacks pursuant to this clause (x)), (xi) any non-cash write-offs or write-downs, or non-cash impairment charges (including any impairment of intangibles or goodwill) not expected to become a cash item in any future period, (xii) any non-cash losses associated with changes in foreign currency exchange rates and (xiii) other non-cash losses, expenses or charges reducing such Consolidated Net Income which do not represent a cash item in such period or any future period (in each case of or by the Borrower and its Subsidiaries for such Measurement Period) and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(b) the following to the extent included in calculating such Consolidated Net Income: (i) Federal, state, local and foreign income tax benefits, (ii) all non-cash items increasing Consolidated Net Income (other than reversals of non-cash items that were expected to become cash items to the extent such items were not added back to Consolidated EBITDA when accrued and accruals of revenue or recording of receivables in the ordinary course of business), (iii) any non-cash gain related to hedging, including, without limitation, resulting from hedging transactions for (x) interest rate risks associated with this Agreement or (y) the Convertible Notes, (iv) unrealized gains on equity and securities investments and (v) any non-cash gains associated with changes in foreign currency exchange rates (in each case of or by the Borrower and its Subsidiaries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1280"/>
          </w:cols>
          <w:pgMar w:left="300" w:top="129"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495"/>
        <w:spacing w:after="0" w:line="27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Funded Indebtedness</w:t>
      </w:r>
      <w:r>
        <w:rPr>
          <w:rFonts w:ascii="Arial" w:cs="Arial" w:eastAsia="Arial" w:hAnsi="Arial"/>
          <w:sz w:val="13"/>
          <w:szCs w:val="13"/>
          <w:color w:val="auto"/>
        </w:rPr>
        <w:t xml:space="preserve">” means, as of any date of determination, for the Borrower and its Subsidiaries on a consolidated basis, the sum of, without duplication,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in each case solely to the extent drawn by the beneficiary thereof, (d) all obligations in respect of the deferred purchase price of property or services (other than trade accounts payable in the ordinary course of business), (e) all Attributable Indebtedness, (f) without duplication, all Guarantees with respect to outstanding Indebtedness of the types specified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(e)</w:t>
      </w:r>
      <w:r>
        <w:rPr>
          <w:rFonts w:ascii="Arial" w:cs="Arial" w:eastAsia="Arial" w:hAnsi="Arial"/>
          <w:sz w:val="13"/>
          <w:szCs w:val="13"/>
          <w:color w:val="auto"/>
        </w:rPr>
        <w:t xml:space="preserve"> above of Persons other than the Borrower or any Subsidiary, and (g) all Indebtedness of the types referred to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(f)</w:t>
      </w:r>
      <w:r>
        <w:rPr>
          <w:rFonts w:ascii="Arial" w:cs="Arial" w:eastAsia="Arial" w:hAnsi="Arial"/>
          <w:sz w:val="13"/>
          <w:szCs w:val="13"/>
          <w:color w:val="auto"/>
        </w:rPr>
        <w:t xml:space="preserve"> above of any partnership or joint venture (other than a joint venture that is itself a corporation, limited liability company or similar entity) in which the Borrower or a Subsidiary is a general partner or joint venturer, unless such Indebtedness is expressly made non-recourse to the Borrower or such Subsidiary.</w:t>
      </w:r>
    </w:p>
    <w:p>
      <w:pPr>
        <w:spacing w:after="0" w:line="160" w:lineRule="exact"/>
        <w:rPr>
          <w:sz w:val="20"/>
          <w:szCs w:val="20"/>
          <w:color w:val="auto"/>
        </w:rPr>
      </w:pPr>
    </w:p>
    <w:p>
      <w:pPr>
        <w:ind w:firstLine="495"/>
        <w:spacing w:after="0" w:line="35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Funded Net Indebtedness</w:t>
      </w:r>
      <w:r>
        <w:rPr>
          <w:rFonts w:ascii="Arial" w:cs="Arial" w:eastAsia="Arial" w:hAnsi="Arial"/>
          <w:sz w:val="11"/>
          <w:szCs w:val="11"/>
          <w:color w:val="auto"/>
        </w:rPr>
        <w:t>” means, Consolidated Funded Indebtedness net of the sum of (a) the aggregate unrestricted cash and Cash Equivalents of the Borrower and its Subsidiaries maintained in the United States, plus (b) unrestricted Investments made in accordance with the Borrower’s Investment Objectives &amp; Guidelines as in effect on the Closing Date, together with any changes after the Closing Date as are reasonably satisfactory to Administrative Agent, in an aggregate amount for the foregoing clauses (a) and (b) not to exceed $100,000,000 at any time.</w:t>
      </w:r>
    </w:p>
    <w:p>
      <w:pPr>
        <w:spacing w:after="0" w:line="115" w:lineRule="exact"/>
        <w:rPr>
          <w:sz w:val="20"/>
          <w:szCs w:val="20"/>
          <w:color w:val="auto"/>
        </w:rPr>
      </w:pPr>
    </w:p>
    <w:p>
      <w:pPr>
        <w:ind w:right="2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Interest Charges</w:t>
      </w:r>
      <w:r>
        <w:rPr>
          <w:rFonts w:ascii="Arial" w:cs="Arial" w:eastAsia="Arial" w:hAnsi="Arial"/>
          <w:sz w:val="14"/>
          <w:szCs w:val="14"/>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expense in accordance with GAAP, (b) all interest paid or payable with respect to discontinued operations and (c) the portion of rent expense under Capitalized Leases that is treated as interest expense in accordance with GAAP, in each case, of or by the Borrower and its Subsidiaries on a consolidated basis for the most recently completed Measurement Period.</w:t>
      </w:r>
    </w:p>
    <w:p>
      <w:pPr>
        <w:spacing w:after="0" w:line="170" w:lineRule="exact"/>
        <w:rPr>
          <w:sz w:val="20"/>
          <w:szCs w:val="20"/>
          <w:color w:val="auto"/>
        </w:rPr>
      </w:pPr>
    </w:p>
    <w:p>
      <w:pPr>
        <w:ind w:right="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Interest Coverage Ratio</w:t>
      </w:r>
      <w:r>
        <w:rPr>
          <w:rFonts w:ascii="Arial" w:cs="Arial" w:eastAsia="Arial" w:hAnsi="Arial"/>
          <w:sz w:val="14"/>
          <w:szCs w:val="14"/>
          <w:color w:val="auto"/>
        </w:rPr>
        <w:t>” means, as of any date of determination, the ratio of (a) Consolidated EBITDA to (b) Consolidated Interest Charges, in each case, of or by the Borrower and its Subsidiaries on a consolidated basis for the most recently completed Measurement Period.</w:t>
      </w:r>
    </w:p>
    <w:p>
      <w:pPr>
        <w:spacing w:after="0" w:line="159" w:lineRule="exact"/>
        <w:rPr>
          <w:sz w:val="20"/>
          <w:szCs w:val="20"/>
          <w:color w:val="auto"/>
        </w:rPr>
      </w:pPr>
    </w:p>
    <w:p>
      <w:pPr>
        <w:ind w:right="2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Net Leverage Ratio</w:t>
      </w:r>
      <w:r>
        <w:rPr>
          <w:rFonts w:ascii="Arial" w:cs="Arial" w:eastAsia="Arial" w:hAnsi="Arial"/>
          <w:sz w:val="14"/>
          <w:szCs w:val="14"/>
          <w:color w:val="auto"/>
        </w:rPr>
        <w:t>” means, as of any date of determination, the ratio of (a) Consolidated Funded Net Indebtedness as of such date to (b) Consolidated EBITDA of the Borrower and its Subsidiaries on a consolidated basis for the most recently completed Measurement Period.</w:t>
      </w:r>
    </w:p>
    <w:p>
      <w:pPr>
        <w:spacing w:after="0" w:line="159" w:lineRule="exact"/>
        <w:rPr>
          <w:sz w:val="20"/>
          <w:szCs w:val="20"/>
          <w:color w:val="auto"/>
        </w:rPr>
      </w:pPr>
    </w:p>
    <w:p>
      <w:pPr>
        <w:ind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Income</w:t>
      </w:r>
      <w:r>
        <w:rPr>
          <w:rFonts w:ascii="Arial" w:cs="Arial" w:eastAsia="Arial" w:hAnsi="Arial"/>
          <w:sz w:val="13"/>
          <w:szCs w:val="13"/>
          <w:color w:val="auto"/>
        </w:rPr>
        <w:t xml:space="preserve">” means, at any date of determination, the net income (or loss) of the Borrower and its Subsidiaries on a consolidated basis for the most recently completed Measurement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Consolidated Net Income shall exclude (a) extraordinary or infrequent gains or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this proviso).</w:t>
      </w:r>
    </w:p>
    <w:p>
      <w:pPr>
        <w:spacing w:after="0" w:line="159" w:lineRule="exact"/>
        <w:rPr>
          <w:sz w:val="20"/>
          <w:szCs w:val="20"/>
          <w:color w:val="auto"/>
        </w:rPr>
      </w:pPr>
    </w:p>
    <w:p>
      <w:pPr>
        <w:ind w:right="1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Contractual Obligation</w:t>
      </w:r>
      <w:r>
        <w:rPr>
          <w:rFonts w:ascii="Arial" w:cs="Arial" w:eastAsia="Arial" w:hAnsi="Arial"/>
          <w:sz w:val="14"/>
          <w:szCs w:val="14"/>
          <w:color w:val="auto"/>
        </w:rPr>
        <w:t>” means, as to any Person, any provision of any security issued by such Person or of any agreement, instrument or other undertaking to which such Person is a party or by which it or any of its property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ectPr>
          <w:pgSz w:w="11900" w:h="16838" w:orient="portrait"/>
          <w:cols w:equalWidth="0" w:num="1">
            <w:col w:w="11280"/>
          </w:cols>
          <w:pgMar w:left="300" w:top="129"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4"/>
          <w:szCs w:val="14"/>
          <w:u w:val="single" w:color="auto"/>
          <w:color w:val="auto"/>
        </w:rPr>
        <w:t>Controlling</w:t>
      </w:r>
      <w:r>
        <w:rPr>
          <w:rFonts w:ascii="Arial" w:cs="Arial" w:eastAsia="Arial" w:hAnsi="Arial"/>
          <w:sz w:val="14"/>
          <w:szCs w:val="14"/>
          <w:color w:val="auto"/>
        </w:rPr>
        <w:t>” and “</w:t>
      </w:r>
      <w:r>
        <w:rPr>
          <w:rFonts w:ascii="Arial" w:cs="Arial" w:eastAsia="Arial" w:hAnsi="Arial"/>
          <w:sz w:val="14"/>
          <w:szCs w:val="14"/>
          <w:u w:val="single" w:color="auto"/>
          <w:color w:val="auto"/>
        </w:rPr>
        <w:t>Controlled</w:t>
      </w:r>
      <w:r>
        <w:rPr>
          <w:rFonts w:ascii="Arial" w:cs="Arial" w:eastAsia="Arial" w:hAnsi="Arial"/>
          <w:sz w:val="14"/>
          <w:szCs w:val="14"/>
          <w:color w:val="auto"/>
        </w:rPr>
        <w:t>” have meanings correlative thereto.</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Controlled Account</w:t>
      </w:r>
      <w:r>
        <w:rPr>
          <w:rFonts w:ascii="Arial" w:cs="Arial" w:eastAsia="Arial" w:hAnsi="Arial"/>
          <w:sz w:val="11"/>
          <w:szCs w:val="11"/>
          <w:color w:val="auto"/>
        </w:rPr>
        <w:t>” means each deposit account and securities account that is subject to an account control agreement in form and substance satisfactory to the Administrative Agent and the L/C</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Issuer.</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Convertible Notes</w:t>
      </w:r>
      <w:r>
        <w:rPr>
          <w:rFonts w:ascii="Arial" w:cs="Arial" w:eastAsia="Arial" w:hAnsi="Arial"/>
          <w:sz w:val="14"/>
          <w:szCs w:val="14"/>
          <w:color w:val="auto"/>
        </w:rPr>
        <w:t>” means the 2025 Convertible Notes.</w:t>
      </w:r>
    </w:p>
    <w:p>
      <w:pPr>
        <w:spacing w:after="0" w:line="190" w:lineRule="exact"/>
        <w:rPr>
          <w:sz w:val="20"/>
          <w:szCs w:val="20"/>
          <w:color w:val="auto"/>
        </w:rPr>
      </w:pPr>
    </w:p>
    <w:p>
      <w:pPr>
        <w:ind w:right="1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Convertible Notes Documents</w:t>
      </w:r>
      <w:r>
        <w:rPr>
          <w:rFonts w:ascii="Arial" w:cs="Arial" w:eastAsia="Arial" w:hAnsi="Arial"/>
          <w:sz w:val="14"/>
          <w:szCs w:val="14"/>
          <w:color w:val="auto"/>
        </w:rPr>
        <w:t>” means, collectively, the 2025 Indenture and all other agreements, instruments and other documents pursuant to which the Convertible Notes have been or will be issued or otherwise setting forth the terms of the Convertible Notes.</w:t>
      </w:r>
    </w:p>
    <w:p>
      <w:pPr>
        <w:spacing w:after="0" w:line="159" w:lineRule="exact"/>
        <w:rPr>
          <w:sz w:val="20"/>
          <w:szCs w:val="20"/>
          <w:color w:val="auto"/>
        </w:rPr>
      </w:pPr>
    </w:p>
    <w:p>
      <w:pPr>
        <w:ind w:right="7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Copyrights</w:t>
      </w:r>
      <w:r>
        <w:rPr>
          <w:rFonts w:ascii="Arial" w:cs="Arial" w:eastAsia="Arial" w:hAnsi="Arial"/>
          <w:sz w:val="14"/>
          <w:szCs w:val="14"/>
          <w:color w:val="auto"/>
        </w:rPr>
        <w:t>” means, collectively: (i) all copyrights, works protectable by copyright, copyright registrations and copyright applications anywhere in the world, (ii) all derivative works, counterparts, extensions and renewals of any of the foregoing and (iii) all rights corresponding to any of the foregoing throughout the world.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Entity</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11.20(b)</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Credit Extension</w:t>
      </w:r>
      <w:r>
        <w:rPr>
          <w:rFonts w:ascii="Arial" w:cs="Arial" w:eastAsia="Arial" w:hAnsi="Arial"/>
          <w:sz w:val="14"/>
          <w:szCs w:val="14"/>
          <w:color w:val="auto"/>
        </w:rPr>
        <w:t>” means each of the following: (a) a Borrowing and (b) an L/C Credit Extension.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Daily Simple SOFR</w:t>
      </w:r>
      <w:r>
        <w:rPr>
          <w:rFonts w:ascii="Arial" w:cs="Arial" w:eastAsia="Arial" w:hAnsi="Arial"/>
          <w:sz w:val="11"/>
          <w:szCs w:val="11"/>
          <w:color w:val="auto"/>
        </w:rPr>
        <w:t>” with respect to any applicable determination date means the SOFR published on such date on the Federal Reserve Bank of New York’s website (or any successor source).</w:t>
      </w:r>
    </w:p>
    <w:p>
      <w:pPr>
        <w:spacing w:after="0" w:line="224" w:lineRule="exact"/>
        <w:rPr>
          <w:sz w:val="20"/>
          <w:szCs w:val="20"/>
          <w:color w:val="auto"/>
        </w:rPr>
      </w:pPr>
    </w:p>
    <w:p>
      <w:pPr>
        <w:ind w:right="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Debtor Relief Laws</w:t>
      </w:r>
      <w:r>
        <w:rPr>
          <w:rFonts w:ascii="Arial" w:cs="Arial" w:eastAsia="Arial" w:hAnsi="Arial"/>
          <w:sz w:val="14"/>
          <w:szCs w:val="14"/>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means any event or condition that constitutes an Event of Default or that, with the giving of any notice, the passage of time, or both, would be an Event of Default.</w:t>
      </w:r>
    </w:p>
    <w:p>
      <w:pPr>
        <w:spacing w:after="0" w:line="190" w:lineRule="exact"/>
        <w:rPr>
          <w:sz w:val="20"/>
          <w:szCs w:val="20"/>
          <w:color w:val="auto"/>
        </w:rPr>
      </w:pPr>
    </w:p>
    <w:p>
      <w:pPr>
        <w:ind w:right="14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Rate</w:t>
      </w:r>
      <w:r>
        <w:rPr>
          <w:rFonts w:ascii="Arial" w:cs="Arial" w:eastAsia="Arial" w:hAnsi="Arial"/>
          <w:sz w:val="13"/>
          <w:szCs w:val="13"/>
          <w:color w:val="auto"/>
        </w:rPr>
        <w:t xml:space="preserve">” means (a) when used with respect to Obligations other than Letter of Credit Fees, an interest rate equal to (i)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Applicable Rate, if any, applicable to Base Rate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2% per annum;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with respect to a Term SOFR Loan, the Default Rate shall be an interest rate equal to the interest rate (including any Applicable Rate) otherwise applicable to such Loan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2% per annum and (b) when used with respect to Letter of Credit Fees, a rate equal to the Applicable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2%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1280"/>
          </w:cols>
          <w:pgMar w:left="300" w:top="129" w:right="3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5"/>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Lender</w:t>
      </w:r>
      <w:r>
        <w:rPr>
          <w:rFonts w:ascii="Arial" w:cs="Arial" w:eastAsia="Arial" w:hAnsi="Arial"/>
          <w:sz w:val="13"/>
          <w:szCs w:val="13"/>
          <w:color w:val="auto"/>
        </w:rPr>
        <w:t xml:space="preserve">” means, subject to </w:t>
      </w:r>
      <w:r>
        <w:rPr>
          <w:rFonts w:ascii="Arial" w:cs="Arial" w:eastAsia="Arial" w:hAnsi="Arial"/>
          <w:sz w:val="13"/>
          <w:szCs w:val="13"/>
          <w:u w:val="single" w:color="auto"/>
          <w:color w:val="auto"/>
        </w:rPr>
        <w:t>Section 2.17(b)</w:t>
      </w:r>
      <w:r>
        <w:rPr>
          <w:rFonts w:ascii="Arial" w:cs="Arial" w:eastAsia="Arial" w:hAnsi="Arial"/>
          <w:sz w:val="13"/>
          <w:szCs w:val="13"/>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or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Lender shall cease to be a Defaulting Lender pursuant to this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upon receipt of such written confirmation by the Administrative Agent and the Borrower). Any determination by the Administrative Agent that a Lender is a Defaulting Lender under any one or more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(c)</w:t>
      </w:r>
      <w:r>
        <w:rPr>
          <w:rFonts w:ascii="Arial" w:cs="Arial" w:eastAsia="Arial" w:hAnsi="Arial"/>
          <w:sz w:val="13"/>
          <w:szCs w:val="13"/>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3"/>
          <w:szCs w:val="13"/>
          <w:u w:val="single" w:color="auto"/>
          <w:color w:val="auto"/>
        </w:rPr>
        <w:t>Section 2.17(b)</w:t>
      </w:r>
      <w:r>
        <w:rPr>
          <w:rFonts w:ascii="Arial" w:cs="Arial" w:eastAsia="Arial" w:hAnsi="Arial"/>
          <w:sz w:val="13"/>
          <w:szCs w:val="13"/>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Jurisdiction</w:t>
      </w:r>
      <w:r>
        <w:rPr>
          <w:rFonts w:ascii="Arial" w:cs="Arial" w:eastAsia="Arial" w:hAnsi="Arial"/>
          <w:sz w:val="14"/>
          <w:szCs w:val="14"/>
          <w:color w:val="auto"/>
        </w:rPr>
        <w:t>” means any country or territory to the extent that such country or territory itself is the subject of any Sanction.</w:t>
      </w:r>
    </w:p>
    <w:p>
      <w:pPr>
        <w:spacing w:after="0" w:line="190" w:lineRule="exact"/>
        <w:rPr>
          <w:sz w:val="20"/>
          <w:szCs w:val="20"/>
          <w:color w:val="auto"/>
        </w:rPr>
      </w:pPr>
    </w:p>
    <w:p>
      <w:pPr>
        <w:ind w:right="8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Disposition</w:t>
      </w:r>
      <w:r>
        <w:rPr>
          <w:rFonts w:ascii="Arial" w:cs="Arial" w:eastAsia="Arial" w:hAnsi="Arial"/>
          <w:sz w:val="14"/>
          <w:szCs w:val="14"/>
          <w:color w:val="auto"/>
        </w:rPr>
        <w:t>” or “</w:t>
      </w:r>
      <w:r>
        <w:rPr>
          <w:rFonts w:ascii="Arial" w:cs="Arial" w:eastAsia="Arial" w:hAnsi="Arial"/>
          <w:sz w:val="14"/>
          <w:szCs w:val="14"/>
          <w:u w:val="single" w:color="auto"/>
          <w:color w:val="auto"/>
        </w:rPr>
        <w:t>Dispose</w:t>
      </w:r>
      <w:r>
        <w:rPr>
          <w:rFonts w:ascii="Arial" w:cs="Arial" w:eastAsia="Arial" w:hAnsi="Arial"/>
          <w:sz w:val="14"/>
          <w:szCs w:val="14"/>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Dividing Person</w:t>
      </w:r>
      <w:r>
        <w:rPr>
          <w:rFonts w:ascii="Arial" w:cs="Arial" w:eastAsia="Arial" w:hAnsi="Arial"/>
          <w:sz w:val="14"/>
          <w:szCs w:val="14"/>
          <w:color w:val="auto"/>
        </w:rPr>
        <w:t>” has the meaning assigned to it in the definition of “Division.”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Division</w:t>
      </w:r>
      <w:r>
        <w:rPr>
          <w:rFonts w:ascii="Arial" w:cs="Arial" w:eastAsia="Arial" w:hAnsi="Arial"/>
          <w:sz w:val="14"/>
          <w:szCs w:val="14"/>
          <w:color w:val="auto"/>
        </w:rPr>
        <w:t>” means the division of the assets, liabilities and/or obligations of a Person (the</w:t>
      </w:r>
    </w:p>
    <w:p>
      <w:pPr>
        <w:spacing w:after="0" w:line="190" w:lineRule="exact"/>
        <w:rPr>
          <w:sz w:val="20"/>
          <w:szCs w:val="20"/>
          <w:color w:val="auto"/>
        </w:rPr>
      </w:pPr>
    </w:p>
    <w:p>
      <w:pPr>
        <w:ind w:right="1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Dividing Person</w:t>
      </w:r>
      <w:r>
        <w:rPr>
          <w:rFonts w:ascii="Arial" w:cs="Arial" w:eastAsia="Arial" w:hAnsi="Arial"/>
          <w:sz w:val="14"/>
          <w:szCs w:val="14"/>
          <w:color w:val="auto"/>
        </w:rPr>
        <w:t>”) among two or more Persons (whether pursuant to a “plan of division” or similar arrangement), which may or may not include the Dividing Person and pursuant to which the Dividing Person may or may not survive.</w:t>
      </w:r>
    </w:p>
    <w:p>
      <w:pPr>
        <w:spacing w:after="0" w:line="159"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Division Successor</w:t>
      </w:r>
      <w:r>
        <w:rPr>
          <w:rFonts w:ascii="Arial" w:cs="Arial" w:eastAsia="Arial" w:hAnsi="Arial"/>
          <w:sz w:val="14"/>
          <w:szCs w:val="14"/>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w:t>
      </w:r>
      <w:r>
        <w:rPr>
          <w:rFonts w:ascii="Arial" w:cs="Arial" w:eastAsia="Arial" w:hAnsi="Arial"/>
          <w:sz w:val="14"/>
          <w:szCs w:val="14"/>
          <w:color w:val="auto"/>
        </w:rPr>
        <w:t>” and “</w:t>
      </w:r>
      <w:r>
        <w:rPr>
          <w:rFonts w:ascii="Arial" w:cs="Arial" w:eastAsia="Arial" w:hAnsi="Arial"/>
          <w:sz w:val="14"/>
          <w:szCs w:val="14"/>
          <w:u w:val="single" w:color="auto"/>
          <w:color w:val="auto"/>
        </w:rPr>
        <w:t>$</w:t>
      </w:r>
      <w:r>
        <w:rPr>
          <w:rFonts w:ascii="Arial" w:cs="Arial" w:eastAsia="Arial" w:hAnsi="Arial"/>
          <w:sz w:val="14"/>
          <w:szCs w:val="14"/>
          <w:color w:val="auto"/>
        </w:rPr>
        <w:t>” mean lawful money of the United States.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Domestic Subsidiary</w:t>
      </w:r>
      <w:r>
        <w:rPr>
          <w:rFonts w:ascii="Arial" w:cs="Arial" w:eastAsia="Arial" w:hAnsi="Arial"/>
          <w:sz w:val="14"/>
          <w:szCs w:val="14"/>
          <w:color w:val="auto"/>
        </w:rPr>
        <w:t>” means any Subsidiary that is organized under the laws of any political subdivision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280"/>
          </w:cols>
          <w:pgMar w:left="300" w:top="129"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this definition, or (c) any financial institution established in an EEA Member Country which is a Subsidiary of an institution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definition and is subject to consolidated supervision with its parent.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EEA Member Country</w:t>
      </w:r>
      <w:r>
        <w:rPr>
          <w:rFonts w:ascii="Arial" w:cs="Arial" w:eastAsia="Arial" w:hAnsi="Arial"/>
          <w:sz w:val="14"/>
          <w:szCs w:val="14"/>
          <w:color w:val="auto"/>
        </w:rPr>
        <w:t>” means any of the member states of the European Union, Iceland, Liechtenstein, and Norway.</w:t>
      </w:r>
    </w:p>
    <w:p>
      <w:pPr>
        <w:spacing w:after="0" w:line="190" w:lineRule="exact"/>
        <w:rPr>
          <w:sz w:val="20"/>
          <w:szCs w:val="20"/>
          <w:color w:val="auto"/>
        </w:rPr>
      </w:pPr>
    </w:p>
    <w:p>
      <w:pPr>
        <w:ind w:right="1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EEA Resolution Authority</w:t>
      </w:r>
      <w:r>
        <w:rPr>
          <w:rFonts w:ascii="Arial" w:cs="Arial" w:eastAsia="Arial" w:hAnsi="Arial"/>
          <w:sz w:val="14"/>
          <w:szCs w:val="14"/>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Electronic Record</w:t>
      </w:r>
      <w:r>
        <w:rPr>
          <w:rFonts w:ascii="Arial" w:cs="Arial" w:eastAsia="Arial" w:hAnsi="Arial"/>
          <w:sz w:val="14"/>
          <w:szCs w:val="14"/>
          <w:color w:val="auto"/>
        </w:rPr>
        <w:t>” and “</w:t>
      </w:r>
      <w:r>
        <w:rPr>
          <w:rFonts w:ascii="Arial" w:cs="Arial" w:eastAsia="Arial" w:hAnsi="Arial"/>
          <w:sz w:val="14"/>
          <w:szCs w:val="14"/>
          <w:u w:val="single" w:color="auto"/>
          <w:color w:val="auto"/>
        </w:rPr>
        <w:t>Electronic Signature</w:t>
      </w:r>
      <w:r>
        <w:rPr>
          <w:rFonts w:ascii="Arial" w:cs="Arial" w:eastAsia="Arial" w:hAnsi="Arial"/>
          <w:sz w:val="14"/>
          <w:szCs w:val="14"/>
          <w:color w:val="auto"/>
        </w:rPr>
        <w:t>” shall have the meanings assigned to them, respectively, by 15 USC §7006, as it may be amended from time to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Eligible Assignee</w:t>
      </w:r>
      <w:r>
        <w:rPr>
          <w:rFonts w:ascii="Arial" w:cs="Arial" w:eastAsia="Arial" w:hAnsi="Arial"/>
          <w:sz w:val="11"/>
          <w:szCs w:val="11"/>
          <w:color w:val="auto"/>
        </w:rPr>
        <w:t xml:space="preserve">” means any Person that meets the requirements to be an assignee under </w:t>
      </w:r>
      <w:r>
        <w:rPr>
          <w:rFonts w:ascii="Arial" w:cs="Arial" w:eastAsia="Arial" w:hAnsi="Arial"/>
          <w:sz w:val="11"/>
          <w:szCs w:val="11"/>
          <w:u w:val="single" w:color="auto"/>
          <w:color w:val="auto"/>
        </w:rPr>
        <w:t>Section 11.06(b)(iii)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(v)</w:t>
      </w:r>
      <w:r>
        <w:rPr>
          <w:rFonts w:ascii="Arial" w:cs="Arial" w:eastAsia="Arial" w:hAnsi="Arial"/>
          <w:sz w:val="11"/>
          <w:szCs w:val="11"/>
          <w:color w:val="auto"/>
        </w:rPr>
        <w:t xml:space="preserve"> (subject to such consents, if any, as may be required under </w:t>
      </w:r>
      <w:r>
        <w:rPr>
          <w:rFonts w:ascii="Arial" w:cs="Arial" w:eastAsia="Arial" w:hAnsi="Arial"/>
          <w:sz w:val="11"/>
          <w:szCs w:val="11"/>
          <w:u w:val="single" w:color="auto"/>
          <w:color w:val="auto"/>
        </w:rPr>
        <w:t>Section 11.06(b)</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(iii)</w:t>
      </w:r>
      <w:r>
        <w:rPr>
          <w:rFonts w:ascii="Arial" w:cs="Arial" w:eastAsia="Arial" w:hAnsi="Arial"/>
          <w:sz w:val="14"/>
          <w:szCs w:val="14"/>
          <w:color w:val="auto"/>
        </w:rPr>
        <w: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w:t>
      </w:r>
      <w:r>
        <w:rPr>
          <w:rFonts w:ascii="Arial" w:cs="Arial" w:eastAsia="Arial" w:hAnsi="Arial"/>
          <w:sz w:val="13"/>
          <w:szCs w:val="13"/>
          <w:color w:val="auto"/>
        </w:rPr>
        <w:t>” means ambient air, indoor air, surface water, groundwater, drinking water, soil, surface and subsurface strata, and natural resources such as wetland, flora and fauna.</w:t>
      </w:r>
    </w:p>
    <w:p>
      <w:pPr>
        <w:spacing w:after="0" w:line="201" w:lineRule="exact"/>
        <w:rPr>
          <w:sz w:val="20"/>
          <w:szCs w:val="20"/>
          <w:color w:val="auto"/>
        </w:rPr>
      </w:pPr>
    </w:p>
    <w:p>
      <w:pPr>
        <w:ind w:right="12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Laws</w:t>
      </w:r>
      <w:r>
        <w:rPr>
          <w:rFonts w:ascii="Arial" w:cs="Arial" w:eastAsia="Arial" w:hAnsi="Arial"/>
          <w:sz w:val="14"/>
          <w:szCs w:val="14"/>
          <w:color w:val="auto"/>
        </w:rPr>
        <w:t>” means any and all federal, state, local, and foreign statutes, laws (including common law), regulations, legally-binding standards, ordinances, rules, judgments, orders, decrees, permits, agreements with any Governmental Authority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170" w:lineRule="exact"/>
        <w:rPr>
          <w:sz w:val="20"/>
          <w:szCs w:val="20"/>
          <w:color w:val="auto"/>
        </w:rPr>
      </w:pPr>
    </w:p>
    <w:p>
      <w:pPr>
        <w:ind w:right="16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Liability</w:t>
      </w:r>
      <w:r>
        <w:rPr>
          <w:rFonts w:ascii="Arial" w:cs="Arial" w:eastAsia="Arial" w:hAnsi="Arial"/>
          <w:sz w:val="14"/>
          <w:szCs w:val="14"/>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Permit</w:t>
      </w:r>
      <w:r>
        <w:rPr>
          <w:rFonts w:ascii="Arial" w:cs="Arial" w:eastAsia="Arial" w:hAnsi="Arial"/>
          <w:sz w:val="14"/>
          <w:szCs w:val="14"/>
          <w:color w:val="auto"/>
        </w:rPr>
        <w:t>” means any permit, certification, registration, approval, identification number, license or other authorization required under any Environmental Law.</w:t>
      </w:r>
    </w:p>
    <w:p>
      <w:pPr>
        <w:spacing w:after="0" w:line="190" w:lineRule="exact"/>
        <w:rPr>
          <w:sz w:val="20"/>
          <w:szCs w:val="20"/>
          <w:color w:val="auto"/>
        </w:rPr>
      </w:pPr>
    </w:p>
    <w:p>
      <w:pPr>
        <w:ind w:right="80" w:firstLine="495"/>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Interests</w:t>
      </w:r>
      <w:r>
        <w:rPr>
          <w:rFonts w:ascii="Arial" w:cs="Arial" w:eastAsia="Arial" w:hAnsi="Arial"/>
          <w:sz w:val="14"/>
          <w:szCs w:val="14"/>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Convertible Notes and any other convertible notes issued by the Borrower in accordance with this Agreement shall not constitute Equity Interests.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Employee Retirement Income Security Act of 1974,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1280"/>
          </w:cols>
          <w:pgMar w:left="300" w:top="129"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59" w:lineRule="exact"/>
        <w:rPr>
          <w:sz w:val="20"/>
          <w:szCs w:val="20"/>
          <w:color w:val="auto"/>
        </w:rPr>
      </w:pPr>
    </w:p>
    <w:p>
      <w:pPr>
        <w:ind w:right="20" w:firstLine="495"/>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Event</w:t>
      </w:r>
      <w:r>
        <w:rPr>
          <w:rFonts w:ascii="Arial" w:cs="Arial" w:eastAsia="Arial" w:hAnsi="Arial"/>
          <w:sz w:val="13"/>
          <w:szCs w:val="13"/>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(within the meaning of Title IV of ERISA); (d) the filing of a notice of intent to terminate a Pension Plan or Multiemployer Plan, or the treatment of a Pension Plan or Multiemployer Plan amendment as a termination under Section 4041 or 4041A of ERISA; (e) the institution by the PBGC of proceedings to terminate a Pension Plan or Multiemployer Plan; (f) any event or condition which constitutes grounds under Section 4042 of ERISA for the termination of, or the appointment of a trustee to administer, any Pension Plan or Multiemployer Plan; (g) the determination that any Pension Plan is considered an at-risk plan (within the meaning of Section 430 of the Code or Section 303 of ERISA) or that a Multiemployer Plan is in endangered or critical status within the meaning of Section 432 of the Code or Sections 304 or 305 of ERISA; (h) the imposition of any liability under Title IV of ERISA, other than for PBGC premiums due but not delinquent under Section 4007 of ERISA, upon the Borrower or any ERISA Affiliate; (i) the engagement by the Borrower or any ERISA Affiliate in a transaction that could be subject to Section 4069 or Section 4212(c) of ERISA; or (j) a failure by the Borrower or any ERISA Affiliate to meet all applicable requirements under the Pension Funding Rules in respect of a Pension Plan or Multiemployer Plan, whether or not waived, or the failure by the Borrower or any ERISA Affiliate to make any required contribution to a Multiemployer Plan.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Event of Default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8.01</w:t>
      </w:r>
      <w:r>
        <w:rPr>
          <w:rFonts w:ascii="Arial" w:cs="Arial" w:eastAsia="Arial" w:hAnsi="Arial"/>
          <w:sz w:val="14"/>
          <w:szCs w:val="14"/>
          <w:color w:val="auto"/>
        </w:rPr>
        <w:t>.</w:t>
      </w:r>
    </w:p>
    <w:p>
      <w:pPr>
        <w:spacing w:after="0" w:line="190" w:lineRule="exact"/>
        <w:rPr>
          <w:sz w:val="20"/>
          <w:szCs w:val="20"/>
          <w:color w:val="auto"/>
        </w:rPr>
      </w:pPr>
    </w:p>
    <w:p>
      <w:pPr>
        <w:ind w:right="80"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Swap Obligation</w:t>
      </w:r>
      <w:r>
        <w:rPr>
          <w:rFonts w:ascii="Arial" w:cs="Arial" w:eastAsia="Arial" w:hAnsi="Arial"/>
          <w:sz w:val="13"/>
          <w:szCs w:val="13"/>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280"/>
          </w:cols>
          <w:pgMar w:left="300" w:top="129"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5"/>
        <w:spacing w:after="0" w:line="32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Excluded Taxes</w:t>
      </w:r>
      <w:r>
        <w:rPr>
          <w:rFonts w:ascii="Arial" w:cs="Arial" w:eastAsia="Arial" w:hAnsi="Arial"/>
          <w:sz w:val="11"/>
          <w:szCs w:val="11"/>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or (ii) such Lender changes its Lending Office, except in each case to the extent that, pursuant to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1"/>
          <w:szCs w:val="11"/>
          <w:u w:val="single" w:color="auto"/>
          <w:color w:val="auto"/>
        </w:rPr>
        <w:t>Section 3.01(g)</w:t>
      </w:r>
      <w:r>
        <w:rPr>
          <w:rFonts w:ascii="Arial" w:cs="Arial" w:eastAsia="Arial" w:hAnsi="Arial"/>
          <w:sz w:val="11"/>
          <w:szCs w:val="11"/>
          <w:color w:val="auto"/>
        </w:rPr>
        <w:t xml:space="preserve"> and (d) any U.S. federal withholding Taxes imposed pursuant to FATCA.</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FASB ASC</w:t>
      </w:r>
      <w:r>
        <w:rPr>
          <w:rFonts w:ascii="Arial" w:cs="Arial" w:eastAsia="Arial" w:hAnsi="Arial"/>
          <w:sz w:val="14"/>
          <w:szCs w:val="14"/>
          <w:color w:val="auto"/>
        </w:rPr>
        <w:t>” means the Accounting Standards Codification of the Financial Accounting Standards Board.</w:t>
      </w:r>
    </w:p>
    <w:p>
      <w:pPr>
        <w:spacing w:after="0" w:line="190" w:lineRule="exact"/>
        <w:rPr>
          <w:sz w:val="20"/>
          <w:szCs w:val="20"/>
          <w:color w:val="auto"/>
        </w:rPr>
      </w:pPr>
    </w:p>
    <w:p>
      <w:pPr>
        <w:jc w:val="both"/>
        <w:ind w:right="40" w:firstLine="495"/>
        <w:spacing w:after="0" w:line="35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FATCA</w:t>
      </w:r>
      <w:r>
        <w:rPr>
          <w:rFonts w:ascii="Arial" w:cs="Arial" w:eastAsia="Arial" w:hAnsi="Arial"/>
          <w:sz w:val="11"/>
          <w:szCs w:val="11"/>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FDA</w:t>
      </w:r>
      <w:r>
        <w:rPr>
          <w:rFonts w:ascii="Arial" w:cs="Arial" w:eastAsia="Arial" w:hAnsi="Arial"/>
          <w:sz w:val="14"/>
          <w:szCs w:val="14"/>
          <w:color w:val="auto"/>
        </w:rPr>
        <w:t>” means the United States Food and Drug Administration and any successor thereto.</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FDA Permits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5.26(a)</w:t>
      </w:r>
      <w:r>
        <w:rPr>
          <w:rFonts w:ascii="Arial" w:cs="Arial" w:eastAsia="Arial" w:hAnsi="Arial"/>
          <w:sz w:val="14"/>
          <w:szCs w:val="14"/>
          <w:color w:val="auto"/>
        </w:rPr>
        <w:t>.</w:t>
      </w:r>
    </w:p>
    <w:p>
      <w:pPr>
        <w:spacing w:after="0" w:line="190" w:lineRule="exact"/>
        <w:rPr>
          <w:sz w:val="20"/>
          <w:szCs w:val="20"/>
          <w:color w:val="auto"/>
        </w:rPr>
      </w:pPr>
    </w:p>
    <w:p>
      <w:pPr>
        <w:ind w:right="40" w:firstLine="495"/>
        <w:spacing w:after="0" w:line="35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Federal Funds Rate</w:t>
      </w:r>
      <w:r>
        <w:rPr>
          <w:rFonts w:ascii="Arial" w:cs="Arial" w:eastAsia="Arial" w:hAnsi="Arial"/>
          <w:sz w:val="11"/>
          <w:szCs w:val="11"/>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Federal Funds Rate as so determined would be less than zero, such rate shall be deemed to be zero for purposes of this Agreement.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Fee Letter</w:t>
      </w:r>
      <w:r>
        <w:rPr>
          <w:rFonts w:ascii="Arial" w:cs="Arial" w:eastAsia="Arial" w:hAnsi="Arial"/>
          <w:sz w:val="14"/>
          <w:szCs w:val="14"/>
          <w:color w:val="auto"/>
        </w:rPr>
        <w:t>” means the letter agreement, dated as of the Closing Date, between the Borrower and the Administrative Agent.</w:t>
      </w:r>
    </w:p>
    <w:p>
      <w:pPr>
        <w:spacing w:after="0" w:line="190" w:lineRule="exact"/>
        <w:rPr>
          <w:sz w:val="20"/>
          <w:szCs w:val="20"/>
          <w:color w:val="auto"/>
        </w:rPr>
      </w:pPr>
    </w:p>
    <w:p>
      <w:pPr>
        <w:jc w:val="both"/>
        <w:ind w:right="1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Flood Insurance Laws</w:t>
      </w:r>
      <w:r>
        <w:rPr>
          <w:rFonts w:ascii="Arial" w:cs="Arial" w:eastAsia="Arial" w:hAnsi="Arial"/>
          <w:sz w:val="14"/>
          <w:szCs w:val="14"/>
          <w:color w:val="auto"/>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66"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Lender</w:t>
      </w:r>
      <w:r>
        <w:rPr>
          <w:rFonts w:ascii="Arial" w:cs="Arial" w:eastAsia="Arial" w:hAnsi="Arial"/>
          <w:sz w:val="14"/>
          <w:szCs w:val="14"/>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Subsidiary</w:t>
      </w:r>
      <w:r>
        <w:rPr>
          <w:rFonts w:ascii="Arial" w:cs="Arial" w:eastAsia="Arial" w:hAnsi="Arial"/>
          <w:sz w:val="14"/>
          <w:szCs w:val="14"/>
          <w:color w:val="auto"/>
        </w:rPr>
        <w:t>” means any Subsidiary that is not a Domestic Subsidiary.</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FRB</w:t>
      </w:r>
      <w:r>
        <w:rPr>
          <w:rFonts w:ascii="Arial" w:cs="Arial" w:eastAsia="Arial" w:hAnsi="Arial"/>
          <w:sz w:val="14"/>
          <w:szCs w:val="14"/>
          <w:color w:val="auto"/>
        </w:rPr>
        <w:t>” means the Board of Governors of the Federal Reserve System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21</w:t>
      </w:r>
    </w:p>
    <w:p>
      <w:pPr>
        <w:sectPr>
          <w:pgSz w:w="11900" w:h="16838" w:orient="portrait"/>
          <w:cols w:equalWidth="0" w:num="1">
            <w:col w:w="11280"/>
          </w:cols>
          <w:pgMar w:left="300" w:top="129"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Fronting Exposure</w:t>
      </w:r>
      <w:r>
        <w:rPr>
          <w:rFonts w:ascii="Arial" w:cs="Arial" w:eastAsia="Arial" w:hAnsi="Arial"/>
          <w:sz w:val="14"/>
          <w:szCs w:val="14"/>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70" w:lineRule="exact"/>
        <w:rPr>
          <w:sz w:val="20"/>
          <w:szCs w:val="20"/>
          <w:color w:val="auto"/>
        </w:rPr>
      </w:pPr>
    </w:p>
    <w:p>
      <w:pPr>
        <w:ind w:right="1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w:t>
      </w:r>
      <w:r>
        <w:rPr>
          <w:rFonts w:ascii="Arial" w:cs="Arial" w:eastAsia="Arial" w:hAnsi="Arial"/>
          <w:sz w:val="14"/>
          <w:szCs w:val="14"/>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jc w:val="both"/>
        <w:ind w:right="32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50" w:lineRule="exact"/>
        <w:rPr>
          <w:sz w:val="20"/>
          <w:szCs w:val="20"/>
          <w:color w:val="auto"/>
        </w:rPr>
      </w:pPr>
    </w:p>
    <w:p>
      <w:pPr>
        <w:ind w:right="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6" w:lineRule="exact"/>
        <w:rPr>
          <w:sz w:val="20"/>
          <w:szCs w:val="20"/>
          <w:color w:val="auto"/>
        </w:rPr>
      </w:pPr>
    </w:p>
    <w:p>
      <w:pPr>
        <w:ind w:right="80" w:firstLine="495"/>
        <w:spacing w:after="0" w:line="32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Guarantee</w:t>
      </w:r>
      <w:r>
        <w:rPr>
          <w:rFonts w:ascii="Arial" w:cs="Arial" w:eastAsia="Arial" w:hAnsi="Arial"/>
          <w:sz w:val="11"/>
          <w:szCs w:val="11"/>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1"/>
          <w:szCs w:val="11"/>
          <w:u w:val="single" w:color="auto"/>
          <w:color w:val="auto"/>
        </w:rPr>
        <w:t>Guarantee</w:t>
      </w:r>
      <w:r>
        <w:rPr>
          <w:rFonts w:ascii="Arial" w:cs="Arial" w:eastAsia="Arial" w:hAnsi="Arial"/>
          <w:sz w:val="11"/>
          <w:szCs w:val="11"/>
          <w:color w:val="auto"/>
        </w:rPr>
        <w:t>” as a verb has a corresponding meaning.</w:t>
      </w:r>
    </w:p>
    <w:p>
      <w:pPr>
        <w:spacing w:after="0" w:line="299" w:lineRule="exact"/>
        <w:rPr>
          <w:sz w:val="20"/>
          <w:szCs w:val="20"/>
          <w:color w:val="auto"/>
        </w:rPr>
      </w:pPr>
    </w:p>
    <w:p>
      <w:pPr>
        <w:ind w:right="6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Guarantors</w:t>
      </w:r>
      <w:r>
        <w:rPr>
          <w:rFonts w:ascii="Arial" w:cs="Arial" w:eastAsia="Arial" w:hAnsi="Arial"/>
          <w:sz w:val="14"/>
          <w:szCs w:val="14"/>
          <w:color w:val="auto"/>
        </w:rPr>
        <w:t xml:space="preserve">” means, collectively, (a) each Subsidiary of the Borrower listed on </w:t>
      </w:r>
      <w:r>
        <w:rPr>
          <w:rFonts w:ascii="Arial" w:cs="Arial" w:eastAsia="Arial" w:hAnsi="Arial"/>
          <w:sz w:val="14"/>
          <w:szCs w:val="14"/>
          <w:u w:val="single" w:color="auto"/>
          <w:color w:val="auto"/>
        </w:rPr>
        <w:t>Schedule 6.12</w:t>
      </w:r>
      <w:r>
        <w:rPr>
          <w:rFonts w:ascii="Arial" w:cs="Arial" w:eastAsia="Arial" w:hAnsi="Arial"/>
          <w:sz w:val="14"/>
          <w:szCs w:val="14"/>
          <w:color w:val="auto"/>
        </w:rPr>
        <w:t xml:space="preserve"> and identified under the caption “GUARANTOR” on the signature pages hereto and each other Domestic Subsidiary of the Borrower that is a Material Subsidiary and that shall be required to execute and deliver a guaranty or guaranty supplement pursuant to </w:t>
      </w:r>
      <w:r>
        <w:rPr>
          <w:rFonts w:ascii="Arial" w:cs="Arial" w:eastAsia="Arial" w:hAnsi="Arial"/>
          <w:sz w:val="14"/>
          <w:szCs w:val="14"/>
          <w:u w:val="single" w:color="auto"/>
          <w:color w:val="auto"/>
        </w:rPr>
        <w:t>Section 6.12</w:t>
      </w:r>
      <w:r>
        <w:rPr>
          <w:rFonts w:ascii="Arial" w:cs="Arial" w:eastAsia="Arial" w:hAnsi="Arial"/>
          <w:sz w:val="14"/>
          <w:szCs w:val="14"/>
          <w:color w:val="auto"/>
        </w:rPr>
        <w:t xml:space="preserve"> and (b) with respect to (i) Obligations owing by any Loan Party or any Subsidiary of a Loan Party (other than the Borrower) under any Hedge Agreement or any Cash Management Agreement and (ii) the payment and performance by each Specified Loan Party of its obligations under its Guaranty with respect to all Swap Obligations, the Borrower.</w:t>
      </w:r>
    </w:p>
    <w:p>
      <w:pPr>
        <w:spacing w:after="0" w:line="170" w:lineRule="exact"/>
        <w:rPr>
          <w:sz w:val="20"/>
          <w:szCs w:val="20"/>
          <w:color w:val="auto"/>
        </w:rPr>
      </w:pPr>
    </w:p>
    <w:p>
      <w:pPr>
        <w:ind w:right="4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Guaranty</w:t>
      </w:r>
      <w:r>
        <w:rPr>
          <w:rFonts w:ascii="Arial" w:cs="Arial" w:eastAsia="Arial" w:hAnsi="Arial"/>
          <w:sz w:val="14"/>
          <w:szCs w:val="14"/>
          <w:color w:val="auto"/>
        </w:rPr>
        <w:t xml:space="preserve">” means, collectively, the Guaranty made by the Guarantors under Article X in favor of the Secured Parties, together with each other guaranty and guaranty supplement delivered pursuant to </w:t>
      </w:r>
      <w:r>
        <w:rPr>
          <w:rFonts w:ascii="Arial" w:cs="Arial" w:eastAsia="Arial" w:hAnsi="Arial"/>
          <w:sz w:val="14"/>
          <w:szCs w:val="14"/>
          <w:u w:val="single" w:color="auto"/>
          <w:color w:val="auto"/>
        </w:rPr>
        <w:t>Section 6.12</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280"/>
          </w:cols>
          <w:pgMar w:left="300" w:top="129"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4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Materials</w:t>
      </w:r>
      <w:r>
        <w:rPr>
          <w:rFonts w:ascii="Arial" w:cs="Arial" w:eastAsia="Arial" w:hAnsi="Arial"/>
          <w:sz w:val="14"/>
          <w:szCs w:val="14"/>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66" w:lineRule="exact"/>
        <w:rPr>
          <w:sz w:val="20"/>
          <w:szCs w:val="20"/>
          <w:color w:val="auto"/>
        </w:rPr>
      </w:pPr>
    </w:p>
    <w:p>
      <w:pPr>
        <w:jc w:val="both"/>
        <w:ind w:right="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Hedge Bank</w:t>
      </w:r>
      <w:r>
        <w:rPr>
          <w:rFonts w:ascii="Arial" w:cs="Arial" w:eastAsia="Arial" w:hAnsi="Arial"/>
          <w:sz w:val="14"/>
          <w:szCs w:val="14"/>
          <w:color w:val="auto"/>
        </w:rPr>
        <w:t xml:space="preserve">” means (i) any Person that, at the time it enters into an interest rate Swap Contract permitted under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VII</w:t>
      </w:r>
      <w:r>
        <w:rPr>
          <w:rFonts w:ascii="Arial" w:cs="Arial" w:eastAsia="Arial" w:hAnsi="Arial"/>
          <w:sz w:val="14"/>
          <w:szCs w:val="14"/>
          <w:color w:val="auto"/>
        </w:rPr>
        <w:t xml:space="preserve">, is a Lender or an Affiliate of a Lender, in its capacity as a party to such Swap Contract or (ii) any other person that enters into an interest rate Swap Contract permitted under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VII</w:t>
      </w:r>
      <w:r>
        <w:rPr>
          <w:rFonts w:ascii="Arial" w:cs="Arial" w:eastAsia="Arial" w:hAnsi="Arial"/>
          <w:sz w:val="14"/>
          <w:szCs w:val="14"/>
          <w:color w:val="auto"/>
        </w:rPr>
        <w:t xml:space="preserve"> and that is a commercial or investment bank designated by the Borrower as a “Hedge Bank” by written notice to the Administrative Agent.</w:t>
      </w:r>
    </w:p>
    <w:p>
      <w:pPr>
        <w:spacing w:after="0" w:line="166" w:lineRule="exact"/>
        <w:rPr>
          <w:sz w:val="20"/>
          <w:szCs w:val="20"/>
          <w:color w:val="auto"/>
        </w:rPr>
      </w:pPr>
    </w:p>
    <w:p>
      <w:pPr>
        <w:ind w:right="80" w:firstLine="495"/>
        <w:spacing w:after="0" w:line="2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Immaterial Subsidiary</w:t>
      </w:r>
      <w:r>
        <w:rPr>
          <w:rFonts w:ascii="Arial" w:cs="Arial" w:eastAsia="Arial" w:hAnsi="Arial"/>
          <w:sz w:val="14"/>
          <w:szCs w:val="14"/>
          <w:color w:val="auto"/>
        </w:rPr>
        <w:t xml:space="preserve">” means any Subsidiary of the Borrower that (i) individually constitutes or holds less than three and one half percent (3.5%) of the Borrower’s consolidated total assets or generates less than three and one half percent (3.5%) of the Borrower’s Consolidated EBITDA, and (ii) when taken together with all then existing Immaterial Subsidiaries, such Subsidiary and such Immaterial Subsidiaries, in the aggregate, would constitute or hold less than seven percent (7.0%) of the Borrower’s consolidated total assets or generate less than seven percent (7.0%) of the Borrower’s Consolidated EBITDA, in each case of the foregoing clauses as of the last day of, or for, the most recently ended fiscal period for which financial statements were required to have been delivered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Increase Effective Date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2.15(a)</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Increase Joinder</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2.15(c)</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Incremental Commitments</w:t>
      </w:r>
      <w:r>
        <w:rPr>
          <w:rFonts w:ascii="Arial" w:cs="Arial" w:eastAsia="Arial" w:hAnsi="Arial"/>
          <w:sz w:val="14"/>
          <w:szCs w:val="14"/>
          <w:color w:val="auto"/>
        </w:rPr>
        <w:t>” means Incremental Revolving Commitments.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Incremental Revolving Commitment</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2.15(a)</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means, as to any Person at a particular time, without duplication, all of the following, whether or not included as indebtedness or liabilities in accordance with GAAP:</w:t>
      </w:r>
    </w:p>
    <w:p>
      <w:pPr>
        <w:spacing w:after="0" w:line="201" w:lineRule="exact"/>
        <w:rPr>
          <w:sz w:val="20"/>
          <w:szCs w:val="20"/>
          <w:color w:val="auto"/>
        </w:rPr>
      </w:pPr>
    </w:p>
    <w:p>
      <w:pPr>
        <w:ind w:left="500" w:right="620" w:firstLine="740"/>
        <w:spacing w:after="0" w:line="266" w:lineRule="auto"/>
        <w:tabs>
          <w:tab w:leader="none" w:pos="15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outstanding principal amount of all obligations of such Person for borrowed money and all obligations of such Person evidenced by bonds, debentures, notes, loan agreements or other similar instruments;</w:t>
      </w:r>
    </w:p>
    <w:p>
      <w:pPr>
        <w:spacing w:after="0" w:line="158" w:lineRule="exact"/>
        <w:rPr>
          <w:rFonts w:ascii="Arial" w:cs="Arial" w:eastAsia="Arial" w:hAnsi="Arial"/>
          <w:sz w:val="14"/>
          <w:szCs w:val="14"/>
          <w:color w:val="auto"/>
        </w:rPr>
      </w:pPr>
    </w:p>
    <w:p>
      <w:pPr>
        <w:ind w:left="500" w:right="200" w:firstLine="740"/>
        <w:spacing w:after="0" w:line="266" w:lineRule="auto"/>
        <w:tabs>
          <w:tab w:leader="none" w:pos="1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direct or contingent obligations of such Person arising under letters of credit (including standby and commercial), bankers’ acceptances, bank guaranties, surety bonds and similar instruments, in each case solely to the extent drawn by the beneficiary thereof;</w:t>
      </w:r>
    </w:p>
    <w:p>
      <w:pPr>
        <w:spacing w:after="0" w:line="158" w:lineRule="exact"/>
        <w:rPr>
          <w:rFonts w:ascii="Arial" w:cs="Arial" w:eastAsia="Arial" w:hAnsi="Arial"/>
          <w:sz w:val="14"/>
          <w:szCs w:val="14"/>
          <w:color w:val="auto"/>
        </w:rPr>
      </w:pPr>
    </w:p>
    <w:p>
      <w:pPr>
        <w:ind w:left="1540" w:hanging="300"/>
        <w:spacing w:after="0"/>
        <w:tabs>
          <w:tab w:leader="none" w:pos="1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net obligations of such Person under any Swap Contract;</w:t>
      </w:r>
    </w:p>
    <w:p>
      <w:pPr>
        <w:spacing w:after="0" w:line="189" w:lineRule="exact"/>
        <w:rPr>
          <w:rFonts w:ascii="Arial" w:cs="Arial" w:eastAsia="Arial" w:hAnsi="Arial"/>
          <w:sz w:val="14"/>
          <w:szCs w:val="14"/>
          <w:color w:val="auto"/>
        </w:rPr>
      </w:pPr>
    </w:p>
    <w:p>
      <w:pPr>
        <w:ind w:left="500" w:right="140" w:firstLine="740"/>
        <w:spacing w:after="0" w:line="266" w:lineRule="auto"/>
        <w:tabs>
          <w:tab w:leader="none" w:pos="1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obligations of such Person to pay the deferred purchase price of property or services (other than trade accounts payable in the ordinary course of business and, in each case, not past due for more than 90 days);</w:t>
      </w:r>
    </w:p>
    <w:p>
      <w:pPr>
        <w:spacing w:after="0" w:line="158" w:lineRule="exact"/>
        <w:rPr>
          <w:rFonts w:ascii="Arial" w:cs="Arial" w:eastAsia="Arial" w:hAnsi="Arial"/>
          <w:sz w:val="14"/>
          <w:szCs w:val="14"/>
          <w:color w:val="auto"/>
        </w:rPr>
      </w:pPr>
    </w:p>
    <w:p>
      <w:pPr>
        <w:ind w:left="500" w:firstLine="740"/>
        <w:spacing w:after="0" w:line="252" w:lineRule="auto"/>
        <w:tabs>
          <w:tab w:leader="none" w:pos="15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indebtedness (excluding prepaid interest thereon) secured by a Lien on property owned by such Person (including indebtedness arising under conditional sales or other title retention agreements), whether or not such indebtedness shall have been assumed by such Person or is limited in recourse (provided that with respect to indebtedness that is limited in recourse to the asset(s) of that Person, such indebtedness shall be taken into account only to the extent of the lesser of the fair market value of such asset(s) subject to such Lien and the amount of indebtedness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280"/>
          </w:cols>
          <w:pgMar w:left="300" w:top="129"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20" w:hanging="280"/>
        <w:spacing w:after="0"/>
        <w:tabs>
          <w:tab w:leader="none" w:pos="1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all Attributable Indebtedness in respect of Capitalized Leases and Synthetic Lease Obligations of such Person;</w:t>
      </w:r>
    </w:p>
    <w:p>
      <w:pPr>
        <w:spacing w:after="0" w:line="189" w:lineRule="exact"/>
        <w:rPr>
          <w:rFonts w:ascii="Arial" w:cs="Arial" w:eastAsia="Arial" w:hAnsi="Arial"/>
          <w:sz w:val="14"/>
          <w:szCs w:val="14"/>
          <w:color w:val="auto"/>
        </w:rPr>
      </w:pPr>
    </w:p>
    <w:p>
      <w:pPr>
        <w:ind w:left="500" w:right="140" w:firstLine="740"/>
        <w:spacing w:after="0" w:line="256" w:lineRule="auto"/>
        <w:tabs>
          <w:tab w:leader="none" w:pos="1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accrued and unpaid dividends; and</w:t>
      </w:r>
    </w:p>
    <w:p>
      <w:pPr>
        <w:spacing w:after="0" w:line="165" w:lineRule="exact"/>
        <w:rPr>
          <w:rFonts w:ascii="Arial" w:cs="Arial" w:eastAsia="Arial" w:hAnsi="Arial"/>
          <w:sz w:val="14"/>
          <w:szCs w:val="14"/>
          <w:color w:val="auto"/>
        </w:rPr>
      </w:pPr>
    </w:p>
    <w:p>
      <w:pPr>
        <w:ind w:left="1540" w:hanging="300"/>
        <w:spacing w:after="0"/>
        <w:tabs>
          <w:tab w:leader="none" w:pos="1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all Guarantees of such Person in respect of any of the foregoing.</w:t>
      </w:r>
    </w:p>
    <w:p>
      <w:pPr>
        <w:spacing w:after="0" w:line="190" w:lineRule="exact"/>
        <w:rPr>
          <w:sz w:val="20"/>
          <w:szCs w:val="20"/>
          <w:color w:val="auto"/>
        </w:rPr>
      </w:pPr>
    </w:p>
    <w:p>
      <w:pPr>
        <w:ind w:right="200" w:firstLine="495"/>
        <w:spacing w:after="0" w:line="256" w:lineRule="auto"/>
        <w:rPr>
          <w:sz w:val="20"/>
          <w:szCs w:val="20"/>
          <w:color w:val="auto"/>
        </w:rPr>
      </w:pPr>
      <w:r>
        <w:rPr>
          <w:rFonts w:ascii="Arial" w:cs="Arial" w:eastAsia="Arial" w:hAnsi="Arial"/>
          <w:sz w:val="14"/>
          <w:szCs w:val="14"/>
          <w:color w:val="auto"/>
        </w:rPr>
        <w:t>For all purposes hereof, the Indebtedness of any Person shall include the Indebtedness of any partnership or joint venture (other than a joint venture that is itself a corporation, limited liability company or similar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66" w:lineRule="exact"/>
        <w:rPr>
          <w:sz w:val="20"/>
          <w:szCs w:val="20"/>
          <w:color w:val="auto"/>
        </w:rPr>
      </w:pPr>
    </w:p>
    <w:p>
      <w:pPr>
        <w:ind w:right="6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Indemnified Taxes</w:t>
      </w:r>
      <w:r>
        <w:rPr>
          <w:rFonts w:ascii="Arial" w:cs="Arial" w:eastAsia="Arial" w:hAnsi="Arial"/>
          <w:sz w:val="14"/>
          <w:szCs w:val="14"/>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Other Taxes.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Indemnitees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11.04(b)</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Information</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11.07</w:t>
      </w:r>
      <w:r>
        <w:rPr>
          <w:rFonts w:ascii="Arial" w:cs="Arial" w:eastAsia="Arial" w:hAnsi="Arial"/>
          <w:sz w:val="14"/>
          <w:szCs w:val="14"/>
          <w:color w:val="auto"/>
        </w:rPr>
        <w:t>.</w:t>
      </w:r>
    </w:p>
    <w:p>
      <w:pPr>
        <w:spacing w:after="0" w:line="190" w:lineRule="exact"/>
        <w:rPr>
          <w:sz w:val="20"/>
          <w:szCs w:val="20"/>
          <w:color w:val="auto"/>
        </w:rPr>
      </w:pPr>
    </w:p>
    <w:p>
      <w:pPr>
        <w:ind w:right="100" w:firstLine="495"/>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means: (i) all systems software and applications software (including source code and object code), all documentation for such software, including, without limitation, user manuals, flowcharts, functional specifications, operations manuals, and all formulas, processes, ideas and know-how embodied in any of the foregoing, (ii) concepts, discoveries, improvements and ideas, know-how, technology, reports, design information, trade secrets, practices, specifications, test procedures, maintenance manuals, research and development, inventions (whether or not patentable), blueprints, drawings, data, customer lists, catalogs and all physical embodiments of any of the foregoing and (iii) Patents, Copyright and Trademarks.</w:t>
      </w:r>
    </w:p>
    <w:p>
      <w:pPr>
        <w:spacing w:after="0" w:line="153" w:lineRule="exact"/>
        <w:rPr>
          <w:sz w:val="20"/>
          <w:szCs w:val="20"/>
          <w:color w:val="auto"/>
        </w:rPr>
      </w:pPr>
    </w:p>
    <w:p>
      <w:pPr>
        <w:jc w:val="both"/>
        <w:ind w:right="1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xml:space="preserve">” means, (a) as to any Term SOFR Loan, the last day of each Interest Period applicable to such Loan and the Maturity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any Interest Period for a Term SOFR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w:t>
      </w:r>
    </w:p>
    <w:p>
      <w:pPr>
        <w:spacing w:after="0" w:line="166" w:lineRule="exact"/>
        <w:rPr>
          <w:sz w:val="20"/>
          <w:szCs w:val="20"/>
          <w:color w:val="auto"/>
        </w:rPr>
      </w:pPr>
    </w:p>
    <w:p>
      <w:pPr>
        <w:ind w:right="2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means as to each Term SOFR Loan, the period commencing on the date such Term SOFR Loan is disbursed or converted to or continued as a Term SOFR Loan and ending on the date one, three or six months thereafter, as selected by the Borrower in its Committed Loan Notice, or such other period that is twelve months or less requested by the Borrower and consented to by all the Appropriate Lenders and the Administrative Agent (in the case of each requested Interest Period, subject to availability);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50" w:lineRule="exact"/>
        <w:rPr>
          <w:sz w:val="20"/>
          <w:szCs w:val="20"/>
          <w:color w:val="auto"/>
        </w:rPr>
      </w:pPr>
    </w:p>
    <w:p>
      <w:pPr>
        <w:ind w:right="460" w:firstLine="498"/>
        <w:spacing w:after="0" w:line="266" w:lineRule="auto"/>
        <w:tabs>
          <w:tab w:leader="none" w:pos="762"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immediately preceding Business Day;</w:t>
      </w:r>
    </w:p>
    <w:p>
      <w:pPr>
        <w:spacing w:after="0" w:line="158" w:lineRule="exact"/>
        <w:rPr>
          <w:rFonts w:ascii="Arial" w:cs="Arial" w:eastAsia="Arial" w:hAnsi="Arial"/>
          <w:sz w:val="14"/>
          <w:szCs w:val="14"/>
          <w:color w:val="auto"/>
        </w:rPr>
      </w:pPr>
    </w:p>
    <w:p>
      <w:pPr>
        <w:ind w:right="480" w:firstLine="498"/>
        <w:spacing w:after="0" w:line="266"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8" w:lineRule="exact"/>
        <w:rPr>
          <w:rFonts w:ascii="Arial" w:cs="Arial" w:eastAsia="Arial" w:hAnsi="Arial"/>
          <w:sz w:val="14"/>
          <w:szCs w:val="14"/>
          <w:color w:val="auto"/>
        </w:rPr>
      </w:pPr>
    </w:p>
    <w:p>
      <w:pPr>
        <w:ind w:left="740" w:hanging="242"/>
        <w:spacing w:after="0"/>
        <w:tabs>
          <w:tab w:leader="none" w:pos="7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 Interest Period shall extend beyond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ectPr>
          <w:pgSz w:w="11900" w:h="16838" w:orient="portrait"/>
          <w:cols w:equalWidth="0" w:num="1">
            <w:col w:w="11280"/>
          </w:cols>
          <w:pgMar w:left="300" w:top="129"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Investment</w:t>
      </w:r>
      <w:r>
        <w:rPr>
          <w:rFonts w:ascii="Arial" w:cs="Arial" w:eastAsia="Arial" w:hAnsi="Arial"/>
          <w:sz w:val="13"/>
          <w:szCs w:val="13"/>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 but reduced (at the Borrower’s option) by (i) in the case of an Investment in the form of a loan or advance, any return received by such Person in cash or Cash Equivalents in respect of such Investment, including interest paid and the repayment to such Person of principal thereof in cash or Cash Equivalents and (ii) in the case of any other Investment, any return in respect of such Investment, or the proceeds from the sale or other transfer of such Investment received by such Person in cash or Cash Equivalents.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IP Rights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5.17</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means the United States Internal Revenue Service.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ISP</w:t>
      </w:r>
      <w:r>
        <w:rPr>
          <w:rFonts w:ascii="Arial" w:cs="Arial" w:eastAsia="Arial" w:hAnsi="Arial"/>
          <w:sz w:val="13"/>
          <w:szCs w:val="13"/>
          <w:color w:val="auto"/>
        </w:rPr>
        <w:t>” means the International Standby Practices, International Chamber of Commerce Publication No. 590 (or such later version thereof as may be in effect at the applicable time).</w:t>
      </w:r>
    </w:p>
    <w:p>
      <w:pPr>
        <w:spacing w:after="0" w:line="201" w:lineRule="exact"/>
        <w:rPr>
          <w:sz w:val="20"/>
          <w:szCs w:val="20"/>
          <w:color w:val="auto"/>
        </w:rPr>
      </w:pPr>
    </w:p>
    <w:p>
      <w:pPr>
        <w:ind w:right="5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Documents</w:t>
      </w:r>
      <w:r>
        <w:rPr>
          <w:rFonts w:ascii="Arial" w:cs="Arial" w:eastAsia="Arial" w:hAnsi="Arial"/>
          <w:sz w:val="14"/>
          <w:szCs w:val="14"/>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59" w:lineRule="exact"/>
        <w:rPr>
          <w:sz w:val="20"/>
          <w:szCs w:val="20"/>
          <w:color w:val="auto"/>
        </w:rPr>
      </w:pPr>
    </w:p>
    <w:p>
      <w:pPr>
        <w:ind w:right="20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Laws</w:t>
      </w:r>
      <w:r>
        <w:rPr>
          <w:rFonts w:ascii="Arial" w:cs="Arial" w:eastAsia="Arial" w:hAnsi="Arial"/>
          <w:sz w:val="13"/>
          <w:szCs w:val="13"/>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0" w:lineRule="exact"/>
        <w:rPr>
          <w:sz w:val="20"/>
          <w:szCs w:val="20"/>
          <w:color w:val="auto"/>
        </w:rPr>
      </w:pPr>
    </w:p>
    <w:p>
      <w:pPr>
        <w:ind w:right="5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Advance</w:t>
      </w:r>
      <w:r>
        <w:rPr>
          <w:rFonts w:ascii="Arial" w:cs="Arial" w:eastAsia="Arial" w:hAnsi="Arial"/>
          <w:sz w:val="14"/>
          <w:szCs w:val="14"/>
          <w:color w:val="auto"/>
        </w:rPr>
        <w:t>” means, with respect to each Revolving Credit Lender, such Lender’s funding of its participation in any L/C Borrowing in accordance with its Applicable Revolving Credit Percentage.</w:t>
      </w:r>
    </w:p>
    <w:p>
      <w:pPr>
        <w:spacing w:after="0" w:line="159"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Borrowing</w:t>
      </w:r>
      <w:r>
        <w:rPr>
          <w:rFonts w:ascii="Arial" w:cs="Arial" w:eastAsia="Arial" w:hAnsi="Arial"/>
          <w:sz w:val="14"/>
          <w:szCs w:val="14"/>
          <w:color w:val="auto"/>
        </w:rPr>
        <w:t>” means an extension of credit resulting from a drawing under any Letter of Credit which has not been reimbursed on the date when made or refinanced as a Revolving Credit Borrowing.</w:t>
      </w:r>
    </w:p>
    <w:p>
      <w:pPr>
        <w:spacing w:after="0" w:line="159" w:lineRule="exact"/>
        <w:rPr>
          <w:sz w:val="20"/>
          <w:szCs w:val="20"/>
          <w:color w:val="auto"/>
        </w:rPr>
      </w:pPr>
    </w:p>
    <w:p>
      <w:pPr>
        <w:ind w:right="260" w:firstLine="495"/>
        <w:spacing w:after="0" w:line="4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L/C Commitment</w:t>
      </w:r>
      <w:r>
        <w:rPr>
          <w:rFonts w:ascii="Arial" w:cs="Arial" w:eastAsia="Arial" w:hAnsi="Arial"/>
          <w:sz w:val="11"/>
          <w:szCs w:val="11"/>
          <w:color w:val="auto"/>
        </w:rPr>
        <w:t xml:space="preserve">” means, with respect to the L/C Issuer, the commitment of the L/C Issuer to issue Letters of Credit hereunder. The initial amount of the L/C Issuer’s L/C Commitment is set forth on </w:t>
      </w:r>
      <w:r>
        <w:rPr>
          <w:rFonts w:ascii="Arial" w:cs="Arial" w:eastAsia="Arial" w:hAnsi="Arial"/>
          <w:sz w:val="11"/>
          <w:szCs w:val="11"/>
          <w:u w:val="single" w:color="auto"/>
          <w:color w:val="auto"/>
        </w:rPr>
        <w:t>Schedule 2.01C</w:t>
      </w:r>
      <w:r>
        <w:rPr>
          <w:rFonts w:ascii="Arial" w:cs="Arial" w:eastAsia="Arial" w:hAnsi="Arial"/>
          <w:sz w:val="11"/>
          <w:szCs w:val="11"/>
          <w:color w:val="auto"/>
        </w:rPr>
        <w:t>. The L/C Commitment of the L/C Issuer may be modified from time to time by agreement between the L/C Issuer and the Borrower, and notified to the Administrative Agent.</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Credit Extension</w:t>
      </w:r>
      <w:r>
        <w:rPr>
          <w:rFonts w:ascii="Arial" w:cs="Arial" w:eastAsia="Arial" w:hAnsi="Arial"/>
          <w:sz w:val="14"/>
          <w:szCs w:val="14"/>
          <w:color w:val="auto"/>
        </w:rPr>
        <w:t>” means, with respect to any Letter of Credit, the issuance thereof or extension of the expiry date thereof, or the increase of the amount thereof.</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Disbursement</w:t>
      </w:r>
      <w:r>
        <w:rPr>
          <w:rFonts w:ascii="Arial" w:cs="Arial" w:eastAsia="Arial" w:hAnsi="Arial"/>
          <w:sz w:val="14"/>
          <w:szCs w:val="14"/>
          <w:color w:val="auto"/>
        </w:rPr>
        <w:t>” means a payment made by an L/C Issuer pursuant to a Letter of Credit.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Issuer</w:t>
      </w:r>
      <w:r>
        <w:rPr>
          <w:rFonts w:ascii="Arial" w:cs="Arial" w:eastAsia="Arial" w:hAnsi="Arial"/>
          <w:sz w:val="14"/>
          <w:szCs w:val="14"/>
          <w:color w:val="auto"/>
        </w:rPr>
        <w:t>” means Bank of America in its capacity as issuer of Letters of Credit hereunder, or any successor issuer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ectPr>
          <w:pgSz w:w="11900" w:h="16838" w:orient="portrait"/>
          <w:cols w:equalWidth="0" w:num="1">
            <w:col w:w="11280"/>
          </w:cols>
          <w:pgMar w:left="300" w:top="129"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95"/>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Obligations</w:t>
      </w:r>
      <w:r>
        <w:rPr>
          <w:rFonts w:ascii="Arial" w:cs="Arial" w:eastAsia="Arial" w:hAnsi="Arial"/>
          <w:sz w:val="13"/>
          <w:szCs w:val="13"/>
          <w:color w:val="auto"/>
        </w:rPr>
        <w:t xml:space="preserve">” means, as at any date of determination, the aggregate amount available to be drawn under all outstanding Letters of Credit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1.06</w:t>
      </w:r>
      <w:r>
        <w:rPr>
          <w:rFonts w:ascii="Arial" w:cs="Arial" w:eastAsia="Arial" w:hAnsi="Arial"/>
          <w:sz w:val="13"/>
          <w:szCs w:val="13"/>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w:t>
      </w:r>
      <w:r>
        <w:rPr>
          <w:rFonts w:ascii="Arial" w:cs="Arial" w:eastAsia="Arial" w:hAnsi="Arial"/>
          <w:sz w:val="14"/>
          <w:szCs w:val="14"/>
          <w:color w:val="auto"/>
        </w:rPr>
        <w:t>” has the meaning specified in the introductory paragraph hereto and, as the context requires, includes the Swing Line Lender.</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 Party</w:t>
      </w:r>
      <w:r>
        <w:rPr>
          <w:rFonts w:ascii="Arial" w:cs="Arial" w:eastAsia="Arial" w:hAnsi="Arial"/>
          <w:sz w:val="14"/>
          <w:szCs w:val="14"/>
          <w:color w:val="auto"/>
        </w:rPr>
        <w:t>” and “</w:t>
      </w:r>
      <w:r>
        <w:rPr>
          <w:rFonts w:ascii="Arial" w:cs="Arial" w:eastAsia="Arial" w:hAnsi="Arial"/>
          <w:sz w:val="14"/>
          <w:szCs w:val="14"/>
          <w:u w:val="single" w:color="auto"/>
          <w:color w:val="auto"/>
        </w:rPr>
        <w:t>Lender Recipient Party</w:t>
      </w:r>
      <w:r>
        <w:rPr>
          <w:rFonts w:ascii="Arial" w:cs="Arial" w:eastAsia="Arial" w:hAnsi="Arial"/>
          <w:sz w:val="14"/>
          <w:szCs w:val="14"/>
          <w:color w:val="auto"/>
        </w:rPr>
        <w:t>” means collectively, the Lenders, the Swing Line Lender and the L/C Issuer.</w:t>
      </w:r>
    </w:p>
    <w:p>
      <w:pPr>
        <w:spacing w:after="0" w:line="190" w:lineRule="exact"/>
        <w:rPr>
          <w:sz w:val="20"/>
          <w:szCs w:val="20"/>
          <w:color w:val="auto"/>
        </w:rPr>
      </w:pPr>
    </w:p>
    <w:p>
      <w:pPr>
        <w:ind w:right="12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Lending Office</w:t>
      </w:r>
      <w:r>
        <w:rPr>
          <w:rFonts w:ascii="Arial" w:cs="Arial" w:eastAsia="Arial" w:hAnsi="Arial"/>
          <w:sz w:val="14"/>
          <w:szCs w:val="14"/>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w:t>
      </w:r>
      <w:r>
        <w:rPr>
          <w:rFonts w:ascii="Arial" w:cs="Arial" w:eastAsia="Arial" w:hAnsi="Arial"/>
          <w:sz w:val="14"/>
          <w:szCs w:val="14"/>
          <w:color w:val="auto"/>
        </w:rPr>
        <w:t>” means any standby letter of credit issued hereunder, providing for the payment of cash upon the honoring of a presentation thereunder.</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Application</w:t>
      </w:r>
      <w:r>
        <w:rPr>
          <w:rFonts w:ascii="Arial" w:cs="Arial" w:eastAsia="Arial" w:hAnsi="Arial"/>
          <w:sz w:val="14"/>
          <w:szCs w:val="14"/>
          <w:color w:val="auto"/>
        </w:rPr>
        <w:t>” means an application and agreement for the issuance or amendment of a Letter of Credit in the form from time to time in use by the L/C Issuer.</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Fee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2.03(j)</w:t>
      </w:r>
      <w:r>
        <w:rPr>
          <w:rFonts w:ascii="Arial" w:cs="Arial" w:eastAsia="Arial" w:hAnsi="Arial"/>
          <w:sz w:val="14"/>
          <w:szCs w:val="14"/>
          <w:color w:val="auto"/>
        </w:rPr>
        <w:t>.</w:t>
      </w:r>
    </w:p>
    <w:p>
      <w:pPr>
        <w:spacing w:after="0" w:line="190" w:lineRule="exact"/>
        <w:rPr>
          <w:sz w:val="20"/>
          <w:szCs w:val="20"/>
          <w:color w:val="auto"/>
        </w:rPr>
      </w:pPr>
    </w:p>
    <w:p>
      <w:pPr>
        <w:ind w:right="4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Sublimit</w:t>
      </w:r>
      <w:r>
        <w:rPr>
          <w:rFonts w:ascii="Arial" w:cs="Arial" w:eastAsia="Arial" w:hAnsi="Arial"/>
          <w:sz w:val="14"/>
          <w:szCs w:val="14"/>
          <w:color w:val="auto"/>
        </w:rPr>
        <w:t>” means an amount equal to the lesser of (a) $15,000,000 and (b) the Aggregate Commitments. The Letter of Credit Sublimit is part of, and not in addition to, the Revolving Credit Facility.</w:t>
      </w:r>
    </w:p>
    <w:p>
      <w:pPr>
        <w:spacing w:after="0" w:line="159" w:lineRule="exact"/>
        <w:rPr>
          <w:sz w:val="20"/>
          <w:szCs w:val="20"/>
          <w:color w:val="auto"/>
        </w:rPr>
      </w:pPr>
    </w:p>
    <w:p>
      <w:pPr>
        <w:jc w:val="both"/>
        <w:ind w:right="20" w:firstLine="495"/>
        <w:spacing w:after="0" w:line="35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Lien</w:t>
      </w:r>
      <w:r>
        <w:rPr>
          <w:rFonts w:ascii="Arial" w:cs="Arial" w:eastAsia="Arial" w:hAnsi="Arial"/>
          <w:sz w:val="11"/>
          <w:szCs w:val="11"/>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15" w:lineRule="exact"/>
        <w:rPr>
          <w:sz w:val="20"/>
          <w:szCs w:val="20"/>
          <w:color w:val="auto"/>
        </w:rPr>
      </w:pPr>
    </w:p>
    <w:p>
      <w:pPr>
        <w:ind w:right="10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Liquidity</w:t>
      </w:r>
      <w:r>
        <w:rPr>
          <w:rFonts w:ascii="Arial" w:cs="Arial" w:eastAsia="Arial" w:hAnsi="Arial"/>
          <w:sz w:val="14"/>
          <w:szCs w:val="14"/>
          <w:color w:val="auto"/>
        </w:rPr>
        <w:t xml:space="preserve">” means, as of any date of determination, for the Borrower and its Subsidiaries on a consolidated basis, an amount which equals the sum of (a) the aggregate unrestricted cash and Cash Equivalents of the Borrower and its Subsidiaries maintained in the United States, (b) unrestricted Investments made in accordance with the Borrower’s Investment Objectives &amp; Guidelines as in effect on the Closing Date, together with any changes after the Closing Date as are reasonably satisfactory to Administrative Agent and (c) the aggregate principal amount of Revolving Loans available to be borrowed under </w:t>
      </w: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170" w:lineRule="exact"/>
        <w:rPr>
          <w:sz w:val="20"/>
          <w:szCs w:val="20"/>
          <w:color w:val="auto"/>
        </w:rPr>
      </w:pPr>
    </w:p>
    <w:p>
      <w:pPr>
        <w:ind w:right="120" w:firstLine="495"/>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Liquidity Reporting Period</w:t>
      </w:r>
      <w:r>
        <w:rPr>
          <w:rFonts w:ascii="Arial" w:cs="Arial" w:eastAsia="Arial" w:hAnsi="Arial"/>
          <w:sz w:val="13"/>
          <w:szCs w:val="13"/>
          <w:color w:val="auto"/>
        </w:rPr>
        <w:t xml:space="preserve">” means the period beginning on the date that is one hundred twenty one (121) days prior to the stated maturity date of the Convertible Notes (including Indebtedness issued under </w:t>
      </w:r>
      <w:r>
        <w:rPr>
          <w:rFonts w:ascii="Arial" w:cs="Arial" w:eastAsia="Arial" w:hAnsi="Arial"/>
          <w:sz w:val="13"/>
          <w:szCs w:val="13"/>
          <w:u w:val="single" w:color="auto"/>
          <w:color w:val="auto"/>
        </w:rPr>
        <w:t>Section 7.02(b)</w:t>
      </w:r>
      <w:r>
        <w:rPr>
          <w:rFonts w:ascii="Arial" w:cs="Arial" w:eastAsia="Arial" w:hAnsi="Arial"/>
          <w:sz w:val="13"/>
          <w:szCs w:val="13"/>
          <w:color w:val="auto"/>
        </w:rPr>
        <w:t xml:space="preserve">) to and including the date such Convertible Notes (including Indebtedness issued under </w:t>
      </w:r>
      <w:r>
        <w:rPr>
          <w:rFonts w:ascii="Arial" w:cs="Arial" w:eastAsia="Arial" w:hAnsi="Arial"/>
          <w:sz w:val="13"/>
          <w:szCs w:val="13"/>
          <w:u w:val="single" w:color="auto"/>
          <w:color w:val="auto"/>
        </w:rPr>
        <w:t>Section 7.02(b)</w:t>
      </w:r>
      <w:r>
        <w:rPr>
          <w:rFonts w:ascii="Arial" w:cs="Arial" w:eastAsia="Arial" w:hAnsi="Arial"/>
          <w:sz w:val="13"/>
          <w:szCs w:val="13"/>
          <w:color w:val="auto"/>
        </w:rPr>
        <w:t>) are paid in full or otherwise discharged.</w:t>
      </w:r>
    </w:p>
    <w:p>
      <w:pPr>
        <w:spacing w:after="0" w:line="136" w:lineRule="exact"/>
        <w:rPr>
          <w:sz w:val="20"/>
          <w:szCs w:val="20"/>
          <w:color w:val="auto"/>
        </w:rPr>
      </w:pPr>
    </w:p>
    <w:p>
      <w:pPr>
        <w:ind w:right="2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Liquidity Threshold</w:t>
      </w:r>
      <w:r>
        <w:rPr>
          <w:rFonts w:ascii="Arial" w:cs="Arial" w:eastAsia="Arial" w:hAnsi="Arial"/>
          <w:sz w:val="14"/>
          <w:szCs w:val="14"/>
          <w:color w:val="auto"/>
        </w:rPr>
        <w:t>” shall mean Liquidity in excess of 100% of the amount required to pay in full in cash the then aggregate outstanding amount of Convertible Notes (including Indebtedness issued under Section 7.02(b)).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ectPr>
          <w:pgSz w:w="11900" w:h="16838" w:orient="portrait"/>
          <w:cols w:equalWidth="0" w:num="1">
            <w:col w:w="11280"/>
          </w:cols>
          <w:pgMar w:left="300" w:top="129"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w:t>
      </w:r>
      <w:r>
        <w:rPr>
          <w:rFonts w:ascii="Arial" w:cs="Arial" w:eastAsia="Arial" w:hAnsi="Arial"/>
          <w:sz w:val="14"/>
          <w:szCs w:val="14"/>
          <w:color w:val="auto"/>
        </w:rPr>
        <w:t xml:space="preserve">” means an extension of credit by a Lender to the Borrower under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in the form of a Revolving Credit Loan or a Swing Line Loan.</w:t>
      </w:r>
    </w:p>
    <w:p>
      <w:pPr>
        <w:spacing w:after="0" w:line="190" w:lineRule="exact"/>
        <w:rPr>
          <w:sz w:val="20"/>
          <w:szCs w:val="20"/>
          <w:color w:val="auto"/>
        </w:rPr>
      </w:pPr>
    </w:p>
    <w:p>
      <w:pPr>
        <w:ind w:right="2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 Documents</w:t>
      </w:r>
      <w:r>
        <w:rPr>
          <w:rFonts w:ascii="Arial" w:cs="Arial" w:eastAsia="Arial" w:hAnsi="Arial"/>
          <w:sz w:val="14"/>
          <w:szCs w:val="14"/>
          <w:color w:val="auto"/>
        </w:rPr>
        <w:t xml:space="preserve">” means this Agreement, including schedules and exhibits hereto, each Note, each Issuer Document, any agreement creating or perfecting rights in Cash Collateral pursuant to the provisions of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of this Agreement, the Collateral Documents and any amendments, modifications or supplements hereto or to any other Loan Document or waivers hereof or to any other Loan Document.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 Parties</w:t>
      </w:r>
      <w:r>
        <w:rPr>
          <w:rFonts w:ascii="Arial" w:cs="Arial" w:eastAsia="Arial" w:hAnsi="Arial"/>
          <w:sz w:val="14"/>
          <w:szCs w:val="14"/>
          <w:color w:val="auto"/>
        </w:rPr>
        <w:t>” means, collectively, the Borrower and each Guarantor.</w:t>
      </w:r>
    </w:p>
    <w:p>
      <w:pPr>
        <w:spacing w:after="0" w:line="190" w:lineRule="exact"/>
        <w:rPr>
          <w:sz w:val="20"/>
          <w:szCs w:val="20"/>
          <w:color w:val="auto"/>
        </w:rPr>
      </w:pPr>
    </w:p>
    <w:p>
      <w:pPr>
        <w:ind w:right="3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means (a) a material adverse change in, or a material adverse effect upon, the operations, business, assets, liabilities or financial condition of the Borrower and its Subsidiaries taken as a whole; or (b) a material adverse effect on (i) the ability of any Loan Party to perform its payment Obligations under any Loan Document to which it is a party or (ii) the legality, validity, binding effect or enforceability against any Loan Party of any Loan Document to which it is a party.</w:t>
      </w:r>
    </w:p>
    <w:p>
      <w:pPr>
        <w:spacing w:after="0" w:line="166" w:lineRule="exact"/>
        <w:rPr>
          <w:sz w:val="20"/>
          <w:szCs w:val="20"/>
          <w:color w:val="auto"/>
        </w:rPr>
      </w:pPr>
    </w:p>
    <w:p>
      <w:pPr>
        <w:ind w:right="1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Asset</w:t>
      </w:r>
      <w:r>
        <w:rPr>
          <w:rFonts w:ascii="Arial" w:cs="Arial" w:eastAsia="Arial" w:hAnsi="Arial"/>
          <w:sz w:val="14"/>
          <w:szCs w:val="14"/>
          <w:color w:val="auto"/>
        </w:rPr>
        <w:t>” means any asset owned by any Loan Party that is, in the reasonable determination of the Borrower, material to the operation of the business of the Borrower and its Subsidiaries, taken as a whole.</w:t>
      </w:r>
    </w:p>
    <w:p>
      <w:pPr>
        <w:spacing w:after="0" w:line="159" w:lineRule="exact"/>
        <w:rPr>
          <w:sz w:val="20"/>
          <w:szCs w:val="20"/>
          <w:color w:val="auto"/>
        </w:rPr>
      </w:pPr>
    </w:p>
    <w:p>
      <w:pPr>
        <w:ind w:right="6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Contract</w:t>
      </w:r>
      <w:r>
        <w:rPr>
          <w:rFonts w:ascii="Arial" w:cs="Arial" w:eastAsia="Arial" w:hAnsi="Arial"/>
          <w:sz w:val="14"/>
          <w:szCs w:val="14"/>
          <w:color w:val="auto"/>
        </w:rPr>
        <w:t>” means each contract or agreement (a) material to the business, condition (financial or otherwise), operations, performance or properties of the Borrower and its Subsidiaries as a whole or (b) any other contract, agreement, permit or license, written or oral, of the Borrower and its Subsidiaries as to which the breach, nonperformance, cancellation or failure to renew by any party thereto, individually or in the aggregate, would reasonably be expected to have a Material Adverse Effect.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Intellectual Property</w:t>
      </w:r>
      <w:r>
        <w:rPr>
          <w:rFonts w:ascii="Arial" w:cs="Arial" w:eastAsia="Arial" w:hAnsi="Arial"/>
          <w:sz w:val="14"/>
          <w:szCs w:val="14"/>
          <w:color w:val="auto"/>
        </w:rPr>
        <w:t>” shall mean Intellectual Property that, collectively, is material to the business of the Borrower and its Subsidiaries taken as a whole.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Subsidiary</w:t>
      </w:r>
      <w:r>
        <w:rPr>
          <w:rFonts w:ascii="Arial" w:cs="Arial" w:eastAsia="Arial" w:hAnsi="Arial"/>
          <w:sz w:val="14"/>
          <w:szCs w:val="14"/>
          <w:color w:val="auto"/>
        </w:rPr>
        <w:t>” means any Subsidiary of the Borrower that is not an Immaterial Subsidiary.</w:t>
      </w:r>
    </w:p>
    <w:p>
      <w:pPr>
        <w:spacing w:after="0" w:line="190" w:lineRule="exact"/>
        <w:rPr>
          <w:sz w:val="20"/>
          <w:szCs w:val="20"/>
          <w:color w:val="auto"/>
        </w:rPr>
      </w:pPr>
    </w:p>
    <w:p>
      <w:pPr>
        <w:ind w:right="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Maturity Date</w:t>
      </w:r>
      <w:r>
        <w:rPr>
          <w:rFonts w:ascii="Arial" w:cs="Arial" w:eastAsia="Arial" w:hAnsi="Arial"/>
          <w:sz w:val="14"/>
          <w:szCs w:val="14"/>
          <w:color w:val="auto"/>
        </w:rPr>
        <w:t xml:space="preserve">” means the earlier of (i) May 18, 2025 and (ii) the Springing Maturity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each case, if such date is not a Business Day, the Maturity Date shall be the immediately preceding Business Day.</w:t>
      </w:r>
    </w:p>
    <w:p>
      <w:pPr>
        <w:spacing w:after="0" w:line="159" w:lineRule="exact"/>
        <w:rPr>
          <w:sz w:val="20"/>
          <w:szCs w:val="20"/>
          <w:color w:val="auto"/>
        </w:rPr>
      </w:pPr>
    </w:p>
    <w:p>
      <w:pPr>
        <w:ind w:right="20" w:firstLine="495"/>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Measurement Period</w:t>
      </w:r>
      <w:r>
        <w:rPr>
          <w:rFonts w:ascii="Arial" w:cs="Arial" w:eastAsia="Arial" w:hAnsi="Arial"/>
          <w:sz w:val="13"/>
          <w:szCs w:val="13"/>
          <w:color w:val="auto"/>
        </w:rPr>
        <w:t xml:space="preserve">” means, at any date of determination, the most recently completed four fiscal quarters of the Borrower (commencing with the fiscal quarter ending June 30, 2022, and, for all fiscal quarters ending after the Closing Date, for which financial statements have been delivered or are required to have been delivered pursuant to </w:t>
      </w:r>
      <w:r>
        <w:rPr>
          <w:rFonts w:ascii="Arial" w:cs="Arial" w:eastAsia="Arial" w:hAnsi="Arial"/>
          <w:sz w:val="13"/>
          <w:szCs w:val="13"/>
          <w:u w:val="single" w:color="auto"/>
          <w:color w:val="auto"/>
        </w:rPr>
        <w:t>Sections 6.01(a)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w:t>
      </w:r>
    </w:p>
    <w:p>
      <w:pPr>
        <w:spacing w:after="0" w:line="136" w:lineRule="exact"/>
        <w:rPr>
          <w:sz w:val="20"/>
          <w:szCs w:val="20"/>
          <w:color w:val="auto"/>
        </w:rPr>
      </w:pPr>
    </w:p>
    <w:p>
      <w:pPr>
        <w:ind w:right="120" w:firstLine="495"/>
        <w:spacing w:after="0" w:line="4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Minimum Collateral Amount</w:t>
      </w:r>
      <w:r>
        <w:rPr>
          <w:rFonts w:ascii="Arial" w:cs="Arial" w:eastAsia="Arial" w:hAnsi="Arial"/>
          <w:sz w:val="11"/>
          <w:szCs w:val="11"/>
          <w:color w:val="auto"/>
        </w:rPr>
        <w:t>” means, at any time, (a) with respect to Cash Collateral consisting of cash deposit account balances, an amount equal to 100% of the Fronting Exposure of the L/C Issuer with respect to Letters of Credit issued and outstanding at such time and (b) otherwise, an amount determined by the Administrative Agent and the L/C Issuer in their reasonable discretion.</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Moody’s</w:t>
      </w:r>
      <w:r>
        <w:rPr>
          <w:rFonts w:ascii="Arial" w:cs="Arial" w:eastAsia="Arial" w:hAnsi="Arial"/>
          <w:sz w:val="14"/>
          <w:szCs w:val="14"/>
          <w:color w:val="auto"/>
        </w:rPr>
        <w:t>” means Moody’s Investors Service, Inc. and any successor thereto.</w:t>
      </w:r>
    </w:p>
    <w:p>
      <w:pPr>
        <w:spacing w:after="0" w:line="190" w:lineRule="exact"/>
        <w:rPr>
          <w:sz w:val="20"/>
          <w:szCs w:val="20"/>
          <w:color w:val="auto"/>
        </w:rPr>
      </w:pPr>
    </w:p>
    <w:p>
      <w:pPr>
        <w:jc w:val="both"/>
        <w:ind w:right="400" w:firstLine="495"/>
        <w:spacing w:after="0" w:line="4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Multiemployer Plan</w:t>
      </w:r>
      <w:r>
        <w:rPr>
          <w:rFonts w:ascii="Arial" w:cs="Arial" w:eastAsia="Arial" w:hAnsi="Arial"/>
          <w:sz w:val="11"/>
          <w:szCs w:val="11"/>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 or for which the Borrower or any ERISA Affiliate has any liability, contingent or otherwise.</w:t>
      </w:r>
    </w:p>
    <w:p>
      <w:pPr>
        <w:spacing w:after="0" w:line="90" w:lineRule="exact"/>
        <w:rPr>
          <w:sz w:val="20"/>
          <w:szCs w:val="20"/>
          <w:color w:val="auto"/>
        </w:rPr>
      </w:pPr>
    </w:p>
    <w:p>
      <w:pPr>
        <w:ind w:right="2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Multiple Employer Plan</w:t>
      </w:r>
      <w:r>
        <w:rPr>
          <w:rFonts w:ascii="Arial" w:cs="Arial" w:eastAsia="Arial" w:hAnsi="Arial"/>
          <w:sz w:val="14"/>
          <w:szCs w:val="14"/>
          <w:color w:val="auto"/>
        </w:rPr>
        <w:t>” means a Plan which has two or more contributing sponsors (including the Borrower or any ERISA Affiliate) at least two of whom are not under common control, as such a plan is described in Section 4064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27</w:t>
      </w:r>
    </w:p>
    <w:p>
      <w:pPr>
        <w:sectPr>
          <w:pgSz w:w="11900" w:h="16838" w:orient="portrait"/>
          <w:cols w:equalWidth="0" w:num="1">
            <w:col w:w="11280"/>
          </w:cols>
          <w:pgMar w:left="300" w:top="129"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Non-Consenting Lender</w:t>
      </w:r>
      <w:r>
        <w:rPr>
          <w:rFonts w:ascii="Arial" w:cs="Arial" w:eastAsia="Arial" w:hAnsi="Arial"/>
          <w:sz w:val="14"/>
          <w:szCs w:val="14"/>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and (b) has been approved by the Required Lenders.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Non-Defaulting Lender</w:t>
      </w:r>
      <w:r>
        <w:rPr>
          <w:rFonts w:ascii="Arial" w:cs="Arial" w:eastAsia="Arial" w:hAnsi="Arial"/>
          <w:sz w:val="14"/>
          <w:szCs w:val="14"/>
          <w:color w:val="auto"/>
        </w:rPr>
        <w:t>” means, at any time, each Lender that is not a Defaulting Lender at such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w:t>
      </w:r>
      <w:r>
        <w:rPr>
          <w:rFonts w:ascii="Arial" w:cs="Arial" w:eastAsia="Arial" w:hAnsi="Arial"/>
          <w:sz w:val="14"/>
          <w:szCs w:val="14"/>
          <w:color w:val="auto"/>
        </w:rPr>
        <w:t>” means a Revolving Credit Note.</w:t>
      </w:r>
    </w:p>
    <w:p>
      <w:pPr>
        <w:spacing w:after="0" w:line="190" w:lineRule="exact"/>
        <w:rPr>
          <w:sz w:val="20"/>
          <w:szCs w:val="20"/>
          <w:color w:val="auto"/>
        </w:rPr>
      </w:pPr>
    </w:p>
    <w:p>
      <w:pPr>
        <w:ind w:right="56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Notice of Loan Prepayment</w:t>
      </w:r>
      <w:r>
        <w:rPr>
          <w:rFonts w:ascii="Arial" w:cs="Arial" w:eastAsia="Arial" w:hAnsi="Arial"/>
          <w:sz w:val="14"/>
          <w:szCs w:val="14"/>
          <w:color w:val="auto"/>
        </w:rPr>
        <w:t xml:space="preserve">” means a notice of prepayment with respect to a Loan, which shall be substantially in the form of </w:t>
      </w:r>
      <w:r>
        <w:rPr>
          <w:rFonts w:ascii="Arial" w:cs="Arial" w:eastAsia="Arial" w:hAnsi="Arial"/>
          <w:sz w:val="14"/>
          <w:szCs w:val="14"/>
          <w:u w:val="single" w:color="auto"/>
          <w:color w:val="auto"/>
        </w:rPr>
        <w:t>Exhibit O</w:t>
      </w:r>
      <w:r>
        <w:rPr>
          <w:rFonts w:ascii="Arial" w:cs="Arial" w:eastAsia="Arial" w:hAnsi="Arial"/>
          <w:sz w:val="14"/>
          <w:szCs w:val="14"/>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NPL</w:t>
      </w:r>
      <w:r>
        <w:rPr>
          <w:rFonts w:ascii="Arial" w:cs="Arial" w:eastAsia="Arial" w:hAnsi="Arial"/>
          <w:sz w:val="14"/>
          <w:szCs w:val="14"/>
          <w:color w:val="auto"/>
        </w:rPr>
        <w:t>” means the National Priorities List under CERCLA.</w:t>
      </w:r>
    </w:p>
    <w:p>
      <w:pPr>
        <w:spacing w:after="0" w:line="190" w:lineRule="exact"/>
        <w:rPr>
          <w:sz w:val="20"/>
          <w:szCs w:val="20"/>
          <w:color w:val="auto"/>
        </w:rPr>
      </w:pPr>
    </w:p>
    <w:p>
      <w:pPr>
        <w:ind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Obligations</w:t>
      </w:r>
      <w:r>
        <w:rPr>
          <w:rFonts w:ascii="Arial" w:cs="Arial" w:eastAsia="Arial" w:hAnsi="Arial"/>
          <w:sz w:val="13"/>
          <w:szCs w:val="13"/>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 Administrative Agent or any Lender, in each case in its sole discretion, may elect to pay or advance on behalf of the Loan Parties;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Obligations shall exclude any Excluded Swap Obligations.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OFAC</w:t>
      </w:r>
      <w:r>
        <w:rPr>
          <w:rFonts w:ascii="Arial" w:cs="Arial" w:eastAsia="Arial" w:hAnsi="Arial"/>
          <w:sz w:val="14"/>
          <w:szCs w:val="14"/>
          <w:color w:val="auto"/>
        </w:rPr>
        <w:t>” means the Office of Foreign Assets Control of the United States Department of the Treasury.</w:t>
      </w:r>
    </w:p>
    <w:p>
      <w:pPr>
        <w:spacing w:after="0" w:line="190" w:lineRule="exact"/>
        <w:rPr>
          <w:sz w:val="20"/>
          <w:szCs w:val="20"/>
          <w:color w:val="auto"/>
        </w:rPr>
      </w:pPr>
    </w:p>
    <w:p>
      <w:pPr>
        <w:ind w:firstLine="495"/>
        <w:spacing w:after="0" w:line="2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 Documents</w:t>
      </w:r>
      <w:r>
        <w:rPr>
          <w:rFonts w:ascii="Arial" w:cs="Arial" w:eastAsia="Arial" w:hAnsi="Arial"/>
          <w:sz w:val="14"/>
          <w:szCs w:val="14"/>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9" w:lineRule="exact"/>
        <w:rPr>
          <w:sz w:val="20"/>
          <w:szCs w:val="20"/>
          <w:color w:val="auto"/>
        </w:rPr>
      </w:pPr>
    </w:p>
    <w:p>
      <w:pPr>
        <w:ind w:right="60" w:firstLine="495"/>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50" w:lineRule="exact"/>
        <w:rPr>
          <w:sz w:val="20"/>
          <w:szCs w:val="20"/>
          <w:color w:val="auto"/>
        </w:rPr>
      </w:pPr>
    </w:p>
    <w:p>
      <w:pPr>
        <w:ind w:right="18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Taxes</w:t>
      </w:r>
      <w:r>
        <w:rPr>
          <w:rFonts w:ascii="Arial" w:cs="Arial" w:eastAsia="Arial" w:hAnsi="Arial"/>
          <w:sz w:val="14"/>
          <w:szCs w:val="14"/>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4"/>
          <w:szCs w:val="14"/>
          <w:u w:val="single" w:color="auto"/>
          <w:color w:val="auto"/>
        </w:rPr>
        <w:t>Section 3.06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ectPr>
          <w:pgSz w:w="11900" w:h="16838" w:orient="portrait"/>
          <w:cols w:equalWidth="0" w:num="1">
            <w:col w:w="11280"/>
          </w:cols>
          <w:pgMar w:left="300" w:top="129"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Outstanding Amount</w:t>
      </w:r>
      <w:r>
        <w:rPr>
          <w:rFonts w:ascii="Arial" w:cs="Arial" w:eastAsia="Arial" w:hAnsi="Arial"/>
          <w:sz w:val="14"/>
          <w:szCs w:val="14"/>
          <w:color w:val="auto"/>
        </w:rPr>
        <w:t>” means (a) with respect to Revolving Credit Loans and Swing Line Loans on any date, the aggregate outstanding principal amount thereof after giving effect to any borrowings and prepayments or repayments of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11.06(d)</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 Register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11.06(d)</w:t>
      </w:r>
      <w:r>
        <w:rPr>
          <w:rFonts w:ascii="Arial" w:cs="Arial" w:eastAsia="Arial" w:hAnsi="Arial"/>
          <w:sz w:val="14"/>
          <w:szCs w:val="14"/>
          <w:color w:val="auto"/>
        </w:rPr>
        <w:t>.</w:t>
      </w:r>
    </w:p>
    <w:p>
      <w:pPr>
        <w:spacing w:after="0" w:line="190" w:lineRule="exact"/>
        <w:rPr>
          <w:sz w:val="20"/>
          <w:szCs w:val="20"/>
          <w:color w:val="auto"/>
        </w:rPr>
      </w:pPr>
    </w:p>
    <w:p>
      <w:pPr>
        <w:ind w:right="300" w:firstLine="495"/>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Patents</w:t>
      </w:r>
      <w:r>
        <w:rPr>
          <w:rFonts w:ascii="Arial" w:cs="Arial" w:eastAsia="Arial" w:hAnsi="Arial"/>
          <w:sz w:val="13"/>
          <w:szCs w:val="13"/>
          <w:color w:val="auto"/>
        </w:rPr>
        <w:t>” means collectively: (i) all patents, all inventions and patent applications anywhere in the world, (ii) all improvements, counterparts, reissues, divisional, re-examinations, extensions, continuations (in whole or in part) and renewals of any of the foregoing and improvements thereon, and (iii) all rights corresponding to any of the foregoing throughout the world.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PBGC</w:t>
      </w:r>
      <w:r>
        <w:rPr>
          <w:rFonts w:ascii="Arial" w:cs="Arial" w:eastAsia="Arial" w:hAnsi="Arial"/>
          <w:sz w:val="14"/>
          <w:szCs w:val="14"/>
          <w:color w:val="auto"/>
        </w:rPr>
        <w:t>” means the Pension Benefit Guaranty Corporation.</w:t>
      </w:r>
    </w:p>
    <w:p>
      <w:pPr>
        <w:spacing w:after="0" w:line="190" w:lineRule="exact"/>
        <w:rPr>
          <w:sz w:val="20"/>
          <w:szCs w:val="20"/>
          <w:color w:val="auto"/>
        </w:rPr>
      </w:pPr>
    </w:p>
    <w:p>
      <w:pPr>
        <w:ind w:right="1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Pension Funding Rules</w:t>
      </w:r>
      <w:r>
        <w:rPr>
          <w:rFonts w:ascii="Arial" w:cs="Arial" w:eastAsia="Arial" w:hAnsi="Arial"/>
          <w:sz w:val="14"/>
          <w:szCs w:val="14"/>
          <w:color w:val="auto"/>
        </w:rPr>
        <w:t>” means the rules of the Code and ERISA regarding minimum funding standards with respect to Pension Plans and set forth in Sections 412, 430, 431, 432 and 436 of the Code and Sections 302, 303, 304 and 305 of ERISA.</w:t>
      </w:r>
    </w:p>
    <w:p>
      <w:pPr>
        <w:spacing w:after="0" w:line="159"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Pension Plan</w:t>
      </w:r>
      <w:r>
        <w:rPr>
          <w:rFonts w:ascii="Arial" w:cs="Arial" w:eastAsia="Arial" w:hAnsi="Arial"/>
          <w:sz w:val="14"/>
          <w:szCs w:val="14"/>
          <w:color w:val="auto"/>
        </w:rPr>
        <w:t>” means any employee pension benefit plan (including a Multiple Employer Plan but excluding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66" w:lineRule="exact"/>
        <w:rPr>
          <w:sz w:val="20"/>
          <w:szCs w:val="20"/>
          <w:color w:val="auto"/>
        </w:rPr>
      </w:pPr>
    </w:p>
    <w:p>
      <w:pPr>
        <w:ind w:right="3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Perfection Certificate</w:t>
      </w:r>
      <w:r>
        <w:rPr>
          <w:rFonts w:ascii="Arial" w:cs="Arial" w:eastAsia="Arial" w:hAnsi="Arial"/>
          <w:sz w:val="14"/>
          <w:szCs w:val="14"/>
          <w:color w:val="auto"/>
        </w:rPr>
        <w:t xml:space="preserve">” shall mean a certificate in the form of </w:t>
      </w:r>
      <w:r>
        <w:rPr>
          <w:rFonts w:ascii="Arial" w:cs="Arial" w:eastAsia="Arial" w:hAnsi="Arial"/>
          <w:sz w:val="14"/>
          <w:szCs w:val="14"/>
          <w:u w:val="single" w:color="auto"/>
          <w:color w:val="auto"/>
        </w:rPr>
        <w:t>Exhibit I-1</w:t>
      </w:r>
      <w:r>
        <w:rPr>
          <w:rFonts w:ascii="Arial" w:cs="Arial" w:eastAsia="Arial" w:hAnsi="Arial"/>
          <w:sz w:val="14"/>
          <w:szCs w:val="14"/>
          <w:color w:val="auto"/>
        </w:rPr>
        <w:t xml:space="preserve"> or any other form approved by the Administrative Agent, as the same shall be supplemented from time to time by a Perfection Certificate Supplement or otherwise.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Perfection Certificate Supplement</w:t>
      </w:r>
      <w:r>
        <w:rPr>
          <w:rFonts w:ascii="Arial" w:cs="Arial" w:eastAsia="Arial" w:hAnsi="Arial"/>
          <w:sz w:val="14"/>
          <w:szCs w:val="14"/>
          <w:color w:val="auto"/>
        </w:rPr>
        <w:t xml:space="preserve">” shall mean a certificate supplement in the form of </w:t>
      </w:r>
      <w:r>
        <w:rPr>
          <w:rFonts w:ascii="Arial" w:cs="Arial" w:eastAsia="Arial" w:hAnsi="Arial"/>
          <w:sz w:val="14"/>
          <w:szCs w:val="14"/>
          <w:u w:val="single" w:color="auto"/>
          <w:color w:val="auto"/>
        </w:rPr>
        <w:t>Exhibit I-2</w:t>
      </w:r>
      <w:r>
        <w:rPr>
          <w:rFonts w:ascii="Arial" w:cs="Arial" w:eastAsia="Arial" w:hAnsi="Arial"/>
          <w:sz w:val="14"/>
          <w:szCs w:val="14"/>
          <w:color w:val="auto"/>
        </w:rPr>
        <w:t xml:space="preserve"> or any other form approved by the Administrative Agent.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Acquisition</w:t>
      </w:r>
      <w:r>
        <w:rPr>
          <w:rFonts w:ascii="Arial" w:cs="Arial" w:eastAsia="Arial" w:hAnsi="Arial"/>
          <w:sz w:val="14"/>
          <w:szCs w:val="14"/>
          <w:color w:val="auto"/>
        </w:rPr>
        <w:t xml:space="preserve">” shall mean an acquisition permitted under </w:t>
      </w:r>
      <w:r>
        <w:rPr>
          <w:rFonts w:ascii="Arial" w:cs="Arial" w:eastAsia="Arial" w:hAnsi="Arial"/>
          <w:sz w:val="14"/>
          <w:szCs w:val="14"/>
          <w:u w:val="single" w:color="auto"/>
          <w:color w:val="auto"/>
        </w:rPr>
        <w:t>Section 7.03(g)</w:t>
      </w:r>
      <w:r>
        <w:rPr>
          <w:rFonts w:ascii="Arial" w:cs="Arial" w:eastAsia="Arial" w:hAnsi="Arial"/>
          <w:sz w:val="14"/>
          <w:szCs w:val="14"/>
          <w:color w:val="auto"/>
        </w:rPr>
        <w:t>.</w:t>
      </w:r>
    </w:p>
    <w:p>
      <w:pPr>
        <w:spacing w:after="0" w:line="190" w:lineRule="exact"/>
        <w:rPr>
          <w:sz w:val="20"/>
          <w:szCs w:val="20"/>
          <w:color w:val="auto"/>
        </w:rPr>
      </w:pPr>
    </w:p>
    <w:p>
      <w:pPr>
        <w:ind w:right="4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Priority Debt</w:t>
      </w:r>
      <w:r>
        <w:rPr>
          <w:rFonts w:ascii="Arial" w:cs="Arial" w:eastAsia="Arial" w:hAnsi="Arial"/>
          <w:sz w:val="14"/>
          <w:szCs w:val="14"/>
          <w:color w:val="auto"/>
        </w:rPr>
        <w:t>” means Indebtedness of the Borrower, in an amount not to exceed at any time $25,000,000; provided that (a) such Indebtedness, if secured, is secured solely by the Borrower’s accounts receivable and inventory, cash proceeds thereof, and cash, and (b) the holders or lenders thereof have executed and delivered to the Administrative Agent an intercreditor agreement reasonably satisfactory to the Administrative Agent and the Required Lenders, providing for the subordination of the Liens in favor of the Secured Parties on such assets to the Liens on such assets in favor of the lenders and agent under such Permitted Priority Debt.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natural person, corporation, limited liability company, trust, joint venture, association, company, partnership, Governmental Authority or other entity.</w:t>
      </w:r>
    </w:p>
    <w:p>
      <w:pPr>
        <w:spacing w:after="0" w:line="190" w:lineRule="exact"/>
        <w:rPr>
          <w:sz w:val="20"/>
          <w:szCs w:val="20"/>
          <w:color w:val="auto"/>
        </w:rPr>
      </w:pPr>
    </w:p>
    <w:p>
      <w:pPr>
        <w:ind w:right="20" w:firstLine="495"/>
        <w:spacing w:after="0" w:line="4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Plan</w:t>
      </w:r>
      <w:r>
        <w:rPr>
          <w:rFonts w:ascii="Arial" w:cs="Arial" w:eastAsia="Arial" w:hAnsi="Arial"/>
          <w:sz w:val="11"/>
          <w:szCs w:val="11"/>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 and for which the Borrower or any ERISA Affiliate has any liability, contingent or otherwise.</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Platform</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29</w:t>
      </w:r>
    </w:p>
    <w:p>
      <w:pPr>
        <w:sectPr>
          <w:pgSz w:w="11900" w:h="16838" w:orient="portrait"/>
          <w:cols w:equalWidth="0" w:num="1">
            <w:col w:w="11280"/>
          </w:cols>
          <w:pgMar w:left="300" w:top="129"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PTE</w:t>
      </w:r>
      <w:r>
        <w:rPr>
          <w:rFonts w:ascii="Arial" w:cs="Arial" w:eastAsia="Arial" w:hAnsi="Arial"/>
          <w:sz w:val="14"/>
          <w:szCs w:val="14"/>
          <w:color w:val="auto"/>
        </w:rPr>
        <w:t>” means a prohibited transaction class exemption issued by the U.S. Department of Labor, as any such exemption may be amended from time to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Public Lender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Recipient</w:t>
      </w:r>
      <w:r>
        <w:rPr>
          <w:rFonts w:ascii="Arial" w:cs="Arial" w:eastAsia="Arial" w:hAnsi="Arial"/>
          <w:sz w:val="13"/>
          <w:szCs w:val="13"/>
          <w:color w:val="auto"/>
        </w:rPr>
        <w:t>” means the Administrative Agent, any Lender, the L/C Issuer or any other recipient of any payment to be made by or on account of any obligation of any Loan Party hereunder.</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11.06(c)</w:t>
      </w:r>
      <w:r>
        <w:rPr>
          <w:rFonts w:ascii="Arial" w:cs="Arial" w:eastAsia="Arial" w:hAnsi="Arial"/>
          <w:sz w:val="14"/>
          <w:szCs w:val="14"/>
          <w:color w:val="auto"/>
        </w:rPr>
        <w:t>.</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Regulation U</w:t>
      </w:r>
      <w:r>
        <w:rPr>
          <w:rFonts w:ascii="Arial" w:cs="Arial" w:eastAsia="Arial" w:hAnsi="Arial"/>
          <w:sz w:val="14"/>
          <w:szCs w:val="14"/>
          <w:color w:val="auto"/>
        </w:rPr>
        <w:t>” means Regulation U of the FRB, as in effect from time to time and all official rulings and interpretations thereunder or thereof.</w:t>
      </w:r>
    </w:p>
    <w:p>
      <w:pPr>
        <w:spacing w:after="0" w:line="180" w:lineRule="exact"/>
        <w:rPr>
          <w:sz w:val="20"/>
          <w:szCs w:val="20"/>
          <w:color w:val="auto"/>
        </w:rPr>
      </w:pPr>
    </w:p>
    <w:p>
      <w:pPr>
        <w:ind w:right="8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Related Parties</w:t>
      </w:r>
      <w:r>
        <w:rPr>
          <w:rFonts w:ascii="Arial" w:cs="Arial" w:eastAsia="Arial" w:hAnsi="Arial"/>
          <w:sz w:val="14"/>
          <w:szCs w:val="14"/>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9" w:lineRule="exact"/>
        <w:rPr>
          <w:sz w:val="20"/>
          <w:szCs w:val="20"/>
          <w:color w:val="auto"/>
        </w:rPr>
      </w:pPr>
    </w:p>
    <w:p>
      <w:pPr>
        <w:ind w:right="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Release</w:t>
      </w:r>
      <w:r>
        <w:rPr>
          <w:rFonts w:ascii="Arial" w:cs="Arial" w:eastAsia="Arial" w:hAnsi="Arial"/>
          <w:sz w:val="14"/>
          <w:szCs w:val="14"/>
          <w:color w:val="auto"/>
        </w:rPr>
        <w:t>” means any release, spill, emission, discharge, deposit, disposal, leaking, pumping, pouring, dumping, emptying, injection or leaching into the Environment, or into, from or through any building, structure or facility.</w:t>
      </w:r>
    </w:p>
    <w:p>
      <w:pPr>
        <w:spacing w:after="0" w:line="159" w:lineRule="exact"/>
        <w:rPr>
          <w:sz w:val="20"/>
          <w:szCs w:val="20"/>
          <w:color w:val="auto"/>
        </w:rPr>
      </w:pPr>
    </w:p>
    <w:p>
      <w:pPr>
        <w:ind w:right="2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Relevant Governmental Body</w:t>
      </w:r>
      <w:r>
        <w:rPr>
          <w:rFonts w:ascii="Arial" w:cs="Arial" w:eastAsia="Arial" w:hAnsi="Arial"/>
          <w:sz w:val="14"/>
          <w:szCs w:val="14"/>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Reportable Event</w:t>
      </w:r>
      <w:r>
        <w:rPr>
          <w:rFonts w:ascii="Arial" w:cs="Arial" w:eastAsia="Arial" w:hAnsi="Arial"/>
          <w:sz w:val="14"/>
          <w:szCs w:val="14"/>
          <w:color w:val="auto"/>
        </w:rPr>
        <w:t>” means any of the events set forth in Section 4043(c) of ERISA.</w:t>
      </w:r>
    </w:p>
    <w:p>
      <w:pPr>
        <w:spacing w:after="0" w:line="190" w:lineRule="exact"/>
        <w:rPr>
          <w:sz w:val="20"/>
          <w:szCs w:val="20"/>
          <w:color w:val="auto"/>
        </w:rPr>
      </w:pPr>
    </w:p>
    <w:p>
      <w:pPr>
        <w:ind w:right="5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Request for Credit Extension</w:t>
      </w:r>
      <w:r>
        <w:rPr>
          <w:rFonts w:ascii="Arial" w:cs="Arial" w:eastAsia="Arial" w:hAnsi="Arial"/>
          <w:sz w:val="14"/>
          <w:szCs w:val="14"/>
          <w:color w:val="auto"/>
        </w:rPr>
        <w:t>” means (a) with respect to a Borrowing, conversion or continuation of Revolving Credit Loans, a Committed Loan Notice, (b) with respect to an L/C Credit Extension, a Letter of Credit Application, and (c) with respect to a Swing Line Loan, a Swing Line Loan Notice.</w:t>
      </w:r>
    </w:p>
    <w:p>
      <w:pPr>
        <w:spacing w:after="0" w:line="159" w:lineRule="exact"/>
        <w:rPr>
          <w:sz w:val="20"/>
          <w:szCs w:val="20"/>
          <w:color w:val="auto"/>
        </w:rPr>
      </w:pPr>
    </w:p>
    <w:p>
      <w:pPr>
        <w:ind w:right="20" w:firstLine="495"/>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Required Lenders</w:t>
      </w:r>
      <w:r>
        <w:rPr>
          <w:rFonts w:ascii="Arial" w:cs="Arial" w:eastAsia="Arial" w:hAnsi="Arial"/>
          <w:sz w:val="11"/>
          <w:szCs w:val="11"/>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L/C Issuer, as the case may be, in making such determination;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at any time two or more unaffiliated Lenders are party the Agreement, Required Lenders shall be composed of at least two such Lenders,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this definition is subject to </w:t>
      </w:r>
      <w:r>
        <w:rPr>
          <w:rFonts w:ascii="Arial" w:cs="Arial" w:eastAsia="Arial" w:hAnsi="Arial"/>
          <w:sz w:val="11"/>
          <w:szCs w:val="11"/>
          <w:u w:val="single" w:color="auto"/>
          <w:color w:val="auto"/>
        </w:rPr>
        <w:t>Section 3.03</w:t>
      </w:r>
      <w:r>
        <w:rPr>
          <w:rFonts w:ascii="Arial" w:cs="Arial" w:eastAsia="Arial" w:hAnsi="Arial"/>
          <w:sz w:val="11"/>
          <w:szCs w:val="11"/>
          <w:color w:val="auto"/>
        </w:rPr>
        <w: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Rescindable Amount</w:t>
      </w:r>
      <w:r>
        <w:rPr>
          <w:rFonts w:ascii="Arial" w:cs="Arial" w:eastAsia="Arial" w:hAnsi="Arial"/>
          <w:sz w:val="14"/>
          <w:szCs w:val="14"/>
          <w:color w:val="auto"/>
        </w:rPr>
        <w:t xml:space="preserve">” has the meaning as defined in </w:t>
      </w:r>
      <w:r>
        <w:rPr>
          <w:rFonts w:ascii="Arial" w:cs="Arial" w:eastAsia="Arial" w:hAnsi="Arial"/>
          <w:sz w:val="14"/>
          <w:szCs w:val="14"/>
          <w:u w:val="single" w:color="auto"/>
          <w:color w:val="auto"/>
        </w:rPr>
        <w:t>Section 2.12(b)(ii)</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Resolution Authority</w:t>
      </w:r>
      <w:r>
        <w:rPr>
          <w:rFonts w:ascii="Arial" w:cs="Arial" w:eastAsia="Arial" w:hAnsi="Arial"/>
          <w:sz w:val="14"/>
          <w:szCs w:val="14"/>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ectPr>
          <w:pgSz w:w="11900" w:h="16838" w:orient="portrait"/>
          <w:cols w:equalWidth="0" w:num="1">
            <w:col w:w="11280"/>
          </w:cols>
          <w:pgMar w:left="300" w:top="129"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xml:space="preserve">” means the chief executive officer, president, chief financial officer, vice president of finance, treasurer, assistant treasurer or controller of a Loan Party, and solely for purposes of the delivery of incumbency certificates pursuant to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the secretary or any assistant secretary of a Loan Party and, solely for purposes of notices given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any other officer of the Borrower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reasonably requested by the Administrative Agent, each Responsible Officer will provide an incumbency certificate and to the extent reasonably requested by the Administrative Agent, appropriate authorization documentation, in form and substance satisfactory to the Administrative Agent.</w:t>
      </w:r>
    </w:p>
    <w:p>
      <w:pPr>
        <w:spacing w:after="0" w:line="159" w:lineRule="exact"/>
        <w:rPr>
          <w:sz w:val="20"/>
          <w:szCs w:val="20"/>
          <w:color w:val="auto"/>
        </w:rPr>
      </w:pPr>
    </w:p>
    <w:p>
      <w:pPr>
        <w:ind w:right="14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Payment</w:t>
      </w:r>
      <w:r>
        <w:rPr>
          <w:rFonts w:ascii="Arial" w:cs="Arial" w:eastAsia="Arial" w:hAnsi="Arial"/>
          <w:sz w:val="14"/>
          <w:szCs w:val="14"/>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 or any option, warrant or other right to acquire any such dividend or other distribution or payment.</w:t>
      </w:r>
    </w:p>
    <w:p>
      <w:pPr>
        <w:spacing w:after="0" w:line="170" w:lineRule="exact"/>
        <w:rPr>
          <w:sz w:val="20"/>
          <w:szCs w:val="20"/>
          <w:color w:val="auto"/>
        </w:rPr>
      </w:pPr>
    </w:p>
    <w:p>
      <w:pPr>
        <w:ind w:right="2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Borrowing</w:t>
      </w:r>
      <w:r>
        <w:rPr>
          <w:rFonts w:ascii="Arial" w:cs="Arial" w:eastAsia="Arial" w:hAnsi="Arial"/>
          <w:sz w:val="14"/>
          <w:szCs w:val="14"/>
          <w:color w:val="auto"/>
        </w:rPr>
        <w:t xml:space="preserve">” means a borrowing consisting of simultaneous Revolving Credit Loans of the same Type and, in the case of Term SOFR Loans, having the same Interest Period made by each of the Revolving Credit Lenders pursuant to </w:t>
      </w: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159" w:lineRule="exact"/>
        <w:rPr>
          <w:sz w:val="20"/>
          <w:szCs w:val="20"/>
          <w:color w:val="auto"/>
        </w:rPr>
      </w:pPr>
    </w:p>
    <w:p>
      <w:pPr>
        <w:ind w:right="16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Exposure</w:t>
      </w:r>
      <w:r>
        <w:rPr>
          <w:rFonts w:ascii="Arial" w:cs="Arial" w:eastAsia="Arial" w:hAnsi="Arial"/>
          <w:sz w:val="14"/>
          <w:szCs w:val="14"/>
          <w:color w:val="auto"/>
        </w:rPr>
        <w:t>” means, as to any Lender at any time, the aggregate principal amount at such time of its outstanding Revolving Credit Loans and such Lender’s participation in L/C Obligations and Swing Line Loans at such time.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Facility</w:t>
      </w:r>
      <w:r>
        <w:rPr>
          <w:rFonts w:ascii="Arial" w:cs="Arial" w:eastAsia="Arial" w:hAnsi="Arial"/>
          <w:sz w:val="14"/>
          <w:szCs w:val="14"/>
          <w:color w:val="auto"/>
        </w:rPr>
        <w:t>” means, at any time, the aggregate amount of the Revolving Credit Lenders’ Commitments at such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Lender</w:t>
      </w:r>
      <w:r>
        <w:rPr>
          <w:rFonts w:ascii="Arial" w:cs="Arial" w:eastAsia="Arial" w:hAnsi="Arial"/>
          <w:sz w:val="14"/>
          <w:szCs w:val="14"/>
          <w:color w:val="auto"/>
        </w:rPr>
        <w:t>” means, at any time, any Lender that has a Commitment at such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Loan</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190"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Note</w:t>
      </w:r>
      <w:r>
        <w:rPr>
          <w:rFonts w:ascii="Arial" w:cs="Arial" w:eastAsia="Arial" w:hAnsi="Arial"/>
          <w:sz w:val="14"/>
          <w:szCs w:val="14"/>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S&amp;P</w:t>
      </w:r>
      <w:r>
        <w:rPr>
          <w:rFonts w:ascii="Arial" w:cs="Arial" w:eastAsia="Arial" w:hAnsi="Arial"/>
          <w:sz w:val="14"/>
          <w:szCs w:val="14"/>
          <w:color w:val="auto"/>
        </w:rPr>
        <w:t>” means Standard &amp; Poor’s Financial Services LLC, a subsidiary of S&amp;P Global Inc., and any successor thereto.</w:t>
      </w:r>
    </w:p>
    <w:p>
      <w:pPr>
        <w:spacing w:after="0" w:line="190" w:lineRule="exact"/>
        <w:rPr>
          <w:sz w:val="20"/>
          <w:szCs w:val="20"/>
          <w:color w:val="auto"/>
        </w:rPr>
      </w:pPr>
    </w:p>
    <w:p>
      <w:pPr>
        <w:ind w:right="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w:t>
      </w:r>
      <w:r>
        <w:rPr>
          <w:rFonts w:ascii="Arial" w:cs="Arial" w:eastAsia="Arial" w:hAnsi="Arial"/>
          <w:sz w:val="14"/>
          <w:szCs w:val="14"/>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4"/>
          <w:szCs w:val="14"/>
          <w:u w:val="single" w:color="auto"/>
          <w:color w:val="auto"/>
        </w:rPr>
        <w:t>HMT</w:t>
      </w:r>
      <w:r>
        <w:rPr>
          <w:rFonts w:ascii="Arial" w:cs="Arial" w:eastAsia="Arial" w:hAnsi="Arial"/>
          <w:sz w:val="14"/>
          <w:szCs w:val="14"/>
          <w:color w:val="auto"/>
        </w:rPr>
        <w:t>”) or other relevant sanctions authority applicable to the Borrower or its Subsidiaries.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Scheduled Unavailability Date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3.03(b)</w:t>
      </w:r>
      <w:r>
        <w:rPr>
          <w:rFonts w:ascii="Arial" w:cs="Arial" w:eastAsia="Arial" w:hAnsi="Arial"/>
          <w:sz w:val="14"/>
          <w:szCs w:val="14"/>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w:t>
      </w:r>
      <w:r>
        <w:rPr>
          <w:rFonts w:ascii="Arial" w:cs="Arial" w:eastAsia="Arial" w:hAnsi="Arial"/>
          <w:sz w:val="14"/>
          <w:szCs w:val="14"/>
          <w:color w:val="auto"/>
        </w:rPr>
        <w:t>” means the Securities and Exchange Commission, or any Governmental Authority succeeding to any of its principal functions.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Secured Cash Management Agreement</w:t>
      </w:r>
      <w:r>
        <w:rPr>
          <w:rFonts w:ascii="Arial" w:cs="Arial" w:eastAsia="Arial" w:hAnsi="Arial"/>
          <w:sz w:val="11"/>
          <w:szCs w:val="11"/>
          <w:color w:val="auto"/>
        </w:rPr>
        <w:t>” means any Cash Management Agreement that is entered into by and between any Loan Party or Subsidiary of a Loan Party and any Cash Management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31</w:t>
      </w:r>
    </w:p>
    <w:p>
      <w:pPr>
        <w:sectPr>
          <w:pgSz w:w="11900" w:h="16838" w:orient="portrait"/>
          <w:cols w:equalWidth="0" w:num="1">
            <w:col w:w="11280"/>
          </w:cols>
          <w:pgMar w:left="300" w:top="129"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Hedge Agreement</w:t>
      </w:r>
      <w:r>
        <w:rPr>
          <w:rFonts w:ascii="Arial" w:cs="Arial" w:eastAsia="Arial" w:hAnsi="Arial"/>
          <w:sz w:val="14"/>
          <w:szCs w:val="14"/>
          <w:color w:val="auto"/>
        </w:rPr>
        <w:t xml:space="preserve">” means any interest rate Swap Contract permitted under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VII</w:t>
      </w:r>
      <w:r>
        <w:rPr>
          <w:rFonts w:ascii="Arial" w:cs="Arial" w:eastAsia="Arial" w:hAnsi="Arial"/>
          <w:sz w:val="14"/>
          <w:szCs w:val="14"/>
          <w:color w:val="auto"/>
        </w:rPr>
        <w:t xml:space="preserve"> that is entered into by and between any Loan Party or Subsidiary of a Loan Party and any Hedge Bank.</w:t>
      </w:r>
    </w:p>
    <w:p>
      <w:pPr>
        <w:spacing w:after="0" w:line="159" w:lineRule="exact"/>
        <w:rPr>
          <w:sz w:val="20"/>
          <w:szCs w:val="20"/>
          <w:color w:val="auto"/>
        </w:rPr>
      </w:pPr>
    </w:p>
    <w:p>
      <w:pPr>
        <w:ind w:right="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Parties</w:t>
      </w:r>
      <w:r>
        <w:rPr>
          <w:rFonts w:ascii="Arial" w:cs="Arial" w:eastAsia="Arial" w:hAnsi="Arial"/>
          <w:sz w:val="14"/>
          <w:szCs w:val="14"/>
          <w:color w:val="auto"/>
        </w:rPr>
        <w:t xml:space="preserve">” means, collectively, the Administrative Agent, the Lenders, the L/C Issuer, the Hedge Banks, the Cash Management Banks, each co-agent or sub-agent appointed by the Administrative Agent from time to time pursuant to </w:t>
      </w:r>
      <w:r>
        <w:rPr>
          <w:rFonts w:ascii="Arial" w:cs="Arial" w:eastAsia="Arial" w:hAnsi="Arial"/>
          <w:sz w:val="14"/>
          <w:szCs w:val="14"/>
          <w:u w:val="single" w:color="auto"/>
          <w:color w:val="auto"/>
        </w:rPr>
        <w:t>Section 9.05</w:t>
      </w:r>
      <w:r>
        <w:rPr>
          <w:rFonts w:ascii="Arial" w:cs="Arial" w:eastAsia="Arial" w:hAnsi="Arial"/>
          <w:sz w:val="14"/>
          <w:szCs w:val="14"/>
          <w:color w:val="auto"/>
        </w:rPr>
        <w:t>, and the other Persons the Obligations owing to which are or are purported to be secured by the Collateral under the terms of the Collateral Documents.</w:t>
      </w:r>
    </w:p>
    <w:p>
      <w:pPr>
        <w:spacing w:after="0" w:line="166" w:lineRule="exact"/>
        <w:rPr>
          <w:sz w:val="20"/>
          <w:szCs w:val="20"/>
          <w:color w:val="auto"/>
        </w:rPr>
      </w:pPr>
    </w:p>
    <w:p>
      <w:pPr>
        <w:ind w:right="3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Security Agreement</w:t>
      </w:r>
      <w:r>
        <w:rPr>
          <w:rFonts w:ascii="Arial" w:cs="Arial" w:eastAsia="Arial" w:hAnsi="Arial"/>
          <w:sz w:val="14"/>
          <w:szCs w:val="14"/>
          <w:color w:val="auto"/>
        </w:rPr>
        <w:t xml:space="preserve">” means the Security and Pledge Agreement, dated as of the Closing Date, executed in favor of the Administrative Agent by each of the Loan Parties, together with each security agreement supplement delivered pursuant to </w:t>
      </w:r>
      <w:r>
        <w:rPr>
          <w:rFonts w:ascii="Arial" w:cs="Arial" w:eastAsia="Arial" w:hAnsi="Arial"/>
          <w:sz w:val="14"/>
          <w:szCs w:val="14"/>
          <w:u w:val="single" w:color="auto"/>
          <w:color w:val="auto"/>
        </w:rPr>
        <w:t>Section 6.12</w:t>
      </w:r>
      <w:r>
        <w:rPr>
          <w:rFonts w:ascii="Arial" w:cs="Arial" w:eastAsia="Arial" w:hAnsi="Arial"/>
          <w:sz w:val="14"/>
          <w:szCs w:val="14"/>
          <w:color w:val="auto"/>
        </w:rPr>
        <w: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Security Agreement Supplement</w:t>
      </w:r>
      <w:r>
        <w:rPr>
          <w:rFonts w:ascii="Arial" w:cs="Arial" w:eastAsia="Arial" w:hAnsi="Arial"/>
          <w:sz w:val="14"/>
          <w:szCs w:val="14"/>
          <w:color w:val="auto"/>
        </w:rPr>
        <w:t>” means a supplement to the Security Agreement in form and substance reasonably satisfactory to Administrative Agent.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SOFR</w:t>
      </w:r>
      <w:r>
        <w:rPr>
          <w:rFonts w:ascii="Arial" w:cs="Arial" w:eastAsia="Arial" w:hAnsi="Arial"/>
          <w:sz w:val="14"/>
          <w:szCs w:val="14"/>
          <w:color w:val="auto"/>
        </w:rPr>
        <w:t>” means the Secured Overnight Financing Rate as administered by the Federal Reserve Bank of New York (or a successor administrator).</w:t>
      </w:r>
    </w:p>
    <w:p>
      <w:pPr>
        <w:spacing w:after="0" w:line="190" w:lineRule="exact"/>
        <w:rPr>
          <w:sz w:val="20"/>
          <w:szCs w:val="20"/>
          <w:color w:val="auto"/>
        </w:rPr>
      </w:pPr>
    </w:p>
    <w:p>
      <w:pPr>
        <w:ind w:right="3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SOFR Adjustment</w:t>
      </w:r>
      <w:r>
        <w:rPr>
          <w:rFonts w:ascii="Arial" w:cs="Arial" w:eastAsia="Arial" w:hAnsi="Arial"/>
          <w:sz w:val="14"/>
          <w:szCs w:val="14"/>
          <w:color w:val="auto"/>
        </w:rPr>
        <w:t>” with respect to Daily Simple SOFR means 0.10% (10 basis points); and with respect to Term SOFR means 0.10% (10 basis points) for an Interest Period of one-month’s duration, 0.15% (15 basis points) for an Interest Period of three-month’s duration, 0.25% (25 basis points) for an Interest Period of six-months’ duration.</w:t>
      </w:r>
    </w:p>
    <w:p>
      <w:pPr>
        <w:spacing w:after="0" w:line="159" w:lineRule="exact"/>
        <w:rPr>
          <w:sz w:val="20"/>
          <w:szCs w:val="20"/>
          <w:color w:val="auto"/>
        </w:rPr>
      </w:pPr>
    </w:p>
    <w:p>
      <w:pPr>
        <w:ind w:right="120" w:firstLine="495"/>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Solvent</w:t>
      </w:r>
      <w:r>
        <w:rPr>
          <w:rFonts w:ascii="Arial" w:cs="Arial" w:eastAsia="Arial" w:hAnsi="Arial"/>
          <w:sz w:val="14"/>
          <w:szCs w:val="14"/>
          <w:color w:val="auto"/>
        </w:rPr>
        <w:t>” and “</w:t>
      </w:r>
      <w:r>
        <w:rPr>
          <w:rFonts w:ascii="Arial" w:cs="Arial" w:eastAsia="Arial" w:hAnsi="Arial"/>
          <w:sz w:val="14"/>
          <w:szCs w:val="14"/>
          <w:u w:val="single" w:color="auto"/>
          <w:color w:val="auto"/>
        </w:rPr>
        <w:t>Solvency</w:t>
      </w:r>
      <w:r>
        <w:rPr>
          <w:rFonts w:ascii="Arial" w:cs="Arial" w:eastAsia="Arial" w:hAnsi="Arial"/>
          <w:sz w:val="14"/>
          <w:szCs w:val="14"/>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would reasonably be expected to become an actual or matured liability.</w:t>
      </w:r>
    </w:p>
    <w:p>
      <w:pPr>
        <w:spacing w:after="0" w:line="172" w:lineRule="exact"/>
        <w:rPr>
          <w:sz w:val="20"/>
          <w:szCs w:val="20"/>
          <w:color w:val="auto"/>
        </w:rPr>
      </w:pPr>
    </w:p>
    <w:p>
      <w:pPr>
        <w:ind w:right="120"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Acquisition</w:t>
      </w:r>
      <w:r>
        <w:rPr>
          <w:rFonts w:ascii="Arial" w:cs="Arial" w:eastAsia="Arial" w:hAnsi="Arial"/>
          <w:sz w:val="14"/>
          <w:szCs w:val="14"/>
          <w:color w:val="auto"/>
        </w:rPr>
        <w:t xml:space="preserve">” means one or more Permitted Acquisitions in a six months period with an aggregate Acquisition Consideration of not less than $50,000,000 elected by the Borrower by notice to the Administrative Agent taken together to be a Specified Acquisition pursuant to a Specified Acquisition Leverage Ratio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no more than one Specified Acquisition may be in effect at any one time, (B) no more than one Specified Acquisition may be elected with respect to a particular acquisition, and (C) no more than two Specified Acquisitions in total may be elected prior to the Maturity Date.</w:t>
      </w:r>
    </w:p>
    <w:p>
      <w:pPr>
        <w:spacing w:after="0" w:line="170" w:lineRule="exact"/>
        <w:rPr>
          <w:sz w:val="20"/>
          <w:szCs w:val="20"/>
          <w:color w:val="auto"/>
        </w:rPr>
      </w:pPr>
    </w:p>
    <w:p>
      <w:pPr>
        <w:ind w:right="2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Acquisition Leverage Ratio Notice</w:t>
      </w:r>
      <w:r>
        <w:rPr>
          <w:rFonts w:ascii="Arial" w:cs="Arial" w:eastAsia="Arial" w:hAnsi="Arial"/>
          <w:sz w:val="14"/>
          <w:szCs w:val="14"/>
          <w:color w:val="auto"/>
        </w:rPr>
        <w:t xml:space="preserve">” means a written notice from the Borrower to the Administrative Agent (a) delivered not later than the date by which the Loan Parties are required to provide financial statements pursuant to </w:t>
      </w:r>
      <w:r>
        <w:rPr>
          <w:rFonts w:ascii="Arial" w:cs="Arial" w:eastAsia="Arial" w:hAnsi="Arial"/>
          <w:sz w:val="14"/>
          <w:szCs w:val="14"/>
          <w:u w:val="single" w:color="auto"/>
          <w:color w:val="auto"/>
        </w:rPr>
        <w:t>Sections 6.01(a)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for the most recently ended fiscal quarter or fiscal year, as the case may be, in which the Borrower seeks to invoke an adjustment to the Consolidated Net Leverage Ratio, and (b) which describes the Specified Acquisition which formed the basis for such request.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Loan Party</w:t>
      </w:r>
      <w:r>
        <w:rPr>
          <w:rFonts w:ascii="Arial" w:cs="Arial" w:eastAsia="Arial" w:hAnsi="Arial"/>
          <w:sz w:val="13"/>
          <w:szCs w:val="13"/>
          <w:color w:val="auto"/>
        </w:rPr>
        <w:t xml:space="preserve">” means any Loan Party that is not an “eligible contract participant” under the Commodity Exchange Act (determined prior to giving effect to </w:t>
      </w:r>
      <w:r>
        <w:rPr>
          <w:rFonts w:ascii="Arial" w:cs="Arial" w:eastAsia="Arial" w:hAnsi="Arial"/>
          <w:sz w:val="13"/>
          <w:szCs w:val="13"/>
          <w:u w:val="single" w:color="auto"/>
          <w:color w:val="auto"/>
        </w:rPr>
        <w:t>Section 10.11</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32</w:t>
      </w:r>
    </w:p>
    <w:p>
      <w:pPr>
        <w:sectPr>
          <w:pgSz w:w="11900" w:h="16838" w:orient="portrait"/>
          <w:cols w:equalWidth="0" w:num="1">
            <w:col w:w="11280"/>
          </w:cols>
          <w:pgMar w:left="300" w:top="129"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Springing Maturity Date</w:t>
      </w:r>
      <w:r>
        <w:rPr>
          <w:rFonts w:ascii="Arial" w:cs="Arial" w:eastAsia="Arial" w:hAnsi="Arial"/>
          <w:sz w:val="14"/>
          <w:szCs w:val="14"/>
          <w:color w:val="auto"/>
        </w:rPr>
        <w:t xml:space="preserve">” shall mean any date during the period commencing from the date that is ninety-one (91) days prior to the stated maturity of the Convertible Notes (including Indebtedness issued under </w:t>
      </w:r>
      <w:r>
        <w:rPr>
          <w:rFonts w:ascii="Arial" w:cs="Arial" w:eastAsia="Arial" w:hAnsi="Arial"/>
          <w:sz w:val="14"/>
          <w:szCs w:val="14"/>
          <w:u w:val="single" w:color="auto"/>
          <w:color w:val="auto"/>
        </w:rPr>
        <w:t>Section 7.02(b)</w:t>
      </w:r>
      <w:r>
        <w:rPr>
          <w:rFonts w:ascii="Arial" w:cs="Arial" w:eastAsia="Arial" w:hAnsi="Arial"/>
          <w:sz w:val="14"/>
          <w:szCs w:val="14"/>
          <w:color w:val="auto"/>
        </w:rPr>
        <w:t xml:space="preserve">) through the date the outstanding amount of the Convertible Notes (including Indebtedness issued under </w:t>
      </w:r>
      <w:r>
        <w:rPr>
          <w:rFonts w:ascii="Arial" w:cs="Arial" w:eastAsia="Arial" w:hAnsi="Arial"/>
          <w:sz w:val="14"/>
          <w:szCs w:val="14"/>
          <w:u w:val="single" w:color="auto"/>
          <w:color w:val="auto"/>
        </w:rPr>
        <w:t>Section 7.02(b)</w:t>
      </w:r>
      <w:r>
        <w:rPr>
          <w:rFonts w:ascii="Arial" w:cs="Arial" w:eastAsia="Arial" w:hAnsi="Arial"/>
          <w:sz w:val="14"/>
          <w:szCs w:val="14"/>
          <w:color w:val="auto"/>
        </w:rPr>
        <w:t>) are paid in full, that the Borrower does not satisfy the Liquidity Threshold.</w:t>
      </w:r>
    </w:p>
    <w:p>
      <w:pPr>
        <w:spacing w:after="0" w:line="166"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4"/>
          <w:szCs w:val="14"/>
          <w:u w:val="single" w:color="auto"/>
          <w:color w:val="auto"/>
        </w:rPr>
        <w:t>Subsidiary</w:t>
      </w:r>
      <w:r>
        <w:rPr>
          <w:rFonts w:ascii="Arial" w:cs="Arial" w:eastAsia="Arial" w:hAnsi="Arial"/>
          <w:sz w:val="14"/>
          <w:szCs w:val="14"/>
          <w:color w:val="auto"/>
        </w:rPr>
        <w:t>” or to “</w:t>
      </w:r>
      <w:r>
        <w:rPr>
          <w:rFonts w:ascii="Arial" w:cs="Arial" w:eastAsia="Arial" w:hAnsi="Arial"/>
          <w:sz w:val="14"/>
          <w:szCs w:val="14"/>
          <w:u w:val="single" w:color="auto"/>
          <w:color w:val="auto"/>
        </w:rPr>
        <w:t>Subsidiaries</w:t>
      </w:r>
      <w:r>
        <w:rPr>
          <w:rFonts w:ascii="Arial" w:cs="Arial" w:eastAsia="Arial" w:hAnsi="Arial"/>
          <w:sz w:val="14"/>
          <w:szCs w:val="14"/>
          <w:color w:val="auto"/>
        </w:rPr>
        <w:t>” shall refer to a Subsidiary or Subsidiaries of the Borrower.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Successor Rate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3.03(b)</w:t>
      </w:r>
      <w:r>
        <w:rPr>
          <w:rFonts w:ascii="Arial" w:cs="Arial" w:eastAsia="Arial" w:hAnsi="Arial"/>
          <w:sz w:val="14"/>
          <w:szCs w:val="14"/>
          <w:color w:val="auto"/>
        </w:rPr>
        <w:t>.</w:t>
      </w:r>
    </w:p>
    <w:p>
      <w:pPr>
        <w:spacing w:after="0" w:line="190" w:lineRule="exact"/>
        <w:rPr>
          <w:sz w:val="20"/>
          <w:szCs w:val="20"/>
          <w:color w:val="auto"/>
        </w:rPr>
      </w:pPr>
    </w:p>
    <w:p>
      <w:pPr>
        <w:ind w:right="100" w:firstLine="49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Contract</w:t>
      </w:r>
      <w:r>
        <w:rPr>
          <w:rFonts w:ascii="Arial" w:cs="Arial" w:eastAsia="Arial" w:hAnsi="Arial"/>
          <w:sz w:val="13"/>
          <w:szCs w:val="13"/>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3"/>
          <w:szCs w:val="13"/>
          <w:u w:val="single" w:color="auto"/>
          <w:color w:val="auto"/>
        </w:rPr>
        <w:t>Master Agreement</w:t>
      </w:r>
      <w:r>
        <w:rPr>
          <w:rFonts w:ascii="Arial" w:cs="Arial" w:eastAsia="Arial" w:hAnsi="Arial"/>
          <w:sz w:val="13"/>
          <w:szCs w:val="13"/>
          <w:color w:val="auto"/>
        </w:rPr>
        <w:t>”), including any such obligations or liabilities under any Master Agreement.</w:t>
      </w:r>
    </w:p>
    <w:p>
      <w:pPr>
        <w:spacing w:after="0" w:line="159" w:lineRule="exact"/>
        <w:rPr>
          <w:sz w:val="20"/>
          <w:szCs w:val="20"/>
          <w:color w:val="auto"/>
        </w:rPr>
      </w:pPr>
    </w:p>
    <w:p>
      <w:pPr>
        <w:ind w:right="22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Swap Obligations</w:t>
      </w:r>
      <w:r>
        <w:rPr>
          <w:rFonts w:ascii="Arial" w:cs="Arial" w:eastAsia="Arial" w:hAnsi="Arial"/>
          <w:sz w:val="14"/>
          <w:szCs w:val="14"/>
          <w:color w:val="auto"/>
        </w:rPr>
        <w:t>” means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Swap Termination Value</w:t>
      </w:r>
      <w:r>
        <w:rPr>
          <w:rFonts w:ascii="Arial" w:cs="Arial" w:eastAsia="Arial" w:hAnsi="Arial"/>
          <w:sz w:val="11"/>
          <w:szCs w:val="11"/>
          <w:color w:val="auto"/>
        </w:rPr>
        <w:t>” means, in respect of any one or more Swap Contracts, after taking into account the effect of any legally enforceable netting agreement relating to such Swap Contracts,</w:t>
      </w:r>
    </w:p>
    <w:p>
      <w:pPr>
        <w:spacing w:after="0" w:line="48" w:lineRule="exact"/>
        <w:rPr>
          <w:sz w:val="20"/>
          <w:szCs w:val="20"/>
          <w:color w:val="auto"/>
        </w:rPr>
      </w:pPr>
    </w:p>
    <w:p>
      <w:pPr>
        <w:ind w:firstLine="3"/>
        <w:spacing w:after="0" w:line="248" w:lineRule="auto"/>
        <w:tabs>
          <w:tab w:leader="none" w:pos="187"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4"/>
          <w:szCs w:val="14"/>
          <w:u w:val="single" w:color="auto"/>
          <w:color w:val="auto"/>
        </w:rPr>
        <w:t>clause (a)</w:t>
      </w:r>
      <w:r>
        <w:rPr>
          <w:rFonts w:ascii="Arial" w:cs="Arial" w:eastAsia="Arial" w:hAnsi="Arial"/>
          <w:sz w:val="14"/>
          <w:szCs w:val="14"/>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 Line Borrowing</w:t>
      </w:r>
      <w:r>
        <w:rPr>
          <w:rFonts w:ascii="Arial" w:cs="Arial" w:eastAsia="Arial" w:hAnsi="Arial"/>
          <w:sz w:val="14"/>
          <w:szCs w:val="14"/>
          <w:color w:val="auto"/>
        </w:rPr>
        <w:t xml:space="preserve">” means a borrowing of a Swing Line Loan pursuant to </w:t>
      </w:r>
      <w:r>
        <w:rPr>
          <w:rFonts w:ascii="Arial" w:cs="Arial" w:eastAsia="Arial" w:hAnsi="Arial"/>
          <w:sz w:val="14"/>
          <w:szCs w:val="14"/>
          <w:u w:val="single" w:color="auto"/>
          <w:color w:val="auto"/>
        </w:rPr>
        <w:t>Section 2.04</w:t>
      </w:r>
      <w:r>
        <w:rPr>
          <w:rFonts w:ascii="Arial" w:cs="Arial" w:eastAsia="Arial" w:hAnsi="Arial"/>
          <w:sz w:val="14"/>
          <w:szCs w:val="14"/>
          <w:color w:val="auto"/>
        </w:rPr>
        <w:t>.</w:t>
      </w:r>
    </w:p>
    <w:p>
      <w:pPr>
        <w:spacing w:after="0" w:line="190" w:lineRule="exact"/>
        <w:rPr>
          <w:sz w:val="20"/>
          <w:szCs w:val="20"/>
          <w:color w:val="auto"/>
        </w:rPr>
      </w:pPr>
    </w:p>
    <w:p>
      <w:pPr>
        <w:ind w:right="34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 Line Commitment</w:t>
      </w:r>
      <w:r>
        <w:rPr>
          <w:rFonts w:ascii="Arial" w:cs="Arial" w:eastAsia="Arial" w:hAnsi="Arial"/>
          <w:sz w:val="14"/>
          <w:szCs w:val="14"/>
          <w:color w:val="auto"/>
        </w:rPr>
        <w:t xml:space="preserve">” means as to any Lender (a) the amount set forth opposite such Lender’s name on </w:t>
      </w:r>
      <w:r>
        <w:rPr>
          <w:rFonts w:ascii="Arial" w:cs="Arial" w:eastAsia="Arial" w:hAnsi="Arial"/>
          <w:sz w:val="14"/>
          <w:szCs w:val="14"/>
          <w:u w:val="single" w:color="auto"/>
          <w:color w:val="auto"/>
        </w:rPr>
        <w:t>Schedule 2.01B</w:t>
      </w:r>
      <w:r>
        <w:rPr>
          <w:rFonts w:ascii="Arial" w:cs="Arial" w:eastAsia="Arial" w:hAnsi="Arial"/>
          <w:sz w:val="14"/>
          <w:szCs w:val="14"/>
          <w:color w:val="auto"/>
        </w:rPr>
        <w:t xml:space="preserve"> 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Arial" w:cs="Arial" w:eastAsia="Arial" w:hAnsi="Arial"/>
          <w:sz w:val="14"/>
          <w:szCs w:val="14"/>
          <w:u w:val="single" w:color="auto"/>
          <w:color w:val="auto"/>
        </w:rPr>
        <w:t>Section 11.06(c)</w:t>
      </w:r>
      <w:r>
        <w:rPr>
          <w:rFonts w:ascii="Arial" w:cs="Arial" w:eastAsia="Arial" w:hAnsi="Arial"/>
          <w:sz w:val="14"/>
          <w:szCs w:val="14"/>
          <w:color w:val="auto"/>
        </w:rPr>
        <w: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Swing Line Lender</w:t>
      </w:r>
      <w:r>
        <w:rPr>
          <w:rFonts w:ascii="Arial" w:cs="Arial" w:eastAsia="Arial" w:hAnsi="Arial"/>
          <w:sz w:val="11"/>
          <w:szCs w:val="11"/>
          <w:color w:val="auto"/>
        </w:rPr>
        <w:t>” means Bank of America in its capacity as provider of Swing Line Loans, or any successor swing line lender hereunder, in an amount up to the Swing Line Commitment.</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 Line Loan</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2.04(a)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33</w:t>
      </w:r>
    </w:p>
    <w:p>
      <w:pPr>
        <w:sectPr>
          <w:pgSz w:w="11900" w:h="16838" w:orient="portrait"/>
          <w:cols w:equalWidth="0" w:num="1">
            <w:col w:w="11280"/>
          </w:cols>
          <w:pgMar w:left="300" w:top="129"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 Line Loan Notice</w:t>
      </w:r>
      <w:r>
        <w:rPr>
          <w:rFonts w:ascii="Arial" w:cs="Arial" w:eastAsia="Arial" w:hAnsi="Arial"/>
          <w:sz w:val="14"/>
          <w:szCs w:val="14"/>
          <w:color w:val="auto"/>
        </w:rPr>
        <w:t xml:space="preserve">” means a notice of a Swing Line Borrowing pursuant to </w:t>
      </w:r>
      <w:r>
        <w:rPr>
          <w:rFonts w:ascii="Arial" w:cs="Arial" w:eastAsia="Arial" w:hAnsi="Arial"/>
          <w:sz w:val="14"/>
          <w:szCs w:val="14"/>
          <w:u w:val="single" w:color="auto"/>
          <w:color w:val="auto"/>
        </w:rPr>
        <w:t>Section 2.04(b)</w:t>
      </w:r>
      <w:r>
        <w:rPr>
          <w:rFonts w:ascii="Arial" w:cs="Arial" w:eastAsia="Arial" w:hAnsi="Arial"/>
          <w:sz w:val="14"/>
          <w:szCs w:val="14"/>
          <w:color w:val="auto"/>
        </w:rPr>
        <w:t xml:space="preserve">, which shall be substantially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6"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 Line Sublimit</w:t>
      </w:r>
      <w:r>
        <w:rPr>
          <w:rFonts w:ascii="Arial" w:cs="Arial" w:eastAsia="Arial" w:hAnsi="Arial"/>
          <w:sz w:val="14"/>
          <w:szCs w:val="14"/>
          <w:color w:val="auto"/>
        </w:rPr>
        <w:t>” means an amount equal to the lesser of (a) $15,000,000 and (b) the Revolving Credit Facility. The Swing Line Sublimit is part of, and not in addition to, the Revolving Credit Facility.</w:t>
      </w:r>
    </w:p>
    <w:p>
      <w:pPr>
        <w:spacing w:after="0" w:line="159" w:lineRule="exact"/>
        <w:rPr>
          <w:sz w:val="20"/>
          <w:szCs w:val="20"/>
          <w:color w:val="auto"/>
        </w:rPr>
      </w:pPr>
    </w:p>
    <w:p>
      <w:pPr>
        <w:ind w:right="12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Synthetic Lease Obligation</w:t>
      </w:r>
      <w:r>
        <w:rPr>
          <w:rFonts w:ascii="Arial" w:cs="Arial" w:eastAsia="Arial" w:hAnsi="Arial"/>
          <w:sz w:val="14"/>
          <w:szCs w:val="14"/>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66" w:lineRule="exact"/>
        <w:rPr>
          <w:sz w:val="20"/>
          <w:szCs w:val="20"/>
          <w:color w:val="auto"/>
        </w:rPr>
      </w:pPr>
    </w:p>
    <w:p>
      <w:pPr>
        <w:ind w:right="34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SOFR</w:t>
      </w:r>
      <w:r>
        <w:rPr>
          <w:rFonts w:ascii="Arial" w:cs="Arial" w:eastAsia="Arial" w:hAnsi="Arial"/>
          <w:sz w:val="14"/>
          <w:szCs w:val="14"/>
          <w:color w:val="auto"/>
        </w:rPr>
        <w:t>” means:</w:t>
      </w:r>
    </w:p>
    <w:p>
      <w:pPr>
        <w:spacing w:after="0" w:line="190" w:lineRule="exact"/>
        <w:rPr>
          <w:sz w:val="20"/>
          <w:szCs w:val="20"/>
          <w:color w:val="auto"/>
        </w:rPr>
      </w:pPr>
    </w:p>
    <w:p>
      <w:pPr>
        <w:ind w:right="200" w:firstLine="498"/>
        <w:spacing w:after="0" w:line="284" w:lineRule="auto"/>
        <w:tabs>
          <w:tab w:leader="none" w:pos="785"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SOFR Adjustment for such Interest Period; and</w:t>
      </w:r>
    </w:p>
    <w:p>
      <w:pPr>
        <w:spacing w:after="0" w:line="149" w:lineRule="exact"/>
        <w:rPr>
          <w:rFonts w:ascii="Arial" w:cs="Arial" w:eastAsia="Arial" w:hAnsi="Arial"/>
          <w:sz w:val="13"/>
          <w:szCs w:val="13"/>
          <w:color w:val="auto"/>
        </w:rPr>
      </w:pPr>
    </w:p>
    <w:p>
      <w:pPr>
        <w:ind w:left="800" w:hanging="302"/>
        <w:spacing w:after="0"/>
        <w:tabs>
          <w:tab w:leader="none" w:pos="8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 any interest calculation with respect to a Base Rate Loan on any date, the rate per annum equal to the Term SOFR Screen Rate with a term of one month commencing that day;</w:t>
      </w:r>
    </w:p>
    <w:p>
      <w:pPr>
        <w:spacing w:after="0" w:line="201"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SOFR Loan</w:t>
      </w:r>
      <w:r>
        <w:rPr>
          <w:rFonts w:ascii="Arial" w:cs="Arial" w:eastAsia="Arial" w:hAnsi="Arial"/>
          <w:sz w:val="14"/>
          <w:szCs w:val="14"/>
          <w:color w:val="auto"/>
        </w:rPr>
        <w:t>” means a Loan that bears interest at a rate based on clause (a) of the definition of Term SOFR.</w:t>
      </w:r>
    </w:p>
    <w:p>
      <w:pPr>
        <w:spacing w:after="0" w:line="13" w:lineRule="exact"/>
        <w:rPr>
          <w:sz w:val="20"/>
          <w:szCs w:val="20"/>
          <w:color w:val="auto"/>
        </w:rPr>
      </w:pPr>
    </w:p>
    <w:p>
      <w:pPr>
        <w:ind w:right="400" w:firstLine="49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 Screen Rate</w:t>
      </w:r>
      <w:r>
        <w:rPr>
          <w:rFonts w:ascii="Arial" w:cs="Arial" w:eastAsia="Arial" w:hAnsi="Arial"/>
          <w:sz w:val="13"/>
          <w:szCs w:val="13"/>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Threshold Amount</w:t>
      </w:r>
      <w:r>
        <w:rPr>
          <w:rFonts w:ascii="Arial" w:cs="Arial" w:eastAsia="Arial" w:hAnsi="Arial"/>
          <w:sz w:val="14"/>
          <w:szCs w:val="14"/>
          <w:color w:val="auto"/>
        </w:rPr>
        <w:t>” means $50,000,000.</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Total Credit Exposure</w:t>
      </w:r>
      <w:r>
        <w:rPr>
          <w:rFonts w:ascii="Arial" w:cs="Arial" w:eastAsia="Arial" w:hAnsi="Arial"/>
          <w:sz w:val="14"/>
          <w:szCs w:val="14"/>
          <w:color w:val="auto"/>
        </w:rPr>
        <w:t>” means, as to any Lender at any time, the unused Commitments and Revolving Credit Exposure of such Lender at such time.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Total Outstandings</w:t>
      </w:r>
      <w:r>
        <w:rPr>
          <w:rFonts w:ascii="Arial" w:cs="Arial" w:eastAsia="Arial" w:hAnsi="Arial"/>
          <w:sz w:val="14"/>
          <w:szCs w:val="14"/>
          <w:color w:val="auto"/>
        </w:rPr>
        <w:t>” means the aggregate Outstanding Amount of all Loans and all L/C Obligations.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Total Revolving Credit Outstandings</w:t>
      </w:r>
      <w:r>
        <w:rPr>
          <w:rFonts w:ascii="Arial" w:cs="Arial" w:eastAsia="Arial" w:hAnsi="Arial"/>
          <w:sz w:val="14"/>
          <w:szCs w:val="14"/>
          <w:color w:val="auto"/>
        </w:rPr>
        <w:t>” means the aggregate Outstanding Amount of all Revolving Credit Loans, Swing Line Loans and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34</w:t>
      </w:r>
    </w:p>
    <w:p>
      <w:pPr>
        <w:sectPr>
          <w:pgSz w:w="11900" w:h="16838" w:orient="portrait"/>
          <w:cols w:equalWidth="0" w:num="1">
            <w:col w:w="11280"/>
          </w:cols>
          <w:pgMar w:left="300" w:top="129"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5"/>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Trademarks</w:t>
      </w:r>
      <w:r>
        <w:rPr>
          <w:rFonts w:ascii="Arial" w:cs="Arial" w:eastAsia="Arial" w:hAnsi="Arial"/>
          <w:sz w:val="13"/>
          <w:szCs w:val="13"/>
          <w:color w:val="auto"/>
        </w:rPr>
        <w:t>” means, collectively: (i) all trademarks, trade names, corporate names, company names, business names, fictitious business names, internet domain names, trade styles, service marks, logos, other business identifiers, whether registered or unregistered, all registrations and recordings thereof, and all applications in connection therewith (other than each United States application to register any trademark or service mark prior to the filing under applicable Law of a verified statement of use for such trademark or service mark) anywhere in the world, (ii) all counterparts, extensions and renewals of any of the foregoing and (iii) (v) all rights corresponding to any of the foregoing (including the goodwill) throughout the world.</w:t>
      </w:r>
    </w:p>
    <w:p>
      <w:pPr>
        <w:spacing w:after="0" w:line="153" w:lineRule="exact"/>
        <w:rPr>
          <w:sz w:val="20"/>
          <w:szCs w:val="20"/>
          <w:color w:val="auto"/>
        </w:rPr>
      </w:pPr>
    </w:p>
    <w:p>
      <w:pPr>
        <w:ind w:right="8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w:t>
      </w:r>
      <w:r>
        <w:rPr>
          <w:rFonts w:ascii="Arial" w:cs="Arial" w:eastAsia="Arial" w:hAnsi="Arial"/>
          <w:sz w:val="14"/>
          <w:szCs w:val="14"/>
          <w:color w:val="auto"/>
        </w:rPr>
        <w:t>” means, collectively, the entering into by the Loan Parties and their applicable Subsidiaries of the Loan Documents, and the payment of the fees and expenses incurred in connection with the consummation of the foregoing.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Type</w:t>
      </w:r>
      <w:r>
        <w:rPr>
          <w:rFonts w:ascii="Arial" w:cs="Arial" w:eastAsia="Arial" w:hAnsi="Arial"/>
          <w:sz w:val="14"/>
          <w:szCs w:val="14"/>
          <w:color w:val="auto"/>
        </w:rPr>
        <w:t>” means, with respect to a Loan, its character as a Base Rate Loan or a Term SOFR Loan.</w:t>
      </w:r>
    </w:p>
    <w:p>
      <w:pPr>
        <w:spacing w:after="0" w:line="190"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UCC</w:t>
      </w:r>
      <w:r>
        <w:rPr>
          <w:rFonts w:ascii="Arial" w:cs="Arial" w:eastAsia="Arial" w:hAnsi="Arial"/>
          <w:sz w:val="14"/>
          <w:szCs w:val="14"/>
          <w:color w:val="auto"/>
        </w:rPr>
        <w:t xml:space="preserve">” means the Uniform Commercial Code as in effect in the State of New York;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4"/>
          <w:szCs w:val="14"/>
          <w:u w:val="single" w:color="auto"/>
          <w:color w:val="auto"/>
        </w:rPr>
        <w:t>UCC</w:t>
      </w:r>
      <w:r>
        <w:rPr>
          <w:rFonts w:ascii="Arial" w:cs="Arial" w:eastAsia="Arial" w:hAnsi="Arial"/>
          <w:sz w:val="14"/>
          <w:szCs w:val="14"/>
          <w:color w:val="auto"/>
        </w:rPr>
        <w:t>” means the Uniform Commercial Code as in effect from time to time in such other jurisdiction for purposes of the provisions hereof relating to such perfection, effect of perfection or non-perfection or priority.</w:t>
      </w:r>
    </w:p>
    <w:p>
      <w:pPr>
        <w:spacing w:after="0" w:line="166" w:lineRule="exact"/>
        <w:rPr>
          <w:sz w:val="20"/>
          <w:szCs w:val="20"/>
          <w:color w:val="auto"/>
        </w:rPr>
      </w:pPr>
    </w:p>
    <w:p>
      <w:pPr>
        <w:ind w:right="400" w:firstLine="49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UCP</w:t>
      </w:r>
      <w:r>
        <w:rPr>
          <w:rFonts w:ascii="Arial" w:cs="Arial" w:eastAsia="Arial" w:hAnsi="Arial"/>
          <w:sz w:val="14"/>
          <w:szCs w:val="14"/>
          <w:color w:val="auto"/>
        </w:rPr>
        <w:t>” means the Uniform Customs and Practice for Documentary Credits, International Chamber of Commerce Publication No. 600 (or such later version thereof as may be in effect at the applicable time).</w:t>
      </w:r>
    </w:p>
    <w:p>
      <w:pPr>
        <w:spacing w:after="0" w:line="159" w:lineRule="exact"/>
        <w:rPr>
          <w:sz w:val="20"/>
          <w:szCs w:val="20"/>
          <w:color w:val="auto"/>
        </w:rPr>
      </w:pPr>
    </w:p>
    <w:p>
      <w:pPr>
        <w:ind w:right="2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Financial Institution</w:t>
      </w:r>
      <w:r>
        <w:rPr>
          <w:rFonts w:ascii="Arial" w:cs="Arial" w:eastAsia="Arial" w:hAnsi="Arial"/>
          <w:sz w:val="14"/>
          <w:szCs w:val="14"/>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Resolution Authority</w:t>
      </w:r>
      <w:r>
        <w:rPr>
          <w:rFonts w:ascii="Arial" w:cs="Arial" w:eastAsia="Arial" w:hAnsi="Arial"/>
          <w:sz w:val="14"/>
          <w:szCs w:val="14"/>
          <w:color w:val="auto"/>
        </w:rPr>
        <w:t>” means the Bank of England or any other public administrative authority having responsibility for the resolution of any UK Financial Institution.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United States</w:t>
      </w:r>
      <w:r>
        <w:rPr>
          <w:rFonts w:ascii="Arial" w:cs="Arial" w:eastAsia="Arial" w:hAnsi="Arial"/>
          <w:sz w:val="14"/>
          <w:szCs w:val="14"/>
          <w:color w:val="auto"/>
        </w:rPr>
        <w:t>” and “</w:t>
      </w:r>
      <w:r>
        <w:rPr>
          <w:rFonts w:ascii="Arial" w:cs="Arial" w:eastAsia="Arial" w:hAnsi="Arial"/>
          <w:sz w:val="14"/>
          <w:szCs w:val="14"/>
          <w:u w:val="single" w:color="auto"/>
          <w:color w:val="auto"/>
        </w:rPr>
        <w:t>U.S.</w:t>
      </w:r>
      <w:r>
        <w:rPr>
          <w:rFonts w:ascii="Arial" w:cs="Arial" w:eastAsia="Arial" w:hAnsi="Arial"/>
          <w:sz w:val="14"/>
          <w:szCs w:val="14"/>
          <w:color w:val="auto"/>
        </w:rPr>
        <w:t>” mean the United States of America.</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Unreimbursed Amount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2.03(f)</w:t>
      </w:r>
      <w:r>
        <w:rPr>
          <w:rFonts w:ascii="Arial" w:cs="Arial" w:eastAsia="Arial" w:hAnsi="Arial"/>
          <w:sz w:val="14"/>
          <w:szCs w:val="14"/>
          <w:color w:val="auto"/>
        </w:rPr>
        <w:t>.</w:t>
      </w:r>
    </w:p>
    <w:p>
      <w:pPr>
        <w:spacing w:after="0" w:line="190" w:lineRule="exact"/>
        <w:rPr>
          <w:sz w:val="20"/>
          <w:szCs w:val="20"/>
          <w:color w:val="auto"/>
        </w:rPr>
      </w:pPr>
    </w:p>
    <w:p>
      <w:pPr>
        <w:ind w:right="160" w:firstLine="495"/>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Government Securities Business Day</w:t>
      </w:r>
      <w:r>
        <w:rPr>
          <w:rFonts w:ascii="Arial" w:cs="Arial" w:eastAsia="Arial" w:hAnsi="Arial"/>
          <w:sz w:val="14"/>
          <w:szCs w:val="14"/>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Person</w:t>
      </w:r>
      <w:r>
        <w:rPr>
          <w:rFonts w:ascii="Arial" w:cs="Arial" w:eastAsia="Arial" w:hAnsi="Arial"/>
          <w:sz w:val="14"/>
          <w:szCs w:val="14"/>
          <w:color w:val="auto"/>
        </w:rPr>
        <w:t>” means any Person that is a “United States Person” as defined in Section 7701(a)(30) of the Code.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Tax Compliance Certificate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3.01(g)(ii)(B)(3)</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35</w:t>
      </w:r>
    </w:p>
    <w:p>
      <w:pPr>
        <w:sectPr>
          <w:pgSz w:w="11900" w:h="16838" w:orient="portrait"/>
          <w:cols w:equalWidth="0" w:num="1">
            <w:col w:w="11280"/>
          </w:cols>
          <w:pgMar w:left="300" w:top="129"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495"/>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Write-Down and Conversion Powers</w:t>
      </w:r>
      <w:r>
        <w:rPr>
          <w:rFonts w:ascii="Arial" w:cs="Arial" w:eastAsia="Arial" w:hAnsi="Arial"/>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1.02</w:t>
      </w:r>
      <w:r>
        <w:rPr>
          <w:sz w:val="20"/>
          <w:szCs w:val="20"/>
          <w:color w:val="auto"/>
        </w:rPr>
        <w:tab/>
      </w:r>
      <w:r>
        <w:rPr>
          <w:rFonts w:ascii="Arial" w:cs="Arial" w:eastAsia="Arial" w:hAnsi="Arial"/>
          <w:sz w:val="11"/>
          <w:szCs w:val="11"/>
          <w:b w:val="1"/>
          <w:bCs w:val="1"/>
          <w:color w:val="auto"/>
        </w:rPr>
        <w:t>Other Interpretive Provisions</w:t>
      </w:r>
      <w:r>
        <w:rPr>
          <w:rFonts w:ascii="Arial" w:cs="Arial" w:eastAsia="Arial" w:hAnsi="Arial"/>
          <w:sz w:val="11"/>
          <w:szCs w:val="11"/>
          <w:color w:val="auto"/>
        </w:rPr>
        <w:t>. With reference to this Agreement and each other Loan Document, unless otherwise specified herein or in such other Loan Document:</w:t>
      </w:r>
    </w:p>
    <w:p>
      <w:pPr>
        <w:spacing w:after="0" w:line="194" w:lineRule="exact"/>
        <w:rPr>
          <w:sz w:val="20"/>
          <w:szCs w:val="20"/>
          <w:color w:val="auto"/>
        </w:rPr>
      </w:pPr>
    </w:p>
    <w:p>
      <w:pPr>
        <w:ind w:firstLine="495"/>
        <w:spacing w:after="0" w:line="268" w:lineRule="auto"/>
        <w:rPr>
          <w:sz w:val="20"/>
          <w:szCs w:val="20"/>
          <w:color w:val="auto"/>
        </w:rPr>
      </w:pPr>
      <w:r>
        <w:rPr>
          <w:rFonts w:ascii="Arial" w:cs="Arial" w:eastAsia="Arial" w:hAnsi="Arial"/>
          <w:sz w:val="13"/>
          <w:szCs w:val="13"/>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replaced or supplemented from time to time, and (vi) the words “</w:t>
      </w:r>
      <w:r>
        <w:rPr>
          <w:rFonts w:ascii="Arial" w:cs="Arial" w:eastAsia="Arial" w:hAnsi="Arial"/>
          <w:sz w:val="13"/>
          <w:szCs w:val="13"/>
          <w:u w:val="single" w:color="auto"/>
          <w:color w:val="auto"/>
        </w:rPr>
        <w:t>asset</w:t>
      </w:r>
      <w:r>
        <w:rPr>
          <w:rFonts w:ascii="Arial" w:cs="Arial" w:eastAsia="Arial" w:hAnsi="Arial"/>
          <w:sz w:val="13"/>
          <w:szCs w:val="13"/>
          <w:color w:val="auto"/>
        </w:rPr>
        <w:t>” and “</w:t>
      </w:r>
      <w:r>
        <w:rPr>
          <w:rFonts w:ascii="Arial" w:cs="Arial" w:eastAsia="Arial" w:hAnsi="Arial"/>
          <w:sz w:val="13"/>
          <w:szCs w:val="13"/>
          <w:u w:val="single" w:color="auto"/>
          <w:color w:val="auto"/>
        </w:rPr>
        <w:t>property</w:t>
      </w:r>
      <w:r>
        <w:rPr>
          <w:rFonts w:ascii="Arial" w:cs="Arial" w:eastAsia="Arial" w:hAnsi="Arial"/>
          <w:sz w:val="13"/>
          <w:szCs w:val="13"/>
          <w:color w:val="auto"/>
        </w:rPr>
        <w:t>” shall be construed to have the same meaning and effect and to refer to any and all tangible and intangible assets and properties, including cash, securities, accounts and contract rights.</w:t>
      </w:r>
    </w:p>
    <w:p>
      <w:pPr>
        <w:spacing w:after="0" w:line="165" w:lineRule="exact"/>
        <w:rPr>
          <w:sz w:val="20"/>
          <w:szCs w:val="20"/>
          <w:color w:val="auto"/>
        </w:rPr>
      </w:pPr>
    </w:p>
    <w:p>
      <w:pPr>
        <w:ind w:right="140" w:firstLine="498"/>
        <w:spacing w:after="0" w:line="266" w:lineRule="auto"/>
        <w:tabs>
          <w:tab w:leader="none" w:pos="793"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 computation of periods of time from a specified date to a later specified date, the word “</w:t>
      </w:r>
      <w:r>
        <w:rPr>
          <w:rFonts w:ascii="Arial" w:cs="Arial" w:eastAsia="Arial" w:hAnsi="Arial"/>
          <w:sz w:val="14"/>
          <w:szCs w:val="14"/>
          <w:u w:val="single" w:color="auto"/>
          <w:color w:val="auto"/>
        </w:rPr>
        <w:t>from</w:t>
      </w:r>
      <w:r>
        <w:rPr>
          <w:rFonts w:ascii="Arial" w:cs="Arial" w:eastAsia="Arial" w:hAnsi="Arial"/>
          <w:sz w:val="14"/>
          <w:szCs w:val="14"/>
          <w:color w:val="auto"/>
        </w:rPr>
        <w:t>” means “</w:t>
      </w:r>
      <w:r>
        <w:rPr>
          <w:rFonts w:ascii="Arial" w:cs="Arial" w:eastAsia="Arial" w:hAnsi="Arial"/>
          <w:sz w:val="14"/>
          <w:szCs w:val="14"/>
          <w:u w:val="single" w:color="auto"/>
          <w:color w:val="auto"/>
        </w:rPr>
        <w:t>from and including</w:t>
      </w:r>
      <w:r>
        <w:rPr>
          <w:rFonts w:ascii="Arial" w:cs="Arial" w:eastAsia="Arial" w:hAnsi="Arial"/>
          <w:sz w:val="14"/>
          <w:szCs w:val="14"/>
          <w:color w:val="auto"/>
        </w:rPr>
        <w:t>;” the words “</w:t>
      </w:r>
      <w:r>
        <w:rPr>
          <w:rFonts w:ascii="Arial" w:cs="Arial" w:eastAsia="Arial" w:hAnsi="Arial"/>
          <w:sz w:val="14"/>
          <w:szCs w:val="14"/>
          <w:u w:val="single" w:color="auto"/>
          <w:color w:val="auto"/>
        </w:rPr>
        <w:t>to</w:t>
      </w:r>
      <w:r>
        <w:rPr>
          <w:rFonts w:ascii="Arial" w:cs="Arial" w:eastAsia="Arial" w:hAnsi="Arial"/>
          <w:sz w:val="14"/>
          <w:szCs w:val="14"/>
          <w:color w:val="auto"/>
        </w:rPr>
        <w:t>” and “</w:t>
      </w:r>
      <w:r>
        <w:rPr>
          <w:rFonts w:ascii="Arial" w:cs="Arial" w:eastAsia="Arial" w:hAnsi="Arial"/>
          <w:sz w:val="14"/>
          <w:szCs w:val="14"/>
          <w:u w:val="single" w:color="auto"/>
          <w:color w:val="auto"/>
        </w:rPr>
        <w:t>until</w:t>
      </w:r>
      <w:r>
        <w:rPr>
          <w:rFonts w:ascii="Arial" w:cs="Arial" w:eastAsia="Arial" w:hAnsi="Arial"/>
          <w:sz w:val="14"/>
          <w:szCs w:val="14"/>
          <w:color w:val="auto"/>
        </w:rPr>
        <w:t>” each mean “</w:t>
      </w:r>
      <w:r>
        <w:rPr>
          <w:rFonts w:ascii="Arial" w:cs="Arial" w:eastAsia="Arial" w:hAnsi="Arial"/>
          <w:sz w:val="14"/>
          <w:szCs w:val="14"/>
          <w:u w:val="single" w:color="auto"/>
          <w:color w:val="auto"/>
        </w:rPr>
        <w:t>to but excluding</w:t>
      </w:r>
      <w:r>
        <w:rPr>
          <w:rFonts w:ascii="Arial" w:cs="Arial" w:eastAsia="Arial" w:hAnsi="Arial"/>
          <w:sz w:val="14"/>
          <w:szCs w:val="14"/>
          <w:color w:val="auto"/>
        </w:rPr>
        <w:t>;” and the word “</w:t>
      </w:r>
      <w:r>
        <w:rPr>
          <w:rFonts w:ascii="Arial" w:cs="Arial" w:eastAsia="Arial" w:hAnsi="Arial"/>
          <w:sz w:val="14"/>
          <w:szCs w:val="14"/>
          <w:u w:val="single" w:color="auto"/>
          <w:color w:val="auto"/>
        </w:rPr>
        <w:t>through</w:t>
      </w:r>
      <w:r>
        <w:rPr>
          <w:rFonts w:ascii="Arial" w:cs="Arial" w:eastAsia="Arial" w:hAnsi="Arial"/>
          <w:sz w:val="14"/>
          <w:szCs w:val="14"/>
          <w:color w:val="auto"/>
        </w:rPr>
        <w:t>” means “</w:t>
      </w:r>
      <w:r>
        <w:rPr>
          <w:rFonts w:ascii="Arial" w:cs="Arial" w:eastAsia="Arial" w:hAnsi="Arial"/>
          <w:sz w:val="14"/>
          <w:szCs w:val="14"/>
          <w:u w:val="single" w:color="auto"/>
          <w:color w:val="auto"/>
        </w:rPr>
        <w:t>to and including</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ind w:left="780" w:hanging="282"/>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Each reference to “basis points” or “bps” shall be interpreted in accordance with the convention that 100 bps = 1.0%.</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Section headings herein and in the other Loan Documents are included for convenience of reference only and shall not affect the interpretation of this Agreement or any other Loan</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Document.</w:t>
      </w:r>
    </w:p>
    <w:p>
      <w:pPr>
        <w:spacing w:after="0" w:line="180" w:lineRule="exact"/>
        <w:rPr>
          <w:rFonts w:ascii="Arial" w:cs="Arial" w:eastAsia="Arial" w:hAnsi="Arial"/>
          <w:sz w:val="13"/>
          <w:szCs w:val="13"/>
          <w:color w:val="auto"/>
        </w:rPr>
      </w:pPr>
    </w:p>
    <w:p>
      <w:pPr>
        <w:ind w:firstLine="498"/>
        <w:spacing w:after="0" w:line="278" w:lineRule="auto"/>
        <w:tabs>
          <w:tab w:leader="none" w:pos="777"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36</w:t>
      </w:r>
    </w:p>
    <w:p>
      <w:pPr>
        <w:sectPr>
          <w:pgSz w:w="11900" w:h="16838" w:orient="portrait"/>
          <w:cols w:equalWidth="0" w:num="1">
            <w:col w:w="11280"/>
          </w:cols>
          <w:pgMar w:left="300" w:top="129"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495"/>
        <w:spacing w:after="0" w:line="337" w:lineRule="auto"/>
        <w:rPr>
          <w:sz w:val="20"/>
          <w:szCs w:val="20"/>
          <w:color w:val="auto"/>
        </w:rPr>
      </w:pPr>
      <w:r>
        <w:rPr>
          <w:rFonts w:ascii="Arial" w:cs="Arial" w:eastAsia="Arial" w:hAnsi="Arial"/>
          <w:sz w:val="11"/>
          <w:szCs w:val="11"/>
          <w:b w:val="1"/>
          <w:bCs w:val="1"/>
          <w:color w:val="auto"/>
        </w:rPr>
        <w:t>1.03 Accounting Terms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Generally</w:t>
      </w:r>
      <w:r>
        <w:rPr>
          <w:rFonts w:ascii="Arial" w:cs="Arial" w:eastAsia="Arial" w:hAnsi="Arial"/>
          <w:sz w:val="11"/>
          <w:szCs w:val="11"/>
          <w:color w:val="auto"/>
        </w:rPr>
        <w:t>. All accounting terms not specifically or completely defined herein shall be construed in conformity with, and all financial data (including financial</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ratios and other financial calculations) required to be submitted pursuant to this Agreement shall be prepared in conformity with, GAAP (except as otherwise expressly noted herein) as in effect from time to time (subject to </w:t>
      </w:r>
      <w:r>
        <w:rPr>
          <w:rFonts w:ascii="Arial" w:cs="Arial" w:eastAsia="Arial" w:hAnsi="Arial"/>
          <w:sz w:val="11"/>
          <w:szCs w:val="11"/>
          <w:u w:val="single" w:color="auto"/>
          <w:color w:val="auto"/>
        </w:rPr>
        <w:t>Section 1.03(b)</w:t>
      </w:r>
      <w:r>
        <w:rPr>
          <w:rFonts w:ascii="Arial" w:cs="Arial" w:eastAsia="Arial" w:hAnsi="Arial"/>
          <w:sz w:val="11"/>
          <w:szCs w:val="11"/>
          <w:color w:val="auto"/>
        </w:rPr>
        <w:t xml:space="preserve"> below), applied in a manner consistent with that used in preparing the Audited Financial Statements, </w:t>
      </w:r>
      <w:r>
        <w:rPr>
          <w:rFonts w:ascii="Arial" w:cs="Arial" w:eastAsia="Arial" w:hAnsi="Arial"/>
          <w:sz w:val="11"/>
          <w:szCs w:val="11"/>
          <w:u w:val="single" w:color="auto"/>
          <w:color w:val="auto"/>
        </w:rPr>
        <w:t>except</w:t>
      </w:r>
      <w:r>
        <w:rPr>
          <w:rFonts w:ascii="Arial" w:cs="Arial" w:eastAsia="Arial" w:hAnsi="Arial"/>
          <w:sz w:val="11"/>
          <w:szCs w:val="11"/>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27" w:lineRule="exact"/>
        <w:rPr>
          <w:sz w:val="20"/>
          <w:szCs w:val="20"/>
          <w:color w:val="auto"/>
        </w:rPr>
      </w:pPr>
    </w:p>
    <w:p>
      <w:pPr>
        <w:ind w:right="60" w:firstLine="498"/>
        <w:spacing w:after="0" w:line="271" w:lineRule="auto"/>
        <w:tabs>
          <w:tab w:leader="none" w:pos="793"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Changes in GAAP</w:t>
      </w:r>
      <w:r>
        <w:rPr>
          <w:rFonts w:ascii="Arial" w:cs="Arial" w:eastAsia="Arial" w:hAnsi="Arial"/>
          <w:sz w:val="13"/>
          <w:szCs w:val="13"/>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w:t>
      </w:r>
      <w:r>
        <w:rPr>
          <w:rFonts w:ascii="Arial" w:cs="Arial" w:eastAsia="Arial" w:hAnsi="Arial"/>
          <w:sz w:val="13"/>
          <w:szCs w:val="13"/>
          <w:u w:val="single" w:color="auto"/>
          <w:color w:val="auto"/>
        </w:rPr>
        <w:t>provided that</w:t>
      </w:r>
      <w:r>
        <w:rPr>
          <w:rFonts w:ascii="Arial" w:cs="Arial" w:eastAsia="Arial" w:hAnsi="Arial"/>
          <w:sz w:val="13"/>
          <w:szCs w:val="13"/>
          <w:color w:val="auto"/>
        </w:rPr>
        <w: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purposes of covenant compliance and calculations hereunder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59" w:lineRule="exact"/>
        <w:rPr>
          <w:rFonts w:ascii="Arial" w:cs="Arial" w:eastAsia="Arial" w:hAnsi="Arial"/>
          <w:sz w:val="13"/>
          <w:szCs w:val="13"/>
          <w:color w:val="auto"/>
        </w:rPr>
      </w:pPr>
    </w:p>
    <w:p>
      <w:pPr>
        <w:ind w:right="80" w:firstLine="498"/>
        <w:spacing w:after="0" w:line="331" w:lineRule="auto"/>
        <w:tabs>
          <w:tab w:leader="none" w:pos="785" w:val="left"/>
        </w:tabs>
        <w:numPr>
          <w:ilvl w:val="0"/>
          <w:numId w:val="53"/>
        </w:numPr>
        <w:rPr>
          <w:rFonts w:ascii="Arial" w:cs="Arial" w:eastAsia="Arial" w:hAnsi="Arial"/>
          <w:sz w:val="11"/>
          <w:szCs w:val="11"/>
          <w:color w:val="auto"/>
        </w:rPr>
      </w:pPr>
      <w:r>
        <w:rPr>
          <w:rFonts w:ascii="Arial" w:cs="Arial" w:eastAsia="Arial" w:hAnsi="Arial"/>
          <w:sz w:val="11"/>
          <w:szCs w:val="11"/>
          <w:u w:val="single" w:color="auto"/>
          <w:color w:val="auto"/>
        </w:rPr>
        <w:t>Pro Forma Basis</w:t>
      </w:r>
      <w:r>
        <w:rPr>
          <w:rFonts w:ascii="Arial" w:cs="Arial" w:eastAsia="Arial" w:hAnsi="Arial"/>
          <w:sz w:val="11"/>
          <w:szCs w:val="11"/>
          <w:color w:val="auto"/>
        </w:rPr>
        <w:t>. All defined terms used in the calculation of the financial covenants set forth herein, if applicable, shall be calculated as of any date, on an historical pro forma basis giving effect (by inclusion or exclusion, as applicable) to the Transactions, any Acquisition or other Investment, any issuance, incurrence, assumption, refinancing, repricing or permanent repayment of Indebtedness (including Indebtedness issued, incurred or assumed as a result of, or to finance, any relevant transaction and for which any such financial ratio is being calculated), all sales, transfers and other dispositions or discontinuance of any Subsidiary, line of business or division, or any conversion of a Subsidiary Guarantor to Subsidiary or of a Subsidiary to a Subsidiary Guarantor, in each case to the extent permitted hereunder and that have occurred during Measurement Period being used to calculate such financial ratio, or subsequent to the end of the Measurement Period but prior to such date or prior to or simultaneously with the event for which a determination under this definition is made, as if each such event occurred on the first day of the Measurement Period.</w:t>
      </w:r>
    </w:p>
    <w:p>
      <w:pPr>
        <w:spacing w:after="0" w:line="125" w:lineRule="exact"/>
        <w:rPr>
          <w:sz w:val="20"/>
          <w:szCs w:val="20"/>
          <w:color w:val="auto"/>
        </w:rPr>
      </w:pPr>
    </w:p>
    <w:p>
      <w:pPr>
        <w:ind w:right="60" w:firstLine="495"/>
        <w:spacing w:after="0" w:line="259" w:lineRule="auto"/>
        <w:rPr>
          <w:sz w:val="20"/>
          <w:szCs w:val="20"/>
          <w:color w:val="auto"/>
        </w:rPr>
      </w:pPr>
      <w:r>
        <w:rPr>
          <w:rFonts w:ascii="Arial" w:cs="Arial" w:eastAsia="Arial" w:hAnsi="Arial"/>
          <w:sz w:val="14"/>
          <w:szCs w:val="14"/>
          <w:b w:val="1"/>
          <w:bCs w:val="1"/>
          <w:color w:val="auto"/>
        </w:rPr>
        <w:t>1.04 Rounding</w:t>
      </w:r>
      <w:r>
        <w:rPr>
          <w:rFonts w:ascii="Arial" w:cs="Arial" w:eastAsia="Arial" w:hAnsi="Arial"/>
          <w:sz w:val="14"/>
          <w:szCs w:val="14"/>
          <w:color w:val="auto"/>
        </w:rPr>
        <w:t>. Any financial ratios required to be maintained by the Borrower pursuant to this Agreement shall be calculated by dividing the appropriate component by the other component,</w:t>
      </w:r>
      <w:r>
        <w:rPr>
          <w:rFonts w:ascii="Arial" w:cs="Arial" w:eastAsia="Arial" w:hAnsi="Arial"/>
          <w:sz w:val="14"/>
          <w:szCs w:val="14"/>
          <w:b w:val="1"/>
          <w:bCs w:val="1"/>
          <w:color w:val="auto"/>
        </w:rPr>
        <w:t xml:space="preserve"> </w:t>
      </w:r>
      <w:r>
        <w:rPr>
          <w:rFonts w:ascii="Arial" w:cs="Arial" w:eastAsia="Arial" w:hAnsi="Arial"/>
          <w:sz w:val="14"/>
          <w:szCs w:val="14"/>
          <w:color w:val="auto"/>
        </w:rPr>
        <w:t>carrying the result to one place more than the number of places by which such ratio is expressed herein and rounding the result up or down to the nearest number (with a rounding-up if there is no nearest number).</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1"/>
          <w:szCs w:val="11"/>
          <w:b w:val="1"/>
          <w:bCs w:val="1"/>
          <w:color w:val="auto"/>
        </w:rPr>
        <w:t xml:space="preserve">Times of Day. </w:t>
      </w:r>
      <w:r>
        <w:rPr>
          <w:rFonts w:ascii="Arial" w:cs="Arial" w:eastAsia="Arial" w:hAnsi="Arial"/>
          <w:sz w:val="11"/>
          <w:szCs w:val="11"/>
          <w:color w:val="auto"/>
        </w:rPr>
        <w:t>Unless otherwise specified, all references herein to times of day shall be references to Eastern time (daylight or standard, as applicable).</w:t>
      </w:r>
    </w:p>
    <w:p>
      <w:pPr>
        <w:spacing w:after="0" w:line="190" w:lineRule="exact"/>
        <w:rPr>
          <w:sz w:val="20"/>
          <w:szCs w:val="20"/>
          <w:color w:val="auto"/>
        </w:rPr>
      </w:pPr>
    </w:p>
    <w:p>
      <w:pPr>
        <w:ind w:right="100" w:firstLine="495"/>
        <w:spacing w:after="0" w:line="280" w:lineRule="auto"/>
        <w:rPr>
          <w:sz w:val="20"/>
          <w:szCs w:val="20"/>
          <w:color w:val="auto"/>
        </w:rPr>
      </w:pPr>
      <w:r>
        <w:rPr>
          <w:rFonts w:ascii="Arial" w:cs="Arial" w:eastAsia="Arial" w:hAnsi="Arial"/>
          <w:sz w:val="13"/>
          <w:szCs w:val="13"/>
          <w:b w:val="1"/>
          <w:bCs w:val="1"/>
          <w:color w:val="auto"/>
        </w:rPr>
        <w:t>1.06 References to Agreements and Laws</w:t>
      </w:r>
      <w:r>
        <w:rPr>
          <w:rFonts w:ascii="Arial" w:cs="Arial" w:eastAsia="Arial" w:hAnsi="Arial"/>
          <w:sz w:val="13"/>
          <w:szCs w:val="13"/>
          <w:color w:val="auto"/>
        </w:rPr>
        <w:t>. Unless otherwise expressly provided herein, (a) references to agreements (including the Loan Documents) and other contractual instruments shall</w:t>
      </w:r>
      <w:r>
        <w:rPr>
          <w:rFonts w:ascii="Arial" w:cs="Arial" w:eastAsia="Arial" w:hAnsi="Arial"/>
          <w:sz w:val="13"/>
          <w:szCs w:val="13"/>
          <w:b w:val="1"/>
          <w:bCs w:val="1"/>
          <w:color w:val="auto"/>
        </w:rPr>
        <w:t xml:space="preserve"> </w:t>
      </w:r>
      <w:r>
        <w:rPr>
          <w:rFonts w:ascii="Arial" w:cs="Arial" w:eastAsia="Arial" w:hAnsi="Arial"/>
          <w:sz w:val="13"/>
          <w:szCs w:val="13"/>
          <w:color w:val="auto"/>
        </w:rPr>
        <w:t>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 and, unless otherwise specified, shall refer to such Law as amended, modified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37</w:t>
      </w:r>
    </w:p>
    <w:p>
      <w:pPr>
        <w:sectPr>
          <w:pgSz w:w="11900" w:h="16838" w:orient="portrait"/>
          <w:cols w:equalWidth="0" w:num="1">
            <w:col w:w="11280"/>
          </w:cols>
          <w:pgMar w:left="300" w:top="129"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95"/>
        <w:spacing w:after="0" w:line="254" w:lineRule="auto"/>
        <w:rPr>
          <w:sz w:val="20"/>
          <w:szCs w:val="20"/>
          <w:color w:val="auto"/>
        </w:rPr>
      </w:pPr>
      <w:r>
        <w:rPr>
          <w:rFonts w:ascii="Arial" w:cs="Arial" w:eastAsia="Arial" w:hAnsi="Arial"/>
          <w:sz w:val="14"/>
          <w:szCs w:val="14"/>
          <w:b w:val="1"/>
          <w:bCs w:val="1"/>
          <w:color w:val="auto"/>
        </w:rPr>
        <w:t>1.07 Letter of Credit Amounts</w:t>
      </w:r>
      <w:r>
        <w:rPr>
          <w:rFonts w:ascii="Arial" w:cs="Arial" w:eastAsia="Arial" w:hAnsi="Arial"/>
          <w:sz w:val="14"/>
          <w:szCs w:val="14"/>
          <w:color w:val="auto"/>
        </w:rPr>
        <w:t>. Unless otherwise specified herein, the amount of a Letter of Credit at any time shall be deemed to be the stated amount of such Letter of Credit in effect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such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4" w:lineRule="exact"/>
        <w:rPr>
          <w:sz w:val="20"/>
          <w:szCs w:val="20"/>
          <w:color w:val="auto"/>
        </w:rPr>
      </w:pPr>
    </w:p>
    <w:p>
      <w:pPr>
        <w:ind w:right="80" w:firstLine="495"/>
        <w:spacing w:after="0" w:line="332" w:lineRule="auto"/>
        <w:rPr>
          <w:sz w:val="20"/>
          <w:szCs w:val="20"/>
          <w:color w:val="auto"/>
        </w:rPr>
      </w:pPr>
      <w:r>
        <w:rPr>
          <w:rFonts w:ascii="Arial" w:cs="Arial" w:eastAsia="Arial" w:hAnsi="Arial"/>
          <w:sz w:val="11"/>
          <w:szCs w:val="11"/>
          <w:b w:val="1"/>
          <w:bCs w:val="1"/>
          <w:color w:val="auto"/>
        </w:rPr>
        <w:t>1.08 Currency Equivalents Generally</w:t>
      </w:r>
      <w:r>
        <w:rPr>
          <w:rFonts w:ascii="Arial" w:cs="Arial" w:eastAsia="Arial" w:hAnsi="Arial"/>
          <w:sz w:val="11"/>
          <w:szCs w:val="11"/>
          <w:color w:val="auto"/>
        </w:rPr>
        <w:t>. Any amount specified in this Agreement (other than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Articles II</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IX</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X</w:t>
      </w:r>
      <w:r>
        <w:rPr>
          <w:rFonts w:ascii="Arial" w:cs="Arial" w:eastAsia="Arial" w:hAnsi="Arial"/>
          <w:sz w:val="11"/>
          <w:szCs w:val="11"/>
          <w:color w:val="auto"/>
        </w:rPr>
        <w:t>) or any of the other Loan Documents to be in Dollars shall also include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1"/>
          <w:szCs w:val="11"/>
          <w:u w:val="single" w:color="auto"/>
          <w:color w:val="auto"/>
        </w:rPr>
        <w:t>Section 1.07</w:t>
      </w:r>
      <w:r>
        <w:rPr>
          <w:rFonts w:ascii="Arial" w:cs="Arial" w:eastAsia="Arial" w:hAnsi="Arial"/>
          <w:sz w:val="11"/>
          <w:szCs w:val="11"/>
          <w:color w:val="auto"/>
        </w:rPr>
        <w:t>, the “</w:t>
      </w:r>
      <w:r>
        <w:rPr>
          <w:rFonts w:ascii="Arial" w:cs="Arial" w:eastAsia="Arial" w:hAnsi="Arial"/>
          <w:sz w:val="11"/>
          <w:szCs w:val="11"/>
          <w:u w:val="single" w:color="auto"/>
          <w:color w:val="auto"/>
        </w:rPr>
        <w:t>Spot Rate</w:t>
      </w:r>
      <w:r>
        <w:rPr>
          <w:rFonts w:ascii="Arial" w:cs="Arial" w:eastAsia="Arial" w:hAnsi="Arial"/>
          <w:sz w:val="11"/>
          <w:szCs w:val="11"/>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26" w:lineRule="exact"/>
        <w:rPr>
          <w:sz w:val="20"/>
          <w:szCs w:val="20"/>
          <w:color w:val="auto"/>
        </w:rPr>
      </w:pPr>
    </w:p>
    <w:p>
      <w:pPr>
        <w:ind w:firstLine="495"/>
        <w:spacing w:after="0" w:line="270" w:lineRule="auto"/>
        <w:rPr>
          <w:sz w:val="20"/>
          <w:szCs w:val="20"/>
          <w:color w:val="auto"/>
        </w:rPr>
      </w:pPr>
      <w:r>
        <w:rPr>
          <w:rFonts w:ascii="Arial" w:cs="Arial" w:eastAsia="Arial" w:hAnsi="Arial"/>
          <w:sz w:val="13"/>
          <w:szCs w:val="13"/>
          <w:b w:val="1"/>
          <w:bCs w:val="1"/>
          <w:color w:val="auto"/>
        </w:rPr>
        <w:t>1.09 Interest Rates</w:t>
      </w:r>
      <w:r>
        <w:rPr>
          <w:rFonts w:ascii="Arial" w:cs="Arial" w:eastAsia="Arial" w:hAnsi="Arial"/>
          <w:sz w:val="13"/>
          <w:szCs w:val="13"/>
          <w:color w:val="auto"/>
        </w:rPr>
        <w:t>. The Administrative Agent does not warrant, nor accept responsibility, nor shall the Administrative Agent have any liability with respect to the administration, submission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13"/>
          <w:szCs w:val="13"/>
          <w:b w:val="1"/>
          <w:bCs w:val="1"/>
          <w:color w:val="auto"/>
        </w:rPr>
        <w:t>(</w:t>
      </w:r>
      <w:r>
        <w:rPr>
          <w:rFonts w:ascii="Arial" w:cs="Arial" w:eastAsia="Arial" w:hAnsi="Arial"/>
          <w:sz w:val="13"/>
          <w:szCs w:val="13"/>
          <w:color w:val="auto"/>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38</w:t>
      </w:r>
    </w:p>
    <w:p>
      <w:pPr>
        <w:sectPr>
          <w:pgSz w:w="11900" w:h="16838" w:orient="portrait"/>
          <w:cols w:equalWidth="0" w:num="1">
            <w:col w:w="11280"/>
          </w:cols>
          <w:pgMar w:left="300" w:top="129"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COMMITMENTS AND CREDIT EXTENSIONS</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2.01</w:t>
      </w:r>
      <w:r>
        <w:rPr>
          <w:sz w:val="20"/>
          <w:szCs w:val="20"/>
          <w:color w:val="auto"/>
        </w:rPr>
        <w:tab/>
      </w:r>
      <w:r>
        <w:rPr>
          <w:rFonts w:ascii="Arial" w:cs="Arial" w:eastAsia="Arial" w:hAnsi="Arial"/>
          <w:sz w:val="11"/>
          <w:szCs w:val="11"/>
          <w:b w:val="1"/>
          <w:bCs w:val="1"/>
          <w:color w:val="auto"/>
        </w:rPr>
        <w:t>Loans</w:t>
      </w:r>
      <w:r>
        <w:rPr>
          <w:rFonts w:ascii="Arial" w:cs="Arial" w:eastAsia="Arial" w:hAnsi="Arial"/>
          <w:sz w:val="11"/>
          <w:szCs w:val="11"/>
          <w:color w:val="auto"/>
        </w:rPr>
        <w:t>.</w:t>
      </w:r>
    </w:p>
    <w:p>
      <w:pPr>
        <w:spacing w:after="0" w:line="194" w:lineRule="exact"/>
        <w:rPr>
          <w:sz w:val="20"/>
          <w:szCs w:val="20"/>
          <w:color w:val="auto"/>
        </w:rPr>
      </w:pPr>
    </w:p>
    <w:p>
      <w:pPr>
        <w:ind w:firstLine="495"/>
        <w:spacing w:after="0" w:line="335" w:lineRule="auto"/>
        <w:rPr>
          <w:sz w:val="20"/>
          <w:szCs w:val="20"/>
          <w:color w:val="auto"/>
        </w:rPr>
      </w:pPr>
      <w:r>
        <w:rPr>
          <w:rFonts w:ascii="Arial" w:cs="Arial" w:eastAsia="Arial" w:hAnsi="Arial"/>
          <w:sz w:val="11"/>
          <w:szCs w:val="11"/>
          <w:u w:val="single" w:color="auto"/>
          <w:color w:val="auto"/>
        </w:rPr>
        <w:t>The Revolving Credit Borrowings</w:t>
      </w:r>
      <w:r>
        <w:rPr>
          <w:rFonts w:ascii="Arial" w:cs="Arial" w:eastAsia="Arial" w:hAnsi="Arial"/>
          <w:sz w:val="11"/>
          <w:szCs w:val="11"/>
          <w:color w:val="auto"/>
        </w:rPr>
        <w:t>. Subject to the terms and conditions set forth herein, each Revolving Credit Lender severally agrees to make loans (each such loan, a “</w:t>
      </w:r>
      <w:r>
        <w:rPr>
          <w:rFonts w:ascii="Arial" w:cs="Arial" w:eastAsia="Arial" w:hAnsi="Arial"/>
          <w:sz w:val="11"/>
          <w:szCs w:val="11"/>
          <w:u w:val="single" w:color="auto"/>
          <w:color w:val="auto"/>
        </w:rPr>
        <w:t>Revolving Credit Loan</w:t>
      </w:r>
      <w:r>
        <w:rPr>
          <w:rFonts w:ascii="Arial" w:cs="Arial" w:eastAsia="Arial" w:hAnsi="Arial"/>
          <w:sz w:val="11"/>
          <w:szCs w:val="11"/>
          <w:color w:val="auto"/>
        </w:rPr>
        <w:t xml:space="preserve">”) to the Borrower from time to time, on any Business Day during the Availability Period, in an aggregate amount not to exceed at any time outstanding the amount of such Lender’s 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after giving effect to any Revolving Credit Borrowing, (i) the Total Revolving Credit Outstandings shall not exceed the Revolving Credit Facility, and (ii) the Revolving Credit Exposure shall not exceed such Revolving Credit Lender’s Commitment. Within the limits of each Revolving Credit Lender’s Commitment, and subject to the other terms and conditions hereof, the Borrower may borrow under this </w:t>
      </w:r>
      <w:r>
        <w:rPr>
          <w:rFonts w:ascii="Arial" w:cs="Arial" w:eastAsia="Arial" w:hAnsi="Arial"/>
          <w:sz w:val="11"/>
          <w:szCs w:val="11"/>
          <w:u w:val="single" w:color="auto"/>
          <w:color w:val="auto"/>
        </w:rPr>
        <w:t>Section 2.01</w:t>
      </w:r>
      <w:r>
        <w:rPr>
          <w:rFonts w:ascii="Arial" w:cs="Arial" w:eastAsia="Arial" w:hAnsi="Arial"/>
          <w:sz w:val="11"/>
          <w:szCs w:val="11"/>
          <w:color w:val="auto"/>
        </w:rPr>
        <w:t xml:space="preserve">, prepay under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and reborrow under this </w:t>
      </w:r>
      <w:r>
        <w:rPr>
          <w:rFonts w:ascii="Arial" w:cs="Arial" w:eastAsia="Arial" w:hAnsi="Arial"/>
          <w:sz w:val="11"/>
          <w:szCs w:val="11"/>
          <w:u w:val="single" w:color="auto"/>
          <w:color w:val="auto"/>
        </w:rPr>
        <w:t>Section 2.01</w:t>
      </w:r>
      <w:r>
        <w:rPr>
          <w:rFonts w:ascii="Arial" w:cs="Arial" w:eastAsia="Arial" w:hAnsi="Arial"/>
          <w:sz w:val="11"/>
          <w:szCs w:val="11"/>
          <w:color w:val="auto"/>
        </w:rPr>
        <w:t>. Revolving Credit Loans may be Base Rate Loans or Term SOFR Loans, as further provided herein.</w:t>
      </w:r>
    </w:p>
    <w:p>
      <w:pPr>
        <w:spacing w:after="0" w:line="124" w:lineRule="exact"/>
        <w:rPr>
          <w:sz w:val="20"/>
          <w:szCs w:val="20"/>
          <w:color w:val="auto"/>
        </w:rPr>
      </w:pPr>
    </w:p>
    <w:p>
      <w:pPr>
        <w:ind w:right="40" w:firstLine="495"/>
        <w:spacing w:after="0" w:line="267" w:lineRule="auto"/>
        <w:rPr>
          <w:sz w:val="20"/>
          <w:szCs w:val="20"/>
          <w:color w:val="auto"/>
        </w:rPr>
      </w:pPr>
      <w:r>
        <w:rPr>
          <w:rFonts w:ascii="Arial" w:cs="Arial" w:eastAsia="Arial" w:hAnsi="Arial"/>
          <w:sz w:val="13"/>
          <w:szCs w:val="13"/>
          <w:b w:val="1"/>
          <w:bCs w:val="1"/>
          <w:color w:val="auto"/>
        </w:rPr>
        <w:t>2.02 Borrowings, Conversions and Continuations of Loans</w:t>
      </w:r>
      <w:r>
        <w:rPr>
          <w:rFonts w:ascii="Arial" w:cs="Arial" w:eastAsia="Arial" w:hAnsi="Arial"/>
          <w:sz w:val="13"/>
          <w:szCs w:val="13"/>
          <w:color w:val="auto"/>
        </w:rPr>
        <w:t>. (a) Each Revolving Credit Borrowing, each conversion of Revolving Credit Loans from one Type to the other, and each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continuation of Term SOFR Loans shall be made upon the Borrower’s irrevocable notice to the Administrative Agent, which may be given by (A) telephone or (B) a Committed Loan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telephonic notice must be confirmed immediately by delivery to the Administrative Agent of a Committed Loan Notice. Each such Committed Loan Notice must be received by the Administrative Agent not later than 12:00 p.m. (i) two Business Days prior to the requested date of any Borrowing of, conversion to or continuation of Term SOFR Loans or of any conversion of Term SOFR Loans to Base Rate Loans, and (ii) on the requested date of any Borrowing of Base Rate Loans;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the Borrower wishes to request Term SOFR Loans having an Interest Period other than one, three or six months in duration as provided in the definition of “Interest Period,” the applicable notice must be received by the Administrative Agent not later than 12:00 p.m.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12:00 p.m.,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 Loans shall be in a principal amount of $5,000,000 or a whole multiple of $1,000,000 in excess thereof. Except as provided in </w:t>
      </w:r>
      <w:r>
        <w:rPr>
          <w:rFonts w:ascii="Arial" w:cs="Arial" w:eastAsia="Arial" w:hAnsi="Arial"/>
          <w:sz w:val="13"/>
          <w:szCs w:val="13"/>
          <w:u w:val="single" w:color="auto"/>
          <w:color w:val="auto"/>
        </w:rPr>
        <w:t>Sections 2.03(f)</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2.04(c)</w:t>
      </w:r>
      <w:r>
        <w:rPr>
          <w:rFonts w:ascii="Arial" w:cs="Arial" w:eastAsia="Arial" w:hAnsi="Arial"/>
          <w:sz w:val="13"/>
          <w:szCs w:val="13"/>
          <w:color w:val="auto"/>
        </w:rPr>
        <w:t>, each Borrowing of or conversion to Base Rate Loans shall be in a principal amount of $500,000 or a whole multiple of $100,000 in excess thereof. Each Committed Loan Notice shall specify (i) whether the Borrower is requesting a Revolving Credit Borrowing, a conversion of Revolving Credit Loans from one Type to the other, or a continuation of Term SOFR Loans, (ii) the requested date of the Borrowing, conversion or continuation, as the case may be (which shall be a Business Day), (iii) the principal amount of Revolving Credit Loans to be borrowed, converted or continued, (iv) the Type of Revolving Credit Loans to be borrowed or to which existing Revolving Credit Loans are to be converted, and (v) if applicable, the duration of the Interest Period with respect thereto. If the Borrower fails to specify a Type of Revolving Credit Loan in a Committed Loan Notice or if the Borrower fails to give a timely notice requesting a conversion or continuation, then the applicable Revolving Credit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39</w:t>
      </w:r>
    </w:p>
    <w:p>
      <w:pPr>
        <w:sectPr>
          <w:pgSz w:w="11900" w:h="16838" w:orient="portrait"/>
          <w:cols w:equalWidth="0" w:num="1">
            <w:col w:w="11280"/>
          </w:cols>
          <w:pgMar w:left="300" w:top="129"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98"/>
        <w:spacing w:after="0" w:line="269" w:lineRule="auto"/>
        <w:tabs>
          <w:tab w:leader="none" w:pos="8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Following receipt of a Committed Loan Notice, the Administrative Agent shall promptly notify each Lender of the amount of its Applicable Percentage of the applicable Revolving Credit Loans, and if no timely notice of a conversion or continuation is provided by the Borrower, the Administrative Agent shall notify each Lender of the details of any automatic conversion to Base Rate Loans described in the preceding subsection. In the case of a Revolving Credit Borrowing, each Lender shall make the amount of its Revolving Credit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(and, if such Borrowing is the initial Credit Extension,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on the date the Committed Loan Notice with respect to such Borrowing is given by the Borrower, there are L/C Borrowings outstanding, then the proceeds of such Borrowing,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shall be applied to the payment in full of any such L/C Borrowings, and </w:t>
      </w:r>
      <w:r>
        <w:rPr>
          <w:rFonts w:ascii="Arial" w:cs="Arial" w:eastAsia="Arial" w:hAnsi="Arial"/>
          <w:sz w:val="13"/>
          <w:szCs w:val="13"/>
          <w:u w:val="single" w:color="auto"/>
          <w:color w:val="auto"/>
        </w:rPr>
        <w:t>second</w:t>
      </w:r>
      <w:r>
        <w:rPr>
          <w:rFonts w:ascii="Arial" w:cs="Arial" w:eastAsia="Arial" w:hAnsi="Arial"/>
          <w:sz w:val="13"/>
          <w:szCs w:val="13"/>
          <w:color w:val="auto"/>
        </w:rPr>
        <w:t>, shall be made available to the Borrower as provided above.</w:t>
      </w:r>
    </w:p>
    <w:p>
      <w:pPr>
        <w:spacing w:after="0" w:line="162" w:lineRule="exact"/>
        <w:rPr>
          <w:rFonts w:ascii="Arial" w:cs="Arial" w:eastAsia="Arial" w:hAnsi="Arial"/>
          <w:sz w:val="13"/>
          <w:szCs w:val="13"/>
          <w:color w:val="auto"/>
        </w:rPr>
      </w:pPr>
    </w:p>
    <w:p>
      <w:pPr>
        <w:ind w:firstLine="498"/>
        <w:spacing w:after="0" w:line="266" w:lineRule="auto"/>
        <w:tabs>
          <w:tab w:leader="none" w:pos="821"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otherwise provided herein, a Term SOFR Loan may be continued or converted only on the last day of an Interest Period for such Term SOFR Loan. During the existence of an Event of Default, no Loans may be requested as, converted to or continued as Term SOFR Loans without the consent of the Required Lenders.</w:t>
      </w:r>
    </w:p>
    <w:p>
      <w:pPr>
        <w:spacing w:after="0" w:line="158" w:lineRule="exact"/>
        <w:rPr>
          <w:rFonts w:ascii="Arial" w:cs="Arial" w:eastAsia="Arial" w:hAnsi="Arial"/>
          <w:sz w:val="14"/>
          <w:szCs w:val="14"/>
          <w:color w:val="auto"/>
        </w:rPr>
      </w:pPr>
    </w:p>
    <w:p>
      <w:pPr>
        <w:ind w:left="800" w:hanging="302"/>
        <w:spacing w:after="0"/>
        <w:tabs>
          <w:tab w:leader="none" w:pos="8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Administrative Agent shall promptly notify the Borrower and the Lenders of the interest rate applicable to any Interest Period for Term SOFR Loans upon determination of such interest</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rate.</w:t>
      </w:r>
    </w:p>
    <w:p>
      <w:pPr>
        <w:spacing w:after="0" w:line="180" w:lineRule="exact"/>
        <w:rPr>
          <w:rFonts w:ascii="Arial" w:cs="Arial" w:eastAsia="Arial" w:hAnsi="Arial"/>
          <w:sz w:val="11"/>
          <w:szCs w:val="11"/>
          <w:color w:val="auto"/>
        </w:rPr>
      </w:pPr>
    </w:p>
    <w:p>
      <w:pPr>
        <w:ind w:firstLine="498"/>
        <w:spacing w:after="0" w:line="253" w:lineRule="auto"/>
        <w:tabs>
          <w:tab w:leader="none" w:pos="802" w:val="left"/>
        </w:tabs>
        <w:numPr>
          <w:ilvl w:val="0"/>
          <w:numId w:val="54"/>
        </w:numPr>
        <w:rPr>
          <w:rFonts w:ascii="Arial" w:cs="Arial" w:eastAsia="Arial" w:hAnsi="Arial"/>
          <w:sz w:val="14"/>
          <w:szCs w:val="14"/>
          <w:color w:val="auto"/>
        </w:rPr>
      </w:pPr>
      <w:r>
        <w:rPr>
          <w:rFonts w:ascii="Arial" w:cs="Arial" w:eastAsia="Arial" w:hAnsi="Arial"/>
          <w:sz w:val="14"/>
          <w:szCs w:val="14"/>
          <w:color w:val="auto"/>
        </w:rPr>
        <w:t>After giving effect to all Committed Borrowings, all conversions of Revolving Credit Loans from one Type to the other, and all continuations of Revolving Credit Loans as the same Type, there shall not be more than seven (7) Interest Periods in effect with respect to Revolving Credit Loans.</w:t>
      </w:r>
    </w:p>
    <w:p>
      <w:pPr>
        <w:ind w:firstLine="498"/>
        <w:spacing w:after="0" w:line="386" w:lineRule="auto"/>
        <w:tabs>
          <w:tab w:leader="none" w:pos="776" w:val="left"/>
        </w:tabs>
        <w:numPr>
          <w:ilvl w:val="0"/>
          <w:numId w:val="54"/>
        </w:numPr>
        <w:rPr>
          <w:rFonts w:ascii="Arial" w:cs="Arial" w:eastAsia="Arial" w:hAnsi="Arial"/>
          <w:sz w:val="11"/>
          <w:szCs w:val="11"/>
          <w:color w:val="auto"/>
        </w:rPr>
      </w:pPr>
      <w:r>
        <w:rPr>
          <w:rFonts w:ascii="Arial" w:cs="Arial" w:eastAsia="Arial" w:hAnsi="Arial"/>
          <w:sz w:val="11"/>
          <w:szCs w:val="11"/>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99" w:lineRule="exact"/>
        <w:rPr>
          <w:rFonts w:ascii="Arial" w:cs="Arial" w:eastAsia="Arial" w:hAnsi="Arial"/>
          <w:sz w:val="11"/>
          <w:szCs w:val="11"/>
          <w:color w:val="auto"/>
        </w:rPr>
      </w:pPr>
    </w:p>
    <w:p>
      <w:pPr>
        <w:jc w:val="both"/>
        <w:ind w:firstLine="498"/>
        <w:spacing w:after="0" w:line="252" w:lineRule="auto"/>
        <w:tabs>
          <w:tab w:leader="none" w:pos="794"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2.03</w:t>
      </w:r>
      <w:r>
        <w:rPr>
          <w:sz w:val="20"/>
          <w:szCs w:val="20"/>
          <w:color w:val="auto"/>
        </w:rPr>
        <w:tab/>
      </w:r>
      <w:r>
        <w:rPr>
          <w:rFonts w:ascii="Arial" w:cs="Arial" w:eastAsia="Arial" w:hAnsi="Arial"/>
          <w:sz w:val="11"/>
          <w:szCs w:val="11"/>
          <w:b w:val="1"/>
          <w:bCs w:val="1"/>
          <w:color w:val="auto"/>
        </w:rPr>
        <w:t>Letters of Credit</w:t>
      </w:r>
      <w:r>
        <w:rPr>
          <w:rFonts w:ascii="Arial" w:cs="Arial" w:eastAsia="Arial" w:hAnsi="Arial"/>
          <w:sz w:val="11"/>
          <w:szCs w:val="11"/>
          <w:color w:val="auto"/>
        </w:rPr>
        <w:t>.</w:t>
      </w:r>
    </w:p>
    <w:p>
      <w:pPr>
        <w:spacing w:after="0" w:line="194" w:lineRule="exact"/>
        <w:rPr>
          <w:sz w:val="20"/>
          <w:szCs w:val="20"/>
          <w:color w:val="auto"/>
        </w:rPr>
      </w:pPr>
    </w:p>
    <w:p>
      <w:pPr>
        <w:jc w:val="both"/>
        <w:ind w:right="60" w:firstLine="498"/>
        <w:spacing w:after="0" w:line="358" w:lineRule="auto"/>
        <w:tabs>
          <w:tab w:leader="none" w:pos="785" w:val="left"/>
        </w:tabs>
        <w:numPr>
          <w:ilvl w:val="0"/>
          <w:numId w:val="55"/>
        </w:numPr>
        <w:rPr>
          <w:rFonts w:ascii="Arial" w:cs="Arial" w:eastAsia="Arial" w:hAnsi="Arial"/>
          <w:sz w:val="11"/>
          <w:szCs w:val="11"/>
          <w:color w:val="auto"/>
        </w:rPr>
      </w:pPr>
      <w:r>
        <w:rPr>
          <w:rFonts w:ascii="Arial" w:cs="Arial" w:eastAsia="Arial" w:hAnsi="Arial"/>
          <w:sz w:val="11"/>
          <w:szCs w:val="11"/>
          <w:u w:val="single" w:color="auto"/>
          <w:color w:val="auto"/>
        </w:rPr>
        <w:t>General</w:t>
      </w:r>
      <w:r>
        <w:rPr>
          <w:rFonts w:ascii="Arial" w:cs="Arial" w:eastAsia="Arial" w:hAnsi="Arial"/>
          <w:sz w:val="11"/>
          <w:szCs w:val="11"/>
          <w:color w:val="auto"/>
        </w:rPr>
        <w:t xml:space="preserve">. Subject to the terms and conditions set forth herein, in addition to the Loans provided for in </w:t>
      </w:r>
      <w:r>
        <w:rPr>
          <w:rFonts w:ascii="Arial" w:cs="Arial" w:eastAsia="Arial" w:hAnsi="Arial"/>
          <w:sz w:val="11"/>
          <w:szCs w:val="11"/>
          <w:u w:val="single" w:color="auto"/>
          <w:color w:val="auto"/>
        </w:rPr>
        <w:t>Section 2.01</w:t>
      </w:r>
      <w:r>
        <w:rPr>
          <w:rFonts w:ascii="Arial" w:cs="Arial" w:eastAsia="Arial" w:hAnsi="Arial"/>
          <w:sz w:val="11"/>
          <w:szCs w:val="11"/>
          <w:color w:val="auto"/>
        </w:rPr>
        <w:t>, the Borrower may request the L/C Issuer, in reliance on the agreements of the Revolving Credit Lenders set forth in this Section, to issue, at any time and from time to time during the Availability Period, Letters of Credit denominated in Dollars for its own account or the account of any of its Subsidiaries in such form as is acceptable to the L/C Issuer in its reasonable determination. Letters of Credit issued hereunder shall constitute utilization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40</w:t>
      </w:r>
    </w:p>
    <w:p>
      <w:pPr>
        <w:sectPr>
          <w:pgSz w:w="11900" w:h="16838" w:orient="portrait"/>
          <w:cols w:equalWidth="0" w:num="1">
            <w:col w:w="11280"/>
          </w:cols>
          <w:pgMar w:left="300" w:top="129"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8"/>
        <w:spacing w:after="0" w:line="268" w:lineRule="auto"/>
        <w:tabs>
          <w:tab w:leader="none" w:pos="793"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Notice of Issuance, Amendment, Extension, Reinstatement or Renewal</w:t>
      </w:r>
      <w:r>
        <w:rPr>
          <w:rFonts w:ascii="Arial" w:cs="Arial" w:eastAsia="Arial" w:hAnsi="Arial"/>
          <w:sz w:val="13"/>
          <w:szCs w:val="13"/>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12:00 p.m. at least two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Arial" w:cs="Arial" w:eastAsia="Arial" w:hAnsi="Arial"/>
          <w:sz w:val="13"/>
          <w:szCs w:val="13"/>
          <w:u w:val="single" w:color="auto"/>
          <w:color w:val="auto"/>
        </w:rPr>
        <w:t>subsection (d)</w:t>
      </w:r>
      <w:r>
        <w:rPr>
          <w:rFonts w:ascii="Arial" w:cs="Arial" w:eastAsia="Arial" w:hAnsi="Arial"/>
          <w:sz w:val="13"/>
          <w:szCs w:val="13"/>
          <w:color w:val="auto"/>
        </w:rPr>
        <w:t xml:space="preserve"> of this Section), the amount of such Letter of Credit, the name and address of the beneficiary thereof, the purpose and nature of the requested Letter of Credit and such other information as shall be reasonably necessary to prepare, amend, extend, reinstate or renew such Letter of Credit. If reasonably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65" w:lineRule="exact"/>
        <w:rPr>
          <w:sz w:val="20"/>
          <w:szCs w:val="20"/>
          <w:color w:val="auto"/>
        </w:rPr>
      </w:pPr>
    </w:p>
    <w:p>
      <w:pPr>
        <w:ind w:left="500" w:right="20" w:firstLine="495"/>
        <w:spacing w:after="0" w:line="268" w:lineRule="auto"/>
        <w:rPr>
          <w:sz w:val="20"/>
          <w:szCs w:val="20"/>
          <w:color w:val="auto"/>
        </w:rPr>
      </w:pPr>
      <w:r>
        <w:rPr>
          <w:rFonts w:ascii="Arial" w:cs="Arial" w:eastAsia="Arial" w:hAnsi="Arial"/>
          <w:sz w:val="13"/>
          <w:szCs w:val="13"/>
          <w:color w:val="auto"/>
        </w:rPr>
        <w:t>If any Borrower so requests in any applicable Letter of Credit Application (or the amendment of an outstanding Letter of Credit), the L/C Issuer may, in its sole discretion, agree to issue a Letter of Credit that has automatic extension provisions (each, an "</w:t>
      </w:r>
      <w:r>
        <w:rPr>
          <w:rFonts w:ascii="Arial" w:cs="Arial" w:eastAsia="Arial" w:hAnsi="Arial"/>
          <w:sz w:val="13"/>
          <w:szCs w:val="13"/>
          <w:u w:val="single" w:color="auto"/>
          <w:color w:val="auto"/>
        </w:rPr>
        <w:t>Auto-Extension Letter of 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3"/>
          <w:szCs w:val="13"/>
          <w:u w:val="single" w:color="auto"/>
          <w:color w:val="auto"/>
        </w:rPr>
        <w:t>Non-Extension Notice Date</w:t>
      </w:r>
      <w:r>
        <w:rPr>
          <w:rFonts w:ascii="Arial" w:cs="Arial" w:eastAsia="Arial" w:hAnsi="Arial"/>
          <w:sz w:val="13"/>
          <w:szCs w:val="13"/>
          <w:color w:val="auto"/>
        </w:rPr>
        <w:t xml:space="preserve">") in each such twelve-month period to be agreed upon by the applicable Borrower and the L/C Issuer at the 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Arial" w:cs="Arial" w:eastAsia="Arial" w:hAnsi="Arial"/>
          <w:sz w:val="13"/>
          <w:szCs w:val="13"/>
          <w:u w:val="single" w:color="auto"/>
          <w:color w:val="auto"/>
        </w:rPr>
        <w:t>Section 2.03(d)</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Lenders holding a majority of the Revolving Commitments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any Borrower that one or more of the applicable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is not then satisfied, and in each such case directing the L/C Issuer not to permit such extension.</w:t>
      </w:r>
    </w:p>
    <w:p>
      <w:pPr>
        <w:spacing w:after="0" w:line="161" w:lineRule="exact"/>
        <w:rPr>
          <w:sz w:val="20"/>
          <w:szCs w:val="20"/>
          <w:color w:val="auto"/>
        </w:rPr>
      </w:pPr>
    </w:p>
    <w:p>
      <w:pPr>
        <w:ind w:right="140" w:firstLine="498"/>
        <w:spacing w:after="0" w:line="343" w:lineRule="auto"/>
        <w:tabs>
          <w:tab w:leader="none" w:pos="785" w:val="left"/>
        </w:tabs>
        <w:numPr>
          <w:ilvl w:val="0"/>
          <w:numId w:val="57"/>
        </w:numPr>
        <w:rPr>
          <w:rFonts w:ascii="Arial" w:cs="Arial" w:eastAsia="Arial" w:hAnsi="Arial"/>
          <w:sz w:val="11"/>
          <w:szCs w:val="11"/>
          <w:color w:val="auto"/>
        </w:rPr>
      </w:pPr>
      <w:r>
        <w:rPr>
          <w:rFonts w:ascii="Arial" w:cs="Arial" w:eastAsia="Arial" w:hAnsi="Arial"/>
          <w:sz w:val="11"/>
          <w:szCs w:val="11"/>
          <w:u w:val="single" w:color="auto"/>
          <w:color w:val="auto"/>
        </w:rPr>
        <w:t>Limitations on Amounts, Issuance and Amendment</w:t>
      </w:r>
      <w:r>
        <w:rPr>
          <w:rFonts w:ascii="Arial" w:cs="Arial" w:eastAsia="Arial" w:hAnsi="Arial"/>
          <w:sz w:val="11"/>
          <w:szCs w:val="11"/>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the L/C Issuer shall not exceed its L/C Commitment, (ii) the aggregate L/C Obligations shall not exceed the Letter of Credit Sublimit, (iii) the Revolving Credit Exposure of any Lender shall not exceed its Commitment and (iv) the total Revolving Credit Exposures shall not exceed the total Commitments.</w:t>
      </w:r>
    </w:p>
    <w:p>
      <w:pPr>
        <w:spacing w:after="0" w:line="122" w:lineRule="exact"/>
        <w:rPr>
          <w:rFonts w:ascii="Arial" w:cs="Arial" w:eastAsia="Arial" w:hAnsi="Arial"/>
          <w:sz w:val="11"/>
          <w:szCs w:val="11"/>
          <w:color w:val="auto"/>
        </w:rPr>
      </w:pPr>
    </w:p>
    <w:p>
      <w:pPr>
        <w:ind w:left="1260" w:hanging="267"/>
        <w:spacing w:after="0"/>
        <w:tabs>
          <w:tab w:leader="none" w:pos="12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The L/C Issuer shall not be under any obligation to issue any Letter of Credit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41</w:t>
      </w:r>
    </w:p>
    <w:p>
      <w:pPr>
        <w:sectPr>
          <w:pgSz w:w="11900" w:h="16838" w:orient="portrait"/>
          <w:cols w:equalWidth="0" w:num="1">
            <w:col w:w="11280"/>
          </w:cols>
          <w:pgMar w:left="300" w:top="129"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0" w:right="20" w:firstLine="735"/>
        <w:spacing w:after="0" w:line="335" w:lineRule="auto"/>
        <w:tabs>
          <w:tab w:leader="none" w:pos="2071" w:val="left"/>
        </w:tabs>
        <w:numPr>
          <w:ilvl w:val="2"/>
          <w:numId w:val="58"/>
        </w:numPr>
        <w:rPr>
          <w:rFonts w:ascii="Arial" w:cs="Arial" w:eastAsia="Arial" w:hAnsi="Arial"/>
          <w:sz w:val="11"/>
          <w:szCs w:val="11"/>
          <w:color w:val="auto"/>
        </w:rPr>
      </w:pPr>
      <w:r>
        <w:rPr>
          <w:rFonts w:ascii="Arial" w:cs="Arial" w:eastAsia="Arial" w:hAnsi="Arial"/>
          <w:sz w:val="11"/>
          <w:szCs w:val="11"/>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27" w:lineRule="exact"/>
        <w:rPr>
          <w:rFonts w:ascii="Arial" w:cs="Arial" w:eastAsia="Arial" w:hAnsi="Arial"/>
          <w:sz w:val="11"/>
          <w:szCs w:val="11"/>
          <w:color w:val="auto"/>
        </w:rPr>
      </w:pPr>
    </w:p>
    <w:p>
      <w:pPr>
        <w:ind w:left="2060" w:hanging="325"/>
        <w:spacing w:after="0"/>
        <w:tabs>
          <w:tab w:leader="none" w:pos="2060" w:val="left"/>
        </w:tabs>
        <w:numPr>
          <w:ilvl w:val="2"/>
          <w:numId w:val="58"/>
        </w:numPr>
        <w:rPr>
          <w:rFonts w:ascii="Arial" w:cs="Arial" w:eastAsia="Arial" w:hAnsi="Arial"/>
          <w:sz w:val="14"/>
          <w:szCs w:val="14"/>
          <w:color w:val="auto"/>
        </w:rPr>
      </w:pPr>
      <w:r>
        <w:rPr>
          <w:rFonts w:ascii="Arial" w:cs="Arial" w:eastAsia="Arial" w:hAnsi="Arial"/>
          <w:sz w:val="14"/>
          <w:szCs w:val="14"/>
          <w:color w:val="auto"/>
        </w:rPr>
        <w:t>the issuance of such Letter of Credit would violate one or more policies of the L/C Issuer applicable to letters of credit generally;</w:t>
      </w:r>
    </w:p>
    <w:p>
      <w:pPr>
        <w:spacing w:after="0" w:line="189" w:lineRule="exact"/>
        <w:rPr>
          <w:rFonts w:ascii="Arial" w:cs="Arial" w:eastAsia="Arial" w:hAnsi="Arial"/>
          <w:sz w:val="14"/>
          <w:szCs w:val="14"/>
          <w:color w:val="auto"/>
        </w:rPr>
      </w:pPr>
    </w:p>
    <w:p>
      <w:pPr>
        <w:ind w:left="2060" w:hanging="325"/>
        <w:spacing w:after="0"/>
        <w:tabs>
          <w:tab w:leader="none" w:pos="2060" w:val="left"/>
        </w:tabs>
        <w:numPr>
          <w:ilvl w:val="2"/>
          <w:numId w:val="58"/>
        </w:numPr>
        <w:rPr>
          <w:rFonts w:ascii="Arial" w:cs="Arial" w:eastAsia="Arial" w:hAnsi="Arial"/>
          <w:sz w:val="14"/>
          <w:szCs w:val="14"/>
          <w:color w:val="auto"/>
        </w:rPr>
      </w:pPr>
      <w:r>
        <w:rPr>
          <w:rFonts w:ascii="Arial" w:cs="Arial" w:eastAsia="Arial" w:hAnsi="Arial"/>
          <w:sz w:val="14"/>
          <w:szCs w:val="14"/>
          <w:color w:val="auto"/>
        </w:rPr>
        <w:t>except as otherwise agreed by the Administrative Agent and the L/C Issuer, the Letter of Credit is in an initial stated amount less than $500,000; or</w:t>
      </w:r>
    </w:p>
    <w:p>
      <w:pPr>
        <w:spacing w:after="0" w:line="189" w:lineRule="exact"/>
        <w:rPr>
          <w:rFonts w:ascii="Arial" w:cs="Arial" w:eastAsia="Arial" w:hAnsi="Arial"/>
          <w:sz w:val="14"/>
          <w:szCs w:val="14"/>
          <w:color w:val="auto"/>
        </w:rPr>
      </w:pPr>
    </w:p>
    <w:p>
      <w:pPr>
        <w:ind w:left="1000" w:right="240" w:firstLine="735"/>
        <w:spacing w:after="0" w:line="322" w:lineRule="auto"/>
        <w:tabs>
          <w:tab w:leader="none" w:pos="2071" w:val="left"/>
        </w:tabs>
        <w:numPr>
          <w:ilvl w:val="2"/>
          <w:numId w:val="58"/>
        </w:numPr>
        <w:rPr>
          <w:rFonts w:ascii="Arial" w:cs="Arial" w:eastAsia="Arial" w:hAnsi="Arial"/>
          <w:sz w:val="11"/>
          <w:szCs w:val="11"/>
          <w:color w:val="auto"/>
        </w:rPr>
      </w:pPr>
      <w:r>
        <w:rPr>
          <w:rFonts w:ascii="Arial" w:cs="Arial" w:eastAsia="Arial" w:hAnsi="Arial"/>
          <w:sz w:val="11"/>
          <w:szCs w:val="11"/>
          <w:color w:val="auto"/>
        </w:rPr>
        <w:t xml:space="preserve">any Revolving Credit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Arial" w:cs="Arial" w:eastAsia="Arial" w:hAnsi="Arial"/>
          <w:sz w:val="11"/>
          <w:szCs w:val="11"/>
          <w:u w:val="single" w:color="auto"/>
          <w:color w:val="auto"/>
        </w:rPr>
        <w:t>Section</w:t>
      </w:r>
    </w:p>
    <w:p>
      <w:pPr>
        <w:ind w:left="1000" w:right="120"/>
        <w:spacing w:after="0" w:line="251" w:lineRule="auto"/>
        <w:rPr>
          <w:rFonts w:ascii="Arial" w:cs="Arial" w:eastAsia="Arial" w:hAnsi="Arial"/>
          <w:sz w:val="11"/>
          <w:szCs w:val="11"/>
          <w:color w:val="auto"/>
        </w:rPr>
      </w:pPr>
      <w:r>
        <w:rPr>
          <w:rFonts w:ascii="Arial" w:cs="Arial" w:eastAsia="Arial" w:hAnsi="Arial"/>
          <w:sz w:val="14"/>
          <w:szCs w:val="14"/>
          <w:u w:val="single" w:color="auto"/>
          <w:color w:val="auto"/>
        </w:rPr>
        <w:t>2.17(a)(iv)</w:t>
      </w:r>
      <w:r>
        <w:rPr>
          <w:rFonts w:ascii="Arial" w:cs="Arial" w:eastAsia="Arial" w:hAnsi="Arial"/>
          <w:sz w:val="14"/>
          <w:szCs w:val="14"/>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69" w:lineRule="exact"/>
        <w:rPr>
          <w:rFonts w:ascii="Arial" w:cs="Arial" w:eastAsia="Arial" w:hAnsi="Arial"/>
          <w:sz w:val="11"/>
          <w:szCs w:val="11"/>
          <w:color w:val="auto"/>
        </w:rPr>
      </w:pPr>
    </w:p>
    <w:p>
      <w:pPr>
        <w:ind w:left="500" w:right="260" w:firstLine="493"/>
        <w:spacing w:after="0" w:line="266" w:lineRule="auto"/>
        <w:tabs>
          <w:tab w:leader="none" w:pos="1298"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58" w:lineRule="exact"/>
        <w:rPr>
          <w:rFonts w:ascii="Arial" w:cs="Arial" w:eastAsia="Arial" w:hAnsi="Arial"/>
          <w:sz w:val="14"/>
          <w:szCs w:val="14"/>
          <w:color w:val="auto"/>
        </w:rPr>
      </w:pPr>
    </w:p>
    <w:p>
      <w:pPr>
        <w:jc w:val="both"/>
        <w:ind w:right="60" w:firstLine="498"/>
        <w:spacing w:after="0" w:line="256" w:lineRule="auto"/>
        <w:tabs>
          <w:tab w:leader="none" w:pos="793"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Expiration Date</w:t>
      </w:r>
      <w:r>
        <w:rPr>
          <w:rFonts w:ascii="Arial" w:cs="Arial" w:eastAsia="Arial" w:hAnsi="Arial"/>
          <w:sz w:val="14"/>
          <w:szCs w:val="14"/>
          <w:color w:val="auto"/>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 current expiration date of such Letter of Credit) and (ii) the date that is five Business Days prior to the Maturity Date.</w:t>
      </w:r>
    </w:p>
    <w:p>
      <w:pPr>
        <w:spacing w:after="0" w:line="165" w:lineRule="exact"/>
        <w:rPr>
          <w:rFonts w:ascii="Arial" w:cs="Arial" w:eastAsia="Arial" w:hAnsi="Arial"/>
          <w:sz w:val="14"/>
          <w:szCs w:val="14"/>
          <w:color w:val="auto"/>
        </w:rPr>
      </w:pPr>
    </w:p>
    <w:p>
      <w:pPr>
        <w:ind w:right="40" w:firstLine="498"/>
        <w:spacing w:after="0" w:line="335" w:lineRule="auto"/>
        <w:tabs>
          <w:tab w:leader="none" w:pos="785" w:val="left"/>
        </w:tabs>
        <w:numPr>
          <w:ilvl w:val="0"/>
          <w:numId w:val="60"/>
        </w:numPr>
        <w:rPr>
          <w:rFonts w:ascii="Arial" w:cs="Arial" w:eastAsia="Arial" w:hAnsi="Arial"/>
          <w:sz w:val="11"/>
          <w:szCs w:val="11"/>
          <w:color w:val="auto"/>
        </w:rPr>
      </w:pPr>
      <w:r>
        <w:rPr>
          <w:rFonts w:ascii="Arial" w:cs="Arial" w:eastAsia="Arial" w:hAnsi="Arial"/>
          <w:sz w:val="11"/>
          <w:szCs w:val="11"/>
          <w:u w:val="single" w:color="auto"/>
          <w:color w:val="auto"/>
        </w:rPr>
        <w:t>Participations</w:t>
      </w:r>
      <w:r>
        <w:rPr>
          <w:rFonts w:ascii="Arial" w:cs="Arial" w:eastAsia="Arial" w:hAnsi="Arial"/>
          <w:sz w:val="11"/>
          <w:szCs w:val="11"/>
          <w:color w:val="auto"/>
        </w:rPr>
        <w:t xml:space="preserve">. By the issuance of a Letter of Credit (or an amendment to a Letter of Credit increasing the amount or extending the expiration date thereof), and without any further action on the part of the L/C Issuer or the Revolving Credit Lenders, the L/C Issuer hereby grants to each Revolving Credit Lender, and each Revolving Credit Lender hereby acquires from the L/C Issuer, a participation in such Letter of Credit equal to such Lender’s Applicable Percentage of the aggregate amount available to be drawn under such Letter of Credit. Each Revolving Credit Lender acknowledges and agrees that its obligation to acquire participations pursuant to this </w:t>
      </w:r>
      <w:r>
        <w:rPr>
          <w:rFonts w:ascii="Arial" w:cs="Arial" w:eastAsia="Arial" w:hAnsi="Arial"/>
          <w:sz w:val="11"/>
          <w:szCs w:val="11"/>
          <w:u w:val="single" w:color="auto"/>
          <w:color w:val="auto"/>
        </w:rPr>
        <w:t>subsection (e)</w:t>
      </w:r>
      <w:r>
        <w:rPr>
          <w:rFonts w:ascii="Arial" w:cs="Arial" w:eastAsia="Arial" w:hAnsi="Arial"/>
          <w:sz w:val="11"/>
          <w:szCs w:val="11"/>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42</w:t>
      </w:r>
    </w:p>
    <w:p>
      <w:pPr>
        <w:sectPr>
          <w:pgSz w:w="11900" w:h="16838" w:orient="portrait"/>
          <w:cols w:equalWidth="0" w:num="1">
            <w:col w:w="11280"/>
          </w:cols>
          <w:pgMar w:left="300" w:top="129"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5"/>
        <w:spacing w:after="0" w:line="325" w:lineRule="auto"/>
        <w:rPr>
          <w:sz w:val="20"/>
          <w:szCs w:val="20"/>
          <w:color w:val="auto"/>
        </w:rPr>
      </w:pPr>
      <w:r>
        <w:rPr>
          <w:rFonts w:ascii="Arial" w:cs="Arial" w:eastAsia="Arial" w:hAnsi="Arial"/>
          <w:sz w:val="11"/>
          <w:szCs w:val="11"/>
          <w:color w:val="auto"/>
        </w:rPr>
        <w:t xml:space="preserve">In consideration and in furtherance of the foregoing, each Revolving Credit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Credit Lenders pursuant to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with respect to Loans made by such Lender (and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shall apply, mutatis mutandis, to the payment obligations of the Revolving Credit Lenders pursuant to this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and the Administrative Agent shall promptly pay to the L/C Issuer the amounts so received by it from the Revolving Credit Lenders. Promptly following receipt by the Administrative Agent of any payment from the Borrower pursuant to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the Administrative Agent shall distribute such payment to the L/C Issuer or, to the extent that the Revolving Credit Lenders have made payments pursuant to this </w:t>
      </w:r>
      <w:r>
        <w:rPr>
          <w:rFonts w:ascii="Arial" w:cs="Arial" w:eastAsia="Arial" w:hAnsi="Arial"/>
          <w:sz w:val="11"/>
          <w:szCs w:val="11"/>
          <w:u w:val="single" w:color="auto"/>
          <w:color w:val="auto"/>
        </w:rPr>
        <w:t>subsection (e)</w:t>
      </w:r>
      <w:r>
        <w:rPr>
          <w:rFonts w:ascii="Arial" w:cs="Arial" w:eastAsia="Arial" w:hAnsi="Arial"/>
          <w:sz w:val="11"/>
          <w:szCs w:val="11"/>
          <w:color w:val="auto"/>
        </w:rPr>
        <w:t xml:space="preserve"> to reimburse the L/C Issuer, then to such Revolving Credit Lenders and the L/C Issuer as their interests may appear. Any payment made by a Lender pursuant to this paragraph to reimburse the L/C Issuer for any L/C Disbursement shall not constitute a Loan and shall not relieve the Borrower of its obligation to reimburse such L/C Disbursement.</w:t>
      </w:r>
    </w:p>
    <w:p>
      <w:pPr>
        <w:spacing w:after="0" w:line="301" w:lineRule="exact"/>
        <w:rPr>
          <w:sz w:val="20"/>
          <w:szCs w:val="20"/>
          <w:color w:val="auto"/>
        </w:rPr>
      </w:pPr>
    </w:p>
    <w:p>
      <w:pPr>
        <w:jc w:val="both"/>
        <w:ind w:right="160" w:firstLine="495"/>
        <w:spacing w:after="0" w:line="256" w:lineRule="auto"/>
        <w:rPr>
          <w:sz w:val="20"/>
          <w:szCs w:val="20"/>
          <w:color w:val="auto"/>
        </w:rPr>
      </w:pPr>
      <w:r>
        <w:rPr>
          <w:rFonts w:ascii="Arial" w:cs="Arial" w:eastAsia="Arial" w:hAnsi="Arial"/>
          <w:sz w:val="14"/>
          <w:szCs w:val="14"/>
          <w:color w:val="auto"/>
        </w:rPr>
        <w:t xml:space="preserve">Each Revolving Credit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as a result of an assignment in accordance with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or otherwise pursuant to this Agreement.</w:t>
      </w:r>
    </w:p>
    <w:p>
      <w:pPr>
        <w:spacing w:after="0" w:line="166" w:lineRule="exact"/>
        <w:rPr>
          <w:sz w:val="20"/>
          <w:szCs w:val="20"/>
          <w:color w:val="auto"/>
        </w:rPr>
      </w:pPr>
    </w:p>
    <w:p>
      <w:pPr>
        <w:ind w:right="80" w:firstLine="495"/>
        <w:spacing w:after="0" w:line="330" w:lineRule="auto"/>
        <w:rPr>
          <w:sz w:val="20"/>
          <w:szCs w:val="20"/>
          <w:color w:val="auto"/>
        </w:rPr>
      </w:pPr>
      <w:r>
        <w:rPr>
          <w:rFonts w:ascii="Arial" w:cs="Arial" w:eastAsia="Arial" w:hAnsi="Arial"/>
          <w:sz w:val="11"/>
          <w:szCs w:val="11"/>
          <w:color w:val="auto"/>
        </w:rPr>
        <w:t xml:space="preserve">If any Revolving Credit Lender fails to make available to the Administrative Agent for the account of the L/C Issuer any amount required to be paid by such Lender pursuant to the foregoing provisions of this </w:t>
      </w:r>
      <w:r>
        <w:rPr>
          <w:rFonts w:ascii="Arial" w:cs="Arial" w:eastAsia="Arial" w:hAnsi="Arial"/>
          <w:sz w:val="11"/>
          <w:szCs w:val="11"/>
          <w:u w:val="single" w:color="auto"/>
          <w:color w:val="auto"/>
        </w:rPr>
        <w:t>Section 2.03(e)</w:t>
      </w:r>
      <w:r>
        <w:rPr>
          <w:rFonts w:ascii="Arial" w:cs="Arial" w:eastAsia="Arial" w:hAnsi="Arial"/>
          <w:sz w:val="11"/>
          <w:szCs w:val="11"/>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1"/>
          <w:szCs w:val="11"/>
          <w:u w:val="single" w:color="auto"/>
          <w:color w:val="auto"/>
        </w:rPr>
        <w:t>subsection (e)</w:t>
      </w:r>
      <w:r>
        <w:rPr>
          <w:rFonts w:ascii="Arial" w:cs="Arial" w:eastAsia="Arial" w:hAnsi="Arial"/>
          <w:sz w:val="11"/>
          <w:szCs w:val="11"/>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43</w:t>
      </w:r>
    </w:p>
    <w:p>
      <w:pPr>
        <w:sectPr>
          <w:pgSz w:w="11900" w:h="16838" w:orient="portrait"/>
          <w:cols w:equalWidth="0" w:num="1">
            <w:col w:w="11280"/>
          </w:cols>
          <w:pgMar w:left="300" w:top="129"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323" w:lineRule="auto"/>
        <w:tabs>
          <w:tab w:leader="none" w:pos="770"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Reimbursement</w:t>
      </w:r>
      <w:r>
        <w:rPr>
          <w:rFonts w:ascii="Arial" w:cs="Arial" w:eastAsia="Arial" w:hAnsi="Arial"/>
          <w:sz w:val="11"/>
          <w:szCs w:val="11"/>
          <w:color w:val="auto"/>
        </w:rPr>
        <w:t xml:space="preserve">.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L/C Disbursement is not less than $500,000, the Borrower may, subject to the conditions to borrowing set forth herein, request in accordance with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that such payment be financed with a Borrowing of Base Rate Revolving Credit Loans or Swing Line Loan in an equivalent amount and, to the extent so financed, the Borrower’s obligation to make such payment shall be discharged and replaced by the resulting Borrowing of Base Rate Loans or Swing Line Loan. If the Borrower fails to make such payment when due, the Administrative Agent shall notify each Revolving Credit Lender of the applicable L/C Disbursement, the payment then due from the Borrower in respect thereof (the “</w:t>
      </w:r>
      <w:r>
        <w:rPr>
          <w:rFonts w:ascii="Arial" w:cs="Arial" w:eastAsia="Arial" w:hAnsi="Arial"/>
          <w:sz w:val="11"/>
          <w:szCs w:val="11"/>
          <w:u w:val="single" w:color="auto"/>
          <w:color w:val="auto"/>
        </w:rPr>
        <w:t>Unreimbursed Amount</w:t>
      </w:r>
      <w:r>
        <w:rPr>
          <w:rFonts w:ascii="Arial" w:cs="Arial" w:eastAsia="Arial" w:hAnsi="Arial"/>
          <w:sz w:val="11"/>
          <w:szCs w:val="11"/>
          <w:color w:val="auto"/>
        </w:rPr>
        <w:t xml:space="preserve">”) and such Lender’s Applicable Percentage thereof. In such event, the Borrower shall be deemed to have requested a Revolving Credit Borrowing of Base Rate Loans to be disbursed on the date of payment by the L/C Issuer under a Letter of Credit in an amount equal to the Unreimbursed Amount, without regard to the minimum and multiples specified in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for the principal amount of Base Rate Loans, but subject to the amount of the unutilized portion of the aggregate Commitments and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(other than the delivery of a Committed Loan Notice). Any notice given by the L/C Issuer or the Administrative Agent pursuant to this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may be given by telephone if immediately confirmed in writing;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lack of such an immediate confirmation shall not affect the conclusiveness or binding effect of such notice.</w:t>
      </w:r>
    </w:p>
    <w:p>
      <w:pPr>
        <w:spacing w:after="0" w:line="298" w:lineRule="exact"/>
        <w:rPr>
          <w:rFonts w:ascii="Arial" w:cs="Arial" w:eastAsia="Arial" w:hAnsi="Arial"/>
          <w:sz w:val="11"/>
          <w:szCs w:val="11"/>
          <w:color w:val="auto"/>
        </w:rPr>
      </w:pPr>
    </w:p>
    <w:p>
      <w:pPr>
        <w:ind w:right="140" w:firstLine="498"/>
        <w:spacing w:after="0" w:line="266" w:lineRule="auto"/>
        <w:tabs>
          <w:tab w:leader="none" w:pos="793"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Obligations Absolute</w:t>
      </w:r>
      <w:r>
        <w:rPr>
          <w:rFonts w:ascii="Arial" w:cs="Arial" w:eastAsia="Arial" w:hAnsi="Arial"/>
          <w:sz w:val="14"/>
          <w:szCs w:val="14"/>
          <w:color w:val="auto"/>
        </w:rPr>
        <w:t xml:space="preserve">. The Borrower’s obligation to reimburse L/C Disbursements as provided in </w:t>
      </w:r>
      <w:r>
        <w:rPr>
          <w:rFonts w:ascii="Arial" w:cs="Arial" w:eastAsia="Arial" w:hAnsi="Arial"/>
          <w:sz w:val="14"/>
          <w:szCs w:val="14"/>
          <w:u w:val="single" w:color="auto"/>
          <w:color w:val="auto"/>
        </w:rPr>
        <w:t>subsection (f)</w:t>
      </w:r>
      <w:r>
        <w:rPr>
          <w:rFonts w:ascii="Arial" w:cs="Arial" w:eastAsia="Arial" w:hAnsi="Arial"/>
          <w:sz w:val="14"/>
          <w:szCs w:val="14"/>
          <w:color w:val="auto"/>
        </w:rPr>
        <w:t xml:space="preserve"> of this Section shall be absolute, unconditional and irrevocable, and shall be performed strictly in accordance with the terms of this Agreement under any and all circumstances whatsoever and irrespective of:</w:t>
      </w:r>
    </w:p>
    <w:p>
      <w:pPr>
        <w:spacing w:after="0" w:line="158" w:lineRule="exact"/>
        <w:rPr>
          <w:rFonts w:ascii="Arial" w:cs="Arial" w:eastAsia="Arial" w:hAnsi="Arial"/>
          <w:sz w:val="14"/>
          <w:szCs w:val="14"/>
          <w:color w:val="auto"/>
        </w:rPr>
      </w:pPr>
    </w:p>
    <w:p>
      <w:pPr>
        <w:ind w:left="1260" w:hanging="267"/>
        <w:spacing w:after="0"/>
        <w:tabs>
          <w:tab w:leader="none" w:pos="12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lack of validity or enforceability of this Agreement, any other Loan Document or any Letter of Credit, or any term or provision herein or therein;</w:t>
      </w:r>
    </w:p>
    <w:p>
      <w:pPr>
        <w:spacing w:after="0" w:line="189" w:lineRule="exact"/>
        <w:rPr>
          <w:rFonts w:ascii="Arial" w:cs="Arial" w:eastAsia="Arial" w:hAnsi="Arial"/>
          <w:sz w:val="14"/>
          <w:szCs w:val="14"/>
          <w:color w:val="auto"/>
        </w:rPr>
      </w:pPr>
    </w:p>
    <w:p>
      <w:pPr>
        <w:ind w:left="500" w:right="220" w:firstLine="493"/>
        <w:spacing w:after="0" w:line="284" w:lineRule="auto"/>
        <w:tabs>
          <w:tab w:leader="none" w:pos="13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49" w:lineRule="exact"/>
        <w:rPr>
          <w:rFonts w:ascii="Arial" w:cs="Arial" w:eastAsia="Arial" w:hAnsi="Arial"/>
          <w:sz w:val="13"/>
          <w:szCs w:val="13"/>
          <w:color w:val="auto"/>
        </w:rPr>
      </w:pPr>
    </w:p>
    <w:p>
      <w:pPr>
        <w:jc w:val="both"/>
        <w:ind w:left="500" w:right="160" w:firstLine="493"/>
        <w:spacing w:after="0" w:line="256" w:lineRule="auto"/>
        <w:tabs>
          <w:tab w:leader="none" w:pos="1339"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draft, demand, certificate or other document presented under a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65" w:lineRule="exact"/>
        <w:rPr>
          <w:rFonts w:ascii="Arial" w:cs="Arial" w:eastAsia="Arial" w:hAnsi="Arial"/>
          <w:sz w:val="14"/>
          <w:szCs w:val="14"/>
          <w:color w:val="auto"/>
        </w:rPr>
      </w:pPr>
    </w:p>
    <w:p>
      <w:pPr>
        <w:ind w:left="500" w:right="60" w:firstLine="493"/>
        <w:spacing w:after="0" w:line="266" w:lineRule="auto"/>
        <w:tabs>
          <w:tab w:leader="none" w:pos="1331" w:val="left"/>
        </w:tabs>
        <w:numPr>
          <w:ilvl w:val="1"/>
          <w:numId w:val="61"/>
        </w:numPr>
        <w:rPr>
          <w:rFonts w:ascii="Arial" w:cs="Arial" w:eastAsia="Arial" w:hAnsi="Arial"/>
          <w:sz w:val="14"/>
          <w:szCs w:val="14"/>
          <w:color w:val="auto"/>
        </w:rPr>
      </w:pPr>
      <w:r>
        <w:rPr>
          <w:rFonts w:ascii="Arial" w:cs="Arial" w:eastAsia="Arial" w:hAnsi="Arial"/>
          <w:sz w:val="14"/>
          <w:szCs w:val="14"/>
          <w:color w:val="auto"/>
        </w:rPr>
        <w:t>waiver by the L/C Issuer of any requirement that exists for the L/C Issuer’s protection and not the protection of the Borrower or any waiver by the L/C Issuer which does not in fact materially prejudice the Borrower;</w:t>
      </w:r>
    </w:p>
    <w:p>
      <w:pPr>
        <w:spacing w:after="0" w:line="158" w:lineRule="exact"/>
        <w:rPr>
          <w:rFonts w:ascii="Arial" w:cs="Arial" w:eastAsia="Arial" w:hAnsi="Arial"/>
          <w:sz w:val="14"/>
          <w:szCs w:val="14"/>
          <w:color w:val="auto"/>
        </w:rPr>
      </w:pPr>
    </w:p>
    <w:p>
      <w:pPr>
        <w:ind w:left="1300" w:hanging="307"/>
        <w:spacing w:after="0"/>
        <w:tabs>
          <w:tab w:leader="none" w:pos="13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honor of a demand for payment presented electronically even if such Letter of Credit required that demand be in the form of a draft;</w:t>
      </w:r>
    </w:p>
    <w:p>
      <w:pPr>
        <w:spacing w:after="0" w:line="189" w:lineRule="exact"/>
        <w:rPr>
          <w:rFonts w:ascii="Arial" w:cs="Arial" w:eastAsia="Arial" w:hAnsi="Arial"/>
          <w:sz w:val="14"/>
          <w:szCs w:val="14"/>
          <w:color w:val="auto"/>
        </w:rPr>
      </w:pPr>
    </w:p>
    <w:p>
      <w:pPr>
        <w:ind w:left="500" w:right="100" w:firstLine="493"/>
        <w:spacing w:after="0" w:line="266" w:lineRule="auto"/>
        <w:tabs>
          <w:tab w:leader="none" w:pos="1331"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44</w:t>
      </w:r>
    </w:p>
    <w:p>
      <w:pPr>
        <w:sectPr>
          <w:pgSz w:w="11900" w:h="16838" w:orient="portrait"/>
          <w:cols w:equalWidth="0" w:num="1">
            <w:col w:w="11280"/>
          </w:cols>
          <w:pgMar w:left="300" w:top="129"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358" w:lineRule="auto"/>
        <w:tabs>
          <w:tab w:leader="none" w:pos="1369" w:val="left"/>
        </w:tabs>
        <w:numPr>
          <w:ilvl w:val="0"/>
          <w:numId w:val="62"/>
        </w:numPr>
        <w:rPr>
          <w:rFonts w:ascii="Arial" w:cs="Arial" w:eastAsia="Arial" w:hAnsi="Arial"/>
          <w:sz w:val="11"/>
          <w:szCs w:val="11"/>
          <w:color w:val="auto"/>
        </w:rPr>
      </w:pPr>
      <w:r>
        <w:rPr>
          <w:rFonts w:ascii="Arial" w:cs="Arial" w:eastAsia="Arial" w:hAnsi="Arial"/>
          <w:sz w:val="11"/>
          <w:szCs w:val="11"/>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14" w:lineRule="exact"/>
        <w:rPr>
          <w:rFonts w:ascii="Arial" w:cs="Arial" w:eastAsia="Arial" w:hAnsi="Arial"/>
          <w:sz w:val="11"/>
          <w:szCs w:val="11"/>
          <w:color w:val="auto"/>
        </w:rPr>
      </w:pPr>
    </w:p>
    <w:p>
      <w:pPr>
        <w:ind w:left="500" w:right="480" w:firstLine="493"/>
        <w:spacing w:after="0" w:line="266" w:lineRule="auto"/>
        <w:tabs>
          <w:tab w:leader="none" w:pos="1407"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any other event or circumstance whatsoever, whether or not similar to any of the foregoing, that might, but for the provisions of this Section, constitute a legal or equitable discharge of, or provide a right of setoff against, the Borrower’s obligations hereunder.</w:t>
      </w:r>
    </w:p>
    <w:p>
      <w:pPr>
        <w:spacing w:after="0" w:line="159" w:lineRule="exact"/>
        <w:rPr>
          <w:sz w:val="20"/>
          <w:szCs w:val="20"/>
          <w:color w:val="auto"/>
        </w:rPr>
      </w:pPr>
    </w:p>
    <w:p>
      <w:pPr>
        <w:ind w:right="360" w:firstLine="495"/>
        <w:spacing w:after="0" w:line="256" w:lineRule="auto"/>
        <w:rPr>
          <w:sz w:val="20"/>
          <w:szCs w:val="20"/>
          <w:color w:val="auto"/>
        </w:rPr>
      </w:pPr>
      <w:r>
        <w:rPr>
          <w:rFonts w:ascii="Arial" w:cs="Arial" w:eastAsia="Arial" w:hAnsi="Arial"/>
          <w:sz w:val="14"/>
          <w:szCs w:val="14"/>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66" w:lineRule="exact"/>
        <w:rPr>
          <w:sz w:val="20"/>
          <w:szCs w:val="20"/>
          <w:color w:val="auto"/>
        </w:rPr>
      </w:pPr>
    </w:p>
    <w:p>
      <w:pPr>
        <w:ind w:right="40" w:firstLine="495"/>
        <w:spacing w:after="0" w:line="270" w:lineRule="auto"/>
        <w:rPr>
          <w:sz w:val="20"/>
          <w:szCs w:val="20"/>
          <w:color w:val="auto"/>
        </w:rPr>
      </w:pPr>
      <w:r>
        <w:rPr>
          <w:rFonts w:ascii="Arial" w:cs="Arial" w:eastAsia="Arial" w:hAnsi="Arial"/>
          <w:sz w:val="13"/>
          <w:szCs w:val="13"/>
          <w:color w:val="auto"/>
        </w:rPr>
        <w:t xml:space="preserve">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60" w:lineRule="exact"/>
        <w:rPr>
          <w:sz w:val="20"/>
          <w:szCs w:val="20"/>
          <w:color w:val="auto"/>
        </w:rPr>
      </w:pPr>
    </w:p>
    <w:p>
      <w:pPr>
        <w:ind w:left="500" w:right="420" w:firstLine="493"/>
        <w:spacing w:after="0" w:line="266" w:lineRule="auto"/>
        <w:tabs>
          <w:tab w:leader="none" w:pos="126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L/C Issuer may replace a purportedly lost, stolen, or destroyed original Letter of Credit or missing amendment thereto with a certified true copy marked as such or waive a requirement for its presentation;</w:t>
      </w:r>
    </w:p>
    <w:p>
      <w:pPr>
        <w:spacing w:after="0" w:line="158" w:lineRule="exact"/>
        <w:rPr>
          <w:rFonts w:ascii="Arial" w:cs="Arial" w:eastAsia="Arial" w:hAnsi="Arial"/>
          <w:sz w:val="14"/>
          <w:szCs w:val="14"/>
          <w:color w:val="auto"/>
        </w:rPr>
      </w:pPr>
    </w:p>
    <w:p>
      <w:pPr>
        <w:jc w:val="both"/>
        <w:ind w:left="500" w:right="240" w:firstLine="493"/>
        <w:spacing w:after="0" w:line="256" w:lineRule="auto"/>
        <w:tabs>
          <w:tab w:leader="none" w:pos="1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65" w:lineRule="exact"/>
        <w:rPr>
          <w:rFonts w:ascii="Arial" w:cs="Arial" w:eastAsia="Arial" w:hAnsi="Arial"/>
          <w:sz w:val="14"/>
          <w:szCs w:val="14"/>
          <w:color w:val="auto"/>
        </w:rPr>
      </w:pPr>
    </w:p>
    <w:p>
      <w:pPr>
        <w:ind w:left="500" w:right="320" w:firstLine="493"/>
        <w:spacing w:after="0" w:line="266" w:lineRule="auto"/>
        <w:tabs>
          <w:tab w:leader="none" w:pos="133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L/C Issuer shall have the right, in its sole discretion, to decline to accept such documents and to make such payment if such documents are not in strict compliance with the terms of such Letter of Credit; and</w:t>
      </w:r>
    </w:p>
    <w:p>
      <w:pPr>
        <w:spacing w:after="0" w:line="158" w:lineRule="exact"/>
        <w:rPr>
          <w:rFonts w:ascii="Arial" w:cs="Arial" w:eastAsia="Arial" w:hAnsi="Arial"/>
          <w:sz w:val="14"/>
          <w:szCs w:val="14"/>
          <w:color w:val="auto"/>
        </w:rPr>
      </w:pPr>
    </w:p>
    <w:p>
      <w:pPr>
        <w:ind w:left="500" w:right="100" w:firstLine="493"/>
        <w:spacing w:after="0" w:line="305" w:lineRule="auto"/>
        <w:tabs>
          <w:tab w:leader="none" w:pos="133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45</w:t>
      </w:r>
    </w:p>
    <w:p>
      <w:pPr>
        <w:sectPr>
          <w:pgSz w:w="11900" w:h="16838" w:orient="portrait"/>
          <w:cols w:equalWidth="0" w:num="1">
            <w:col w:w="11280"/>
          </w:cols>
          <w:pgMar w:left="300" w:top="129"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95"/>
        <w:spacing w:after="0" w:line="251" w:lineRule="auto"/>
        <w:rPr>
          <w:sz w:val="20"/>
          <w:szCs w:val="20"/>
          <w:color w:val="auto"/>
        </w:rPr>
      </w:pPr>
      <w:r>
        <w:rPr>
          <w:rFonts w:ascii="Arial" w:cs="Arial" w:eastAsia="Arial" w:hAnsi="Arial"/>
          <w:sz w:val="14"/>
          <w:szCs w:val="14"/>
          <w:color w:val="auto"/>
        </w:rPr>
        <w:t>Without limiting the foregoing, none of the Administrative Agent, the Lenders, the L/C Issuer, or any of their Related Parties shall have any liability or responsibility by reason of (i) any presentation that includes forged or fraudulent documents or that is otherwise affected by the fraudulent, bad faith, or illegal conduct of the beneficiary or other Person, (ii) the L/C Issuer declining to take-up documents and make payment (A) against documents that are fraudulent, forged, or for other reasons by which that it is entitled not to honor or (B) following the Borrower’s waiver of discrepancies with respect to such documents or request for honor of such documents or (iii) the L/C Issuer retaining proceeds of a Letter of Credit based on an apparently applicable attachment order, blocking regulation, or third-party claim notified to the L/C Issuer.</w:t>
      </w:r>
    </w:p>
    <w:p>
      <w:pPr>
        <w:spacing w:after="0" w:line="169" w:lineRule="exact"/>
        <w:rPr>
          <w:sz w:val="20"/>
          <w:szCs w:val="20"/>
          <w:color w:val="auto"/>
        </w:rPr>
      </w:pPr>
    </w:p>
    <w:p>
      <w:pPr>
        <w:ind w:firstLine="498"/>
        <w:spacing w:after="0" w:line="250" w:lineRule="auto"/>
        <w:tabs>
          <w:tab w:leader="none" w:pos="793"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Applicability of ISP and UCP; Limitation of Liability</w:t>
      </w:r>
      <w:r>
        <w:rPr>
          <w:rFonts w:ascii="Arial" w:cs="Arial" w:eastAsia="Arial" w:hAnsi="Arial"/>
          <w:sz w:val="14"/>
          <w:szCs w:val="14"/>
          <w:color w:val="auto"/>
        </w:rPr>
        <w:t>. Unless otherwise expressly agreed by the L/C Issuer and the Borrower when a Letter of Credit is issued by it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9" w:lineRule="exact"/>
        <w:rPr>
          <w:rFonts w:ascii="Arial" w:cs="Arial" w:eastAsia="Arial" w:hAnsi="Arial"/>
          <w:sz w:val="14"/>
          <w:szCs w:val="14"/>
          <w:color w:val="auto"/>
        </w:rPr>
      </w:pPr>
    </w:p>
    <w:p>
      <w:pPr>
        <w:ind w:firstLine="498"/>
        <w:spacing w:after="0" w:line="252" w:lineRule="auto"/>
        <w:tabs>
          <w:tab w:leader="none" w:pos="762"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Actions of L/C Issuer</w:t>
      </w:r>
      <w:r>
        <w:rPr>
          <w:rFonts w:ascii="Arial" w:cs="Arial" w:eastAsia="Arial" w:hAnsi="Arial"/>
          <w:sz w:val="14"/>
          <w:szCs w:val="14"/>
          <w:color w:val="auto"/>
        </w:rPr>
        <w:t xml:space="preserve">. 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included the L/C Issuer with respect to such acts or omissions, and (B) as additionally provided herein with respect to the L/C Issuer.</w:t>
      </w:r>
    </w:p>
    <w:p>
      <w:pPr>
        <w:spacing w:after="0" w:line="169" w:lineRule="exact"/>
        <w:rPr>
          <w:rFonts w:ascii="Arial" w:cs="Arial" w:eastAsia="Arial" w:hAnsi="Arial"/>
          <w:sz w:val="14"/>
          <w:szCs w:val="14"/>
          <w:color w:val="auto"/>
        </w:rPr>
      </w:pPr>
    </w:p>
    <w:p>
      <w:pPr>
        <w:ind w:right="40" w:firstLine="498"/>
        <w:spacing w:after="0" w:line="271" w:lineRule="auto"/>
        <w:tabs>
          <w:tab w:leader="none" w:pos="762"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 The Borrower shall pay to the Administrative Agent for the account of each Revolving Credit Lender in accordance with its Applicable Percentage a Letter of Credit fee (the “</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for each Letter of Credit equal to the Applicable Rate times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 1.06</w:t>
      </w:r>
      <w:r>
        <w:rPr>
          <w:rFonts w:ascii="Arial" w:cs="Arial" w:eastAsia="Arial" w:hAnsi="Arial"/>
          <w:sz w:val="13"/>
          <w:szCs w:val="13"/>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59" w:lineRule="exact"/>
        <w:rPr>
          <w:rFonts w:ascii="Arial" w:cs="Arial" w:eastAsia="Arial" w:hAnsi="Arial"/>
          <w:sz w:val="13"/>
          <w:szCs w:val="13"/>
          <w:color w:val="auto"/>
        </w:rPr>
      </w:pPr>
    </w:p>
    <w:p>
      <w:pPr>
        <w:ind w:firstLine="498"/>
        <w:spacing w:after="0" w:line="328" w:lineRule="auto"/>
        <w:tabs>
          <w:tab w:leader="none" w:pos="793" w:val="left"/>
        </w:tabs>
        <w:numPr>
          <w:ilvl w:val="0"/>
          <w:numId w:val="64"/>
        </w:numPr>
        <w:rPr>
          <w:rFonts w:ascii="Arial" w:cs="Arial" w:eastAsia="Arial" w:hAnsi="Arial"/>
          <w:sz w:val="11"/>
          <w:szCs w:val="11"/>
          <w:color w:val="auto"/>
        </w:rPr>
      </w:pPr>
      <w:r>
        <w:rPr>
          <w:rFonts w:ascii="Arial" w:cs="Arial" w:eastAsia="Arial" w:hAnsi="Arial"/>
          <w:sz w:val="11"/>
          <w:szCs w:val="11"/>
          <w:u w:val="single" w:color="auto"/>
          <w:color w:val="auto"/>
        </w:rPr>
        <w:t>Fronting Fee and Documentary and Processing Charges Payable to L/C Issuer</w:t>
      </w:r>
      <w:r>
        <w:rPr>
          <w:rFonts w:ascii="Arial" w:cs="Arial" w:eastAsia="Arial" w:hAnsi="Arial"/>
          <w:sz w:val="11"/>
          <w:szCs w:val="11"/>
          <w:color w:val="auto"/>
        </w:rPr>
        <w:t xml:space="preserve">. The Borrower shall pay directly to the L/C Issuer for its own account a fronting fee with respect to each Letter of Credit, at the rate per annum equal to the percentage separately agreed upon between the Borrower and the L/C Issuer,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1"/>
          <w:szCs w:val="11"/>
          <w:u w:val="single" w:color="auto"/>
          <w:color w:val="auto"/>
        </w:rPr>
        <w:t>Section 1.06</w:t>
      </w:r>
      <w:r>
        <w:rPr>
          <w:rFonts w:ascii="Arial" w:cs="Arial" w:eastAsia="Arial" w:hAnsi="Arial"/>
          <w:sz w:val="11"/>
          <w:szCs w:val="11"/>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46</w:t>
      </w:r>
    </w:p>
    <w:p>
      <w:pPr>
        <w:sectPr>
          <w:pgSz w:w="11900" w:h="16838" w:orient="portrait"/>
          <w:cols w:equalWidth="0" w:num="1">
            <w:col w:w="11280"/>
          </w:cols>
          <w:pgMar w:left="300" w:top="129"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00" w:firstLine="498"/>
        <w:spacing w:after="0" w:line="252" w:lineRule="auto"/>
        <w:tabs>
          <w:tab w:leader="none" w:pos="762"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Disbursement Procedures</w:t>
      </w:r>
      <w:r>
        <w:rPr>
          <w:rFonts w:ascii="Arial" w:cs="Arial" w:eastAsia="Arial" w:hAnsi="Arial"/>
          <w:sz w:val="14"/>
          <w:szCs w:val="14"/>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failure to give or delay in giving such notice shall not relieve the Borrower of its obligation to reimburse the L/C Issuer and the Lenders with respect to any such L/C Disbursement.</w:t>
      </w:r>
    </w:p>
    <w:p>
      <w:pPr>
        <w:spacing w:after="0" w:line="169" w:lineRule="exact"/>
        <w:rPr>
          <w:rFonts w:ascii="Arial" w:cs="Arial" w:eastAsia="Arial" w:hAnsi="Arial"/>
          <w:sz w:val="14"/>
          <w:szCs w:val="14"/>
          <w:color w:val="auto"/>
        </w:rPr>
      </w:pPr>
    </w:p>
    <w:p>
      <w:pPr>
        <w:jc w:val="both"/>
        <w:ind w:right="120" w:firstLine="498"/>
        <w:spacing w:after="0" w:line="274" w:lineRule="auto"/>
        <w:tabs>
          <w:tab w:leader="none" w:pos="831"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Interim Interest</w:t>
      </w:r>
      <w:r>
        <w:rPr>
          <w:rFonts w:ascii="Arial" w:cs="Arial" w:eastAsia="Arial" w:hAnsi="Arial"/>
          <w:sz w:val="13"/>
          <w:szCs w:val="13"/>
          <w:color w:val="auto"/>
        </w:rPr>
        <w:t xml:space="preserve">. If the L/C Issuer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fails to reimburse such L/C Disbursement when due pursuant to </w:t>
      </w:r>
      <w:r>
        <w:rPr>
          <w:rFonts w:ascii="Arial" w:cs="Arial" w:eastAsia="Arial" w:hAnsi="Arial"/>
          <w:sz w:val="13"/>
          <w:szCs w:val="13"/>
          <w:u w:val="single" w:color="auto"/>
          <w:color w:val="auto"/>
        </w:rPr>
        <w:t>subsection (f)</w:t>
      </w:r>
      <w:r>
        <w:rPr>
          <w:rFonts w:ascii="Arial" w:cs="Arial" w:eastAsia="Arial" w:hAnsi="Arial"/>
          <w:sz w:val="13"/>
          <w:szCs w:val="13"/>
          <w:color w:val="auto"/>
        </w:rPr>
        <w:t xml:space="preserve"> of this Section, then </w:t>
      </w:r>
      <w:r>
        <w:rPr>
          <w:rFonts w:ascii="Arial" w:cs="Arial" w:eastAsia="Arial" w:hAnsi="Arial"/>
          <w:sz w:val="13"/>
          <w:szCs w:val="13"/>
          <w:u w:val="single" w:color="auto"/>
          <w:color w:val="auto"/>
        </w:rPr>
        <w:t>Section 2.08(b)</w:t>
      </w:r>
      <w:r>
        <w:rPr>
          <w:rFonts w:ascii="Arial" w:cs="Arial" w:eastAsia="Arial" w:hAnsi="Arial"/>
          <w:sz w:val="13"/>
          <w:szCs w:val="13"/>
          <w:color w:val="auto"/>
        </w:rPr>
        <w:t xml:space="preserve"> shall apply. Interest accrued pursuant to this subsection shall be for account of the L/C Issuer, except that interest accrued on and after the date of payment by any Lender pursuant to </w:t>
      </w:r>
      <w:r>
        <w:rPr>
          <w:rFonts w:ascii="Arial" w:cs="Arial" w:eastAsia="Arial" w:hAnsi="Arial"/>
          <w:sz w:val="13"/>
          <w:szCs w:val="13"/>
          <w:u w:val="single" w:color="auto"/>
          <w:color w:val="auto"/>
        </w:rPr>
        <w:t>subsection (f)</w:t>
      </w:r>
      <w:r>
        <w:rPr>
          <w:rFonts w:ascii="Arial" w:cs="Arial" w:eastAsia="Arial" w:hAnsi="Arial"/>
          <w:sz w:val="13"/>
          <w:szCs w:val="13"/>
          <w:color w:val="auto"/>
        </w:rPr>
        <w:t xml:space="preserve"> of this Section to reimburse the L/C Issuer shall be for account of such Lender to the extent of such payment.</w:t>
      </w:r>
    </w:p>
    <w:p>
      <w:pPr>
        <w:spacing w:after="0" w:line="157" w:lineRule="exact"/>
        <w:rPr>
          <w:rFonts w:ascii="Arial" w:cs="Arial" w:eastAsia="Arial" w:hAnsi="Arial"/>
          <w:sz w:val="13"/>
          <w:szCs w:val="13"/>
          <w:color w:val="auto"/>
        </w:rPr>
      </w:pPr>
    </w:p>
    <w:p>
      <w:pPr>
        <w:ind w:firstLine="498"/>
        <w:spacing w:after="0" w:line="249" w:lineRule="auto"/>
        <w:tabs>
          <w:tab w:leader="none" w:pos="793"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Replacement of the L/C Issuer</w:t>
      </w:r>
      <w:r>
        <w:rPr>
          <w:rFonts w:ascii="Arial" w:cs="Arial" w:eastAsia="Arial" w:hAnsi="Arial"/>
          <w:sz w:val="14"/>
          <w:szCs w:val="14"/>
          <w:color w:val="auto"/>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Arial" w:cs="Arial" w:eastAsia="Arial" w:hAnsi="Arial"/>
          <w:sz w:val="14"/>
          <w:szCs w:val="14"/>
          <w:u w:val="single" w:color="auto"/>
          <w:color w:val="auto"/>
        </w:rPr>
        <w:t>Section 2.03(j)</w:t>
      </w:r>
      <w:r>
        <w:rPr>
          <w:rFonts w:ascii="Arial" w:cs="Arial" w:eastAsia="Arial" w:hAnsi="Arial"/>
          <w:sz w:val="14"/>
          <w:szCs w:val="14"/>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71" w:lineRule="exact"/>
        <w:rPr>
          <w:rFonts w:ascii="Arial" w:cs="Arial" w:eastAsia="Arial" w:hAnsi="Arial"/>
          <w:sz w:val="14"/>
          <w:szCs w:val="14"/>
          <w:color w:val="auto"/>
        </w:rPr>
      </w:pPr>
    </w:p>
    <w:p>
      <w:pPr>
        <w:ind w:firstLine="498"/>
        <w:spacing w:after="0" w:line="327" w:lineRule="auto"/>
        <w:tabs>
          <w:tab w:leader="none" w:pos="793" w:val="left"/>
        </w:tabs>
        <w:numPr>
          <w:ilvl w:val="0"/>
          <w:numId w:val="65"/>
        </w:numPr>
        <w:rPr>
          <w:rFonts w:ascii="Arial" w:cs="Arial" w:eastAsia="Arial" w:hAnsi="Arial"/>
          <w:sz w:val="11"/>
          <w:szCs w:val="11"/>
          <w:color w:val="auto"/>
        </w:rPr>
      </w:pPr>
      <w:r>
        <w:rPr>
          <w:rFonts w:ascii="Arial" w:cs="Arial" w:eastAsia="Arial" w:hAnsi="Arial"/>
          <w:sz w:val="11"/>
          <w:szCs w:val="11"/>
          <w:u w:val="single" w:color="auto"/>
          <w:color w:val="auto"/>
        </w:rPr>
        <w:t>Cash Collateralization</w:t>
      </w:r>
      <w:r>
        <w:rPr>
          <w:rFonts w:ascii="Arial" w:cs="Arial" w:eastAsia="Arial" w:hAnsi="Arial"/>
          <w:sz w:val="11"/>
          <w:szCs w:val="11"/>
          <w:color w:val="auto"/>
        </w:rPr>
        <w:t xml:space="preserve">. If any Event of Default shall occur and be continuing, on the Business Day that the Borrower receives notice from the Administrative Agent or the Required Lenders (or, if the maturity of the Loans has been accelerated, Revolving Credit Lenders with L/C Obligations representing at least 66-2/3% of the total L/C Obligations) demanding the deposit of Cash Collateral pursuant to this </w:t>
      </w:r>
      <w:r>
        <w:rPr>
          <w:rFonts w:ascii="Arial" w:cs="Arial" w:eastAsia="Arial" w:hAnsi="Arial"/>
          <w:sz w:val="11"/>
          <w:szCs w:val="11"/>
          <w:u w:val="single" w:color="auto"/>
          <w:color w:val="auto"/>
        </w:rPr>
        <w:t>subsection (o)</w:t>
      </w:r>
      <w:r>
        <w:rPr>
          <w:rFonts w:ascii="Arial" w:cs="Arial" w:eastAsia="Arial" w:hAnsi="Arial"/>
          <w:sz w:val="11"/>
          <w:szCs w:val="11"/>
          <w:color w:val="auto"/>
        </w:rPr>
        <w:t>, the Borrower shall immediately deposit into an account established and maintained on the books and records of the Administrative Agent (the “</w:t>
      </w:r>
      <w:r>
        <w:rPr>
          <w:rFonts w:ascii="Arial" w:cs="Arial" w:eastAsia="Arial" w:hAnsi="Arial"/>
          <w:sz w:val="11"/>
          <w:szCs w:val="11"/>
          <w:u w:val="single" w:color="auto"/>
          <w:color w:val="auto"/>
        </w:rPr>
        <w:t>Collateral Account</w:t>
      </w:r>
      <w:r>
        <w:rPr>
          <w:rFonts w:ascii="Arial" w:cs="Arial" w:eastAsia="Arial" w:hAnsi="Arial"/>
          <w:sz w:val="11"/>
          <w:szCs w:val="11"/>
          <w:color w:val="auto"/>
        </w:rPr>
        <w:t xml:space="preserve">”) an amount in cash equal to 100% of the total L/C Obligations as of such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accrued and unpaid interest thereon,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1"/>
          <w:szCs w:val="11"/>
          <w:u w:val="single" w:color="auto"/>
          <w:color w:val="auto"/>
        </w:rPr>
        <w:t>subsection (f)</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Section 8.01</w:t>
      </w:r>
      <w:r>
        <w:rPr>
          <w:rFonts w:ascii="Arial" w:cs="Arial" w:eastAsia="Arial" w:hAnsi="Arial"/>
          <w:sz w:val="11"/>
          <w:szCs w:val="11"/>
          <w:color w:val="auto"/>
        </w:rPr>
        <w:t xml:space="preserve">. Such deposit shall be held by the Administrative Agent as collateral for the payment and performance of the obligations of the Borrower under this Agreement. In addition, and without limiting the foregoing or </w:t>
      </w:r>
      <w:r>
        <w:rPr>
          <w:rFonts w:ascii="Arial" w:cs="Arial" w:eastAsia="Arial" w:hAnsi="Arial"/>
          <w:sz w:val="11"/>
          <w:szCs w:val="11"/>
          <w:u w:val="single" w:color="auto"/>
          <w:color w:val="auto"/>
        </w:rPr>
        <w:t>subsection (d)</w:t>
      </w:r>
      <w:r>
        <w:rPr>
          <w:rFonts w:ascii="Arial" w:cs="Arial" w:eastAsia="Arial" w:hAnsi="Arial"/>
          <w:sz w:val="11"/>
          <w:szCs w:val="11"/>
          <w:color w:val="auto"/>
        </w:rPr>
        <w:t xml:space="preserve"> of this Section, if any L/C Obligations remain outstanding after the expiration date specified in said </w:t>
      </w:r>
      <w:r>
        <w:rPr>
          <w:rFonts w:ascii="Arial" w:cs="Arial" w:eastAsia="Arial" w:hAnsi="Arial"/>
          <w:sz w:val="11"/>
          <w:szCs w:val="11"/>
          <w:u w:val="single" w:color="auto"/>
          <w:color w:val="auto"/>
        </w:rPr>
        <w:t>subsection (d)</w:t>
      </w:r>
      <w:r>
        <w:rPr>
          <w:rFonts w:ascii="Arial" w:cs="Arial" w:eastAsia="Arial" w:hAnsi="Arial"/>
          <w:sz w:val="11"/>
          <w:szCs w:val="11"/>
          <w:color w:val="auto"/>
        </w:rPr>
        <w:t xml:space="preserve">, the Borrower shall immediately deposit into the Collateral Account an amount in cash equal to 100% of such L/C Obligations as of such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47</w:t>
      </w:r>
    </w:p>
    <w:p>
      <w:pPr>
        <w:sectPr>
          <w:pgSz w:w="11900" w:h="16838" w:orient="portrait"/>
          <w:cols w:equalWidth="0" w:num="1">
            <w:col w:w="11280"/>
          </w:cols>
          <w:pgMar w:left="300" w:top="129"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5"/>
        <w:spacing w:after="0" w:line="328" w:lineRule="auto"/>
        <w:rPr>
          <w:sz w:val="20"/>
          <w:szCs w:val="20"/>
          <w:color w:val="auto"/>
        </w:rPr>
      </w:pPr>
      <w:r>
        <w:rPr>
          <w:rFonts w:ascii="Arial" w:cs="Arial" w:eastAsia="Arial" w:hAnsi="Arial"/>
          <w:sz w:val="11"/>
          <w:szCs w:val="11"/>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31"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(p)</w:t>
      </w:r>
      <w:r>
        <w:rPr>
          <w:sz w:val="20"/>
          <w:szCs w:val="20"/>
          <w:color w:val="auto"/>
        </w:rPr>
        <w:tab/>
      </w:r>
      <w:r>
        <w:rPr>
          <w:rFonts w:ascii="Arial" w:cs="Arial" w:eastAsia="Arial" w:hAnsi="Arial"/>
          <w:sz w:val="11"/>
          <w:szCs w:val="11"/>
          <w:u w:val="single" w:color="auto"/>
          <w:color w:val="auto"/>
        </w:rPr>
        <w:t>Conflict with Issuer Documents</w:t>
      </w:r>
      <w:r>
        <w:rPr>
          <w:rFonts w:ascii="Arial" w:cs="Arial" w:eastAsia="Arial" w:hAnsi="Arial"/>
          <w:sz w:val="11"/>
          <w:szCs w:val="11"/>
          <w:color w:val="auto"/>
        </w:rPr>
        <w:t>. In the event of any conflict between the terms hereof and the terms of any Issuer Document, the terms hereof shall control.</w:t>
      </w:r>
    </w:p>
    <w:p>
      <w:pPr>
        <w:spacing w:after="0" w:line="186" w:lineRule="exact"/>
        <w:rPr>
          <w:sz w:val="20"/>
          <w:szCs w:val="20"/>
          <w:color w:val="auto"/>
        </w:rPr>
      </w:pPr>
    </w:p>
    <w:p>
      <w:pPr>
        <w:ind w:right="60" w:firstLine="495"/>
        <w:spacing w:after="0" w:line="326" w:lineRule="auto"/>
        <w:rPr>
          <w:sz w:val="20"/>
          <w:szCs w:val="20"/>
          <w:color w:val="auto"/>
        </w:rPr>
      </w:pPr>
      <w:r>
        <w:rPr>
          <w:rFonts w:ascii="Arial" w:cs="Arial" w:eastAsia="Arial" w:hAnsi="Arial"/>
          <w:sz w:val="11"/>
          <w:szCs w:val="11"/>
          <w:b w:val="1"/>
          <w:bCs w:val="1"/>
          <w:color w:val="auto"/>
        </w:rPr>
        <w:t>2.04 Swing Line Loans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The Swing Line</w:t>
      </w:r>
      <w:r>
        <w:rPr>
          <w:rFonts w:ascii="Arial" w:cs="Arial" w:eastAsia="Arial" w:hAnsi="Arial"/>
          <w:sz w:val="11"/>
          <w:szCs w:val="11"/>
          <w:color w:val="auto"/>
        </w:rPr>
        <w:t>. Subject to the terms and conditions set forth herein, the Swing Line Lender, in reliance upon the agreements of the other Lenders set forth in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2.04</w:t>
      </w:r>
      <w:r>
        <w:rPr>
          <w:rFonts w:ascii="Arial" w:cs="Arial" w:eastAsia="Arial" w:hAnsi="Arial"/>
          <w:sz w:val="11"/>
          <w:szCs w:val="11"/>
          <w:color w:val="auto"/>
        </w:rPr>
        <w:t>, shall make loans (each such loan, a “</w:t>
      </w:r>
      <w:r>
        <w:rPr>
          <w:rFonts w:ascii="Arial" w:cs="Arial" w:eastAsia="Arial" w:hAnsi="Arial"/>
          <w:sz w:val="11"/>
          <w:szCs w:val="11"/>
          <w:u w:val="single" w:color="auto"/>
          <w:color w:val="auto"/>
        </w:rPr>
        <w:t>Swing Line Loan</w:t>
      </w:r>
      <w:r>
        <w:rPr>
          <w:rFonts w:ascii="Arial" w:cs="Arial" w:eastAsia="Arial" w:hAnsi="Arial"/>
          <w:sz w:val="11"/>
          <w:szCs w:val="11"/>
          <w:color w:val="auto"/>
        </w:rPr>
        <w:t xml:space="preserve">”) to the Borrower from time to time on any Business Day during the Availability Period in an aggregate amount not to exceed at any time outstanding the amount of the Swing Line Sublimit;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prepay under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and reborrow under this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1"/>
          <w:szCs w:val="11"/>
          <w:u w:val="single" w:color="auto"/>
          <w:color w:val="auto"/>
        </w:rPr>
        <w:t>times</w:t>
      </w:r>
      <w:r>
        <w:rPr>
          <w:rFonts w:ascii="Arial" w:cs="Arial" w:eastAsia="Arial" w:hAnsi="Arial"/>
          <w:sz w:val="11"/>
          <w:szCs w:val="11"/>
          <w:color w:val="auto"/>
        </w:rPr>
        <w:t xml:space="preserve"> the amount of such Swing Line Loan.</w:t>
      </w:r>
    </w:p>
    <w:p>
      <w:pPr>
        <w:spacing w:after="0" w:line="300" w:lineRule="exact"/>
        <w:rPr>
          <w:sz w:val="20"/>
          <w:szCs w:val="20"/>
          <w:color w:val="auto"/>
        </w:rPr>
      </w:pPr>
    </w:p>
    <w:p>
      <w:pPr>
        <w:ind w:left="800" w:hanging="302"/>
        <w:spacing w:after="0"/>
        <w:tabs>
          <w:tab w:leader="none" w:pos="800" w:val="left"/>
        </w:tabs>
        <w:numPr>
          <w:ilvl w:val="1"/>
          <w:numId w:val="66"/>
        </w:numPr>
        <w:rPr>
          <w:rFonts w:ascii="Arial" w:cs="Arial" w:eastAsia="Arial" w:hAnsi="Arial"/>
          <w:sz w:val="11"/>
          <w:szCs w:val="11"/>
          <w:color w:val="auto"/>
        </w:rPr>
      </w:pPr>
      <w:r>
        <w:rPr>
          <w:rFonts w:ascii="Arial" w:cs="Arial" w:eastAsia="Arial" w:hAnsi="Arial"/>
          <w:sz w:val="11"/>
          <w:szCs w:val="11"/>
          <w:u w:val="single" w:color="auto"/>
          <w:color w:val="auto"/>
        </w:rPr>
        <w:t>Borrowing Procedures</w:t>
      </w:r>
      <w:r>
        <w:rPr>
          <w:rFonts w:ascii="Arial" w:cs="Arial" w:eastAsia="Arial" w:hAnsi="Arial"/>
          <w:sz w:val="11"/>
          <w:szCs w:val="11"/>
          <w:color w:val="auto"/>
        </w:rPr>
        <w:t>. Each Swing Line Borrowing shall be made upon the Borrower’s irrevocable notice to the Swing Line Lender and the Administrative Agent, which may be given by</w:t>
      </w:r>
    </w:p>
    <w:p>
      <w:pPr>
        <w:spacing w:after="0" w:line="48" w:lineRule="exact"/>
        <w:rPr>
          <w:rFonts w:ascii="Arial" w:cs="Arial" w:eastAsia="Arial" w:hAnsi="Arial"/>
          <w:sz w:val="11"/>
          <w:szCs w:val="11"/>
          <w:color w:val="auto"/>
        </w:rPr>
      </w:pPr>
    </w:p>
    <w:p>
      <w:pPr>
        <w:ind w:right="140" w:firstLine="3"/>
        <w:spacing w:after="0" w:line="268" w:lineRule="auto"/>
        <w:tabs>
          <w:tab w:leader="none" w:pos="225"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telephone or (B) by a Swing Line Loan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3"/>
          <w:szCs w:val="13"/>
          <w:u w:val="single" w:color="auto"/>
          <w:color w:val="auto"/>
        </w:rPr>
        <w:t>Section 2.04(a)</w:t>
      </w:r>
      <w:r>
        <w:rPr>
          <w:rFonts w:ascii="Arial" w:cs="Arial" w:eastAsia="Arial" w:hAnsi="Arial"/>
          <w:sz w:val="13"/>
          <w:szCs w:val="13"/>
          <w:color w:val="auto"/>
        </w:rPr>
        <w:t xml:space="preserve">, or (B) that one or more of the applicable conditions specified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48</w:t>
      </w:r>
    </w:p>
    <w:p>
      <w:pPr>
        <w:sectPr>
          <w:pgSz w:w="11900" w:h="16838" w:orient="portrait"/>
          <w:cols w:equalWidth="0" w:num="1">
            <w:col w:w="11280"/>
          </w:cols>
          <w:pgMar w:left="300" w:top="129"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2" w:hanging="282"/>
        <w:spacing w:after="0"/>
        <w:tabs>
          <w:tab w:leader="none" w:pos="282"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Refinancing of Swing Line Loans</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2" w:right="40" w:firstLine="493"/>
        <w:spacing w:after="0" w:line="269" w:lineRule="auto"/>
        <w:tabs>
          <w:tab w:leader="none" w:pos="762"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3"/>
          <w:szCs w:val="13"/>
          <w:u w:val="single" w:color="auto"/>
          <w:color w:val="auto"/>
        </w:rPr>
        <w:t>Section 2.04(c)(ii)</w:t>
      </w:r>
      <w:r>
        <w:rPr>
          <w:rFonts w:ascii="Arial" w:cs="Arial" w:eastAsia="Arial" w:hAnsi="Arial"/>
          <w:sz w:val="13"/>
          <w:szCs w:val="13"/>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60" w:lineRule="exact"/>
        <w:rPr>
          <w:rFonts w:ascii="Arial" w:cs="Arial" w:eastAsia="Arial" w:hAnsi="Arial"/>
          <w:sz w:val="13"/>
          <w:szCs w:val="13"/>
          <w:color w:val="auto"/>
        </w:rPr>
      </w:pPr>
    </w:p>
    <w:p>
      <w:pPr>
        <w:ind w:left="2" w:firstLine="493"/>
        <w:spacing w:after="0" w:line="252" w:lineRule="auto"/>
        <w:tabs>
          <w:tab w:leader="none" w:pos="803" w:val="left"/>
        </w:tabs>
        <w:numPr>
          <w:ilvl w:val="1"/>
          <w:numId w:val="68"/>
        </w:numPr>
        <w:rPr>
          <w:rFonts w:ascii="Arial" w:cs="Arial" w:eastAsia="Arial" w:hAnsi="Arial"/>
          <w:sz w:val="14"/>
          <w:szCs w:val="14"/>
          <w:color w:val="auto"/>
        </w:rPr>
      </w:pPr>
      <w:r>
        <w:rPr>
          <w:rFonts w:ascii="Arial" w:cs="Arial" w:eastAsia="Arial" w:hAnsi="Arial"/>
          <w:sz w:val="14"/>
          <w:szCs w:val="14"/>
          <w:color w:val="auto"/>
        </w:rPr>
        <w:t xml:space="preserve">If for any reason any Swing Line Loan cannot be refinanced by such a Revolving Credit Borrowing in accordance with </w:t>
      </w:r>
      <w:r>
        <w:rPr>
          <w:rFonts w:ascii="Arial" w:cs="Arial" w:eastAsia="Arial" w:hAnsi="Arial"/>
          <w:sz w:val="14"/>
          <w:szCs w:val="14"/>
          <w:u w:val="single" w:color="auto"/>
          <w:color w:val="auto"/>
        </w:rPr>
        <w:t>Section 2.04(c)(i)</w:t>
      </w:r>
      <w:r>
        <w:rPr>
          <w:rFonts w:ascii="Arial" w:cs="Arial" w:eastAsia="Arial" w:hAnsi="Arial"/>
          <w:sz w:val="14"/>
          <w:szCs w:val="14"/>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4"/>
          <w:szCs w:val="14"/>
          <w:u w:val="single" w:color="auto"/>
          <w:color w:val="auto"/>
        </w:rPr>
        <w:t>Section 2.04(c)(i)</w:t>
      </w:r>
      <w:r>
        <w:rPr>
          <w:rFonts w:ascii="Arial" w:cs="Arial" w:eastAsia="Arial" w:hAnsi="Arial"/>
          <w:sz w:val="14"/>
          <w:szCs w:val="14"/>
          <w:color w:val="auto"/>
        </w:rPr>
        <w:t xml:space="preserve"> shall be deemed payment in respect of such participation.</w:t>
      </w:r>
    </w:p>
    <w:p>
      <w:pPr>
        <w:spacing w:after="0" w:line="169" w:lineRule="exact"/>
        <w:rPr>
          <w:rFonts w:ascii="Arial" w:cs="Arial" w:eastAsia="Arial" w:hAnsi="Arial"/>
          <w:sz w:val="14"/>
          <w:szCs w:val="14"/>
          <w:color w:val="auto"/>
        </w:rPr>
      </w:pPr>
    </w:p>
    <w:p>
      <w:pPr>
        <w:ind w:left="2" w:right="60" w:firstLine="493"/>
        <w:spacing w:after="0" w:line="270" w:lineRule="auto"/>
        <w:tabs>
          <w:tab w:leader="none" w:pos="841"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by the time specified in </w:t>
      </w:r>
      <w:r>
        <w:rPr>
          <w:rFonts w:ascii="Arial" w:cs="Arial" w:eastAsia="Arial" w:hAnsi="Arial"/>
          <w:sz w:val="13"/>
          <w:szCs w:val="13"/>
          <w:u w:val="single" w:color="auto"/>
          <w:color w:val="auto"/>
        </w:rPr>
        <w:t>Section 2.04(c)(i)</w:t>
      </w:r>
      <w:r>
        <w:rPr>
          <w:rFonts w:ascii="Arial" w:cs="Arial" w:eastAsia="Arial" w:hAnsi="Arial"/>
          <w:sz w:val="13"/>
          <w:szCs w:val="13"/>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3"/>
          <w:szCs w:val="13"/>
          <w:u w:val="single" w:color="auto"/>
          <w:color w:val="auto"/>
        </w:rPr>
        <w:t>subsection (iii)</w:t>
      </w:r>
      <w:r>
        <w:rPr>
          <w:rFonts w:ascii="Arial" w:cs="Arial" w:eastAsia="Arial" w:hAnsi="Arial"/>
          <w:sz w:val="13"/>
          <w:szCs w:val="13"/>
          <w:color w:val="auto"/>
        </w:rPr>
        <w:t xml:space="preserve"> shall be conclusive absent manifest error.</w:t>
      </w:r>
    </w:p>
    <w:p>
      <w:pPr>
        <w:spacing w:after="0" w:line="160" w:lineRule="exact"/>
        <w:rPr>
          <w:rFonts w:ascii="Arial" w:cs="Arial" w:eastAsia="Arial" w:hAnsi="Arial"/>
          <w:sz w:val="13"/>
          <w:szCs w:val="13"/>
          <w:color w:val="auto"/>
        </w:rPr>
      </w:pPr>
    </w:p>
    <w:p>
      <w:pPr>
        <w:ind w:left="2" w:firstLine="493"/>
        <w:spacing w:after="0" w:line="335" w:lineRule="auto"/>
        <w:tabs>
          <w:tab w:leader="none" w:pos="833" w:val="left"/>
        </w:tabs>
        <w:numPr>
          <w:ilvl w:val="1"/>
          <w:numId w:val="68"/>
        </w:numPr>
        <w:rPr>
          <w:rFonts w:ascii="Arial" w:cs="Arial" w:eastAsia="Arial" w:hAnsi="Arial"/>
          <w:sz w:val="11"/>
          <w:szCs w:val="11"/>
          <w:color w:val="auto"/>
        </w:rPr>
      </w:pPr>
      <w:r>
        <w:rPr>
          <w:rFonts w:ascii="Arial" w:cs="Arial" w:eastAsia="Arial" w:hAnsi="Arial"/>
          <w:sz w:val="11"/>
          <w:szCs w:val="11"/>
          <w:color w:val="auto"/>
        </w:rPr>
        <w:t xml:space="preserve">Each Revolving Credit Lender’s obligation to make Revolving Credit Loans or to purchase and fund risk participations in Swing Line Loans pursuant to this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each Revolving Credit Lender’s obligation to make Revolving Credit Loans pursuant to this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is subject to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No such funding of risk participations shall relieve or otherwise impair the obligation of the Borrower to repay Swing Line Loans,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78"/>
        <w:spacing w:after="0"/>
        <w:rPr>
          <w:sz w:val="20"/>
          <w:szCs w:val="20"/>
          <w:color w:val="auto"/>
        </w:rPr>
      </w:pPr>
      <w:r>
        <w:rPr>
          <w:rFonts w:ascii="Arial" w:cs="Arial" w:eastAsia="Arial" w:hAnsi="Arial"/>
          <w:sz w:val="11"/>
          <w:szCs w:val="11"/>
          <w:color w:val="auto"/>
        </w:rPr>
        <w:t>49</w:t>
      </w:r>
    </w:p>
    <w:p>
      <w:pPr>
        <w:sectPr>
          <w:pgSz w:w="11900" w:h="16838" w:orient="portrait"/>
          <w:cols w:equalWidth="0" w:num="1">
            <w:col w:w="10782"/>
          </w:cols>
          <w:pgMar w:left="798" w:top="129"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0" w:hanging="302"/>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Repayment of Participations</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500" w:right="240" w:firstLine="493"/>
        <w:spacing w:after="0" w:line="256" w:lineRule="auto"/>
        <w:tabs>
          <w:tab w:leader="none" w:pos="1255" w:val="left"/>
        </w:tabs>
        <w:numPr>
          <w:ilvl w:val="1"/>
          <w:numId w:val="69"/>
        </w:numPr>
        <w:rPr>
          <w:rFonts w:ascii="Arial" w:cs="Arial" w:eastAsia="Arial" w:hAnsi="Arial"/>
          <w:sz w:val="14"/>
          <w:szCs w:val="14"/>
          <w:color w:val="auto"/>
        </w:rPr>
      </w:pPr>
      <w:r>
        <w:rPr>
          <w:rFonts w:ascii="Arial" w:cs="Arial" w:eastAsia="Arial" w:hAnsi="Arial"/>
          <w:sz w:val="14"/>
          <w:szCs w:val="14"/>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65" w:lineRule="exact"/>
        <w:rPr>
          <w:rFonts w:ascii="Arial" w:cs="Arial" w:eastAsia="Arial" w:hAnsi="Arial"/>
          <w:sz w:val="14"/>
          <w:szCs w:val="14"/>
          <w:color w:val="auto"/>
        </w:rPr>
      </w:pPr>
    </w:p>
    <w:p>
      <w:pPr>
        <w:ind w:left="500" w:firstLine="493"/>
        <w:spacing w:after="0" w:line="274" w:lineRule="auto"/>
        <w:tabs>
          <w:tab w:leader="none" w:pos="1300" w:val="left"/>
        </w:tabs>
        <w:numPr>
          <w:ilvl w:val="1"/>
          <w:numId w:val="69"/>
        </w:numPr>
        <w:rPr>
          <w:rFonts w:ascii="Arial" w:cs="Arial" w:eastAsia="Arial" w:hAnsi="Arial"/>
          <w:sz w:val="13"/>
          <w:szCs w:val="13"/>
          <w:color w:val="auto"/>
        </w:rPr>
      </w:pPr>
      <w:r>
        <w:rPr>
          <w:rFonts w:ascii="Arial" w:cs="Arial" w:eastAsia="Arial" w:hAnsi="Arial"/>
          <w:sz w:val="13"/>
          <w:szCs w:val="13"/>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3"/>
          <w:szCs w:val="13"/>
          <w:u w:val="single" w:color="auto"/>
          <w:color w:val="auto"/>
        </w:rPr>
        <w:t>Section 11.05</w:t>
      </w:r>
      <w:r>
        <w:rPr>
          <w:rFonts w:ascii="Arial" w:cs="Arial" w:eastAsia="Arial" w:hAnsi="Arial"/>
          <w:sz w:val="13"/>
          <w:szCs w:val="13"/>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subsection shall survive the payment in full of the Obligations and the termination of this Agreement.</w:t>
      </w:r>
    </w:p>
    <w:p>
      <w:pPr>
        <w:spacing w:after="0" w:line="157" w:lineRule="exact"/>
        <w:rPr>
          <w:rFonts w:ascii="Arial" w:cs="Arial" w:eastAsia="Arial" w:hAnsi="Arial"/>
          <w:sz w:val="13"/>
          <w:szCs w:val="13"/>
          <w:color w:val="auto"/>
        </w:rPr>
      </w:pPr>
    </w:p>
    <w:p>
      <w:pPr>
        <w:jc w:val="both"/>
        <w:ind w:right="40" w:firstLine="498"/>
        <w:spacing w:after="0" w:line="256" w:lineRule="auto"/>
        <w:tabs>
          <w:tab w:leader="none" w:pos="785"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Interest for Account of Swing Line Lender</w:t>
      </w:r>
      <w:r>
        <w:rPr>
          <w:rFonts w:ascii="Arial" w:cs="Arial" w:eastAsia="Arial" w:hAnsi="Arial"/>
          <w:sz w:val="14"/>
          <w:szCs w:val="14"/>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65" w:lineRule="exact"/>
        <w:rPr>
          <w:rFonts w:ascii="Arial" w:cs="Arial" w:eastAsia="Arial" w:hAnsi="Arial"/>
          <w:sz w:val="14"/>
          <w:szCs w:val="14"/>
          <w:color w:val="auto"/>
        </w:rPr>
      </w:pPr>
    </w:p>
    <w:p>
      <w:pPr>
        <w:ind w:left="780" w:hanging="282"/>
        <w:spacing w:after="0"/>
        <w:tabs>
          <w:tab w:leader="none" w:pos="78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Payments Directly to Swing Line Lender</w:t>
      </w:r>
      <w:r>
        <w:rPr>
          <w:rFonts w:ascii="Arial" w:cs="Arial" w:eastAsia="Arial" w:hAnsi="Arial"/>
          <w:sz w:val="13"/>
          <w:szCs w:val="13"/>
          <w:color w:val="auto"/>
        </w:rPr>
        <w:t>. The Borrower shall make all payments of principal and interest in respect of the Swing Line Loans directly to the Swing Line Lender.</w:t>
      </w:r>
    </w:p>
    <w:p>
      <w:pPr>
        <w:spacing w:after="0" w:line="19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2.05</w:t>
      </w:r>
      <w:r>
        <w:rPr>
          <w:sz w:val="20"/>
          <w:szCs w:val="20"/>
          <w:color w:val="auto"/>
        </w:rPr>
        <w:tab/>
      </w:r>
      <w:r>
        <w:rPr>
          <w:rFonts w:ascii="Arial" w:cs="Arial" w:eastAsia="Arial" w:hAnsi="Arial"/>
          <w:sz w:val="11"/>
          <w:szCs w:val="11"/>
          <w:b w:val="1"/>
          <w:bCs w:val="1"/>
          <w:color w:val="auto"/>
        </w:rPr>
        <w:t>Prepayments</w:t>
      </w:r>
      <w:r>
        <w:rPr>
          <w:rFonts w:ascii="Arial" w:cs="Arial" w:eastAsia="Arial" w:hAnsi="Arial"/>
          <w:sz w:val="11"/>
          <w:szCs w:val="11"/>
          <w:color w:val="auto"/>
        </w:rPr>
        <w:t>.</w:t>
      </w:r>
    </w:p>
    <w:p>
      <w:pPr>
        <w:spacing w:after="0" w:line="194" w:lineRule="exact"/>
        <w:rPr>
          <w:sz w:val="20"/>
          <w:szCs w:val="20"/>
          <w:color w:val="auto"/>
        </w:rPr>
      </w:pPr>
    </w:p>
    <w:p>
      <w:pPr>
        <w:ind w:right="80" w:firstLine="498"/>
        <w:spacing w:after="0" w:line="268" w:lineRule="auto"/>
        <w:tabs>
          <w:tab w:leader="none" w:pos="785"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Optional</w:t>
      </w:r>
      <w:r>
        <w:rPr>
          <w:rFonts w:ascii="Arial" w:cs="Arial" w:eastAsia="Arial" w:hAnsi="Arial"/>
          <w:sz w:val="13"/>
          <w:szCs w:val="13"/>
          <w:color w:val="auto"/>
        </w:rPr>
        <w:t xml:space="preserve">. (i) The Borrower may, upon notice to the Administrative Agent pursuant to delivery to the Administrative Agent of a Notice of Loan Prepayment (which Notice of Loan Prepayment may, at the Borrower’s election, be subject to one or more conditions,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the Borrower shall compensate each Lender for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suffered as a result of the revocation of any conditional Notice of Loan Prepayment), at any time or from time to time voluntarily prepay Revolving Credit Loans in whole or in part without premium or penalty;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notice must be received by the Administrative Agent not later than 12:00 p.m. (A) two Business Days prior to any date of prepayment of Term SOFR Loans and (B) on the date of prepayment of Base Rate Loans; (ii) any prepayment of Term SOFR Loans shall be in a principal amount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Revolving Credit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2.17</w:t>
      </w:r>
      <w:r>
        <w:rPr>
          <w:rFonts w:ascii="Arial" w:cs="Arial" w:eastAsia="Arial" w:hAnsi="Arial"/>
          <w:sz w:val="13"/>
          <w:szCs w:val="13"/>
          <w:color w:val="auto"/>
        </w:rPr>
        <w:t>, each such prepayment shall be applied to the Revolving Credit Loans of the Lenders in accordance with their respective Applicable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50</w:t>
      </w:r>
    </w:p>
    <w:p>
      <w:pPr>
        <w:sectPr>
          <w:pgSz w:w="11900" w:h="16838" w:orient="portrait"/>
          <w:cols w:equalWidth="0" w:num="1">
            <w:col w:w="11280"/>
          </w:cols>
          <w:pgMar w:left="300" w:top="129"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251" w:lineRule="auto"/>
        <w:tabs>
          <w:tab w:leader="none" w:pos="1197" w:val="left"/>
        </w:tabs>
        <w:numPr>
          <w:ilvl w:val="1"/>
          <w:numId w:val="71"/>
        </w:numPr>
        <w:rPr>
          <w:rFonts w:ascii="Arial" w:cs="Arial" w:eastAsia="Arial" w:hAnsi="Arial"/>
          <w:sz w:val="14"/>
          <w:szCs w:val="14"/>
          <w:color w:val="auto"/>
        </w:rPr>
      </w:pPr>
      <w:r>
        <w:rPr>
          <w:rFonts w:ascii="Arial" w:cs="Arial" w:eastAsia="Arial" w:hAnsi="Arial"/>
          <w:sz w:val="14"/>
          <w:szCs w:val="14"/>
          <w:color w:val="auto"/>
        </w:rPr>
        <w:t xml:space="preserve">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68" w:lineRule="exact"/>
        <w:rPr>
          <w:rFonts w:ascii="Arial" w:cs="Arial" w:eastAsia="Arial" w:hAnsi="Arial"/>
          <w:sz w:val="14"/>
          <w:szCs w:val="14"/>
          <w:color w:val="auto"/>
        </w:rPr>
      </w:pPr>
    </w:p>
    <w:p>
      <w:pPr>
        <w:ind w:left="800" w:hanging="302"/>
        <w:spacing w:after="0"/>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Mandatory</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500" w:right="240" w:firstLine="493"/>
        <w:spacing w:after="0" w:line="305" w:lineRule="auto"/>
        <w:tabs>
          <w:tab w:leader="none" w:pos="1262" w:val="left"/>
        </w:tabs>
        <w:numPr>
          <w:ilvl w:val="1"/>
          <w:numId w:val="72"/>
        </w:numPr>
        <w:rPr>
          <w:rFonts w:ascii="Arial" w:cs="Arial" w:eastAsia="Arial" w:hAnsi="Arial"/>
          <w:sz w:val="13"/>
          <w:szCs w:val="13"/>
          <w:color w:val="auto"/>
        </w:rPr>
      </w:pPr>
      <w:r>
        <w:rPr>
          <w:rFonts w:ascii="Arial" w:cs="Arial" w:eastAsia="Arial" w:hAnsi="Arial"/>
          <w:sz w:val="13"/>
          <w:szCs w:val="13"/>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136" w:lineRule="exact"/>
        <w:rPr>
          <w:sz w:val="20"/>
          <w:szCs w:val="20"/>
          <w:color w:val="auto"/>
        </w:rPr>
      </w:pPr>
    </w:p>
    <w:p>
      <w:pPr>
        <w:ind w:left="500" w:right="60" w:firstLine="493"/>
        <w:spacing w:after="0" w:line="252" w:lineRule="auto"/>
        <w:tabs>
          <w:tab w:leader="none" w:pos="1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 xml:space="preserve">Prepayments of the Revolving Credit Facility made pursuant to this </w:t>
      </w:r>
      <w:r>
        <w:rPr>
          <w:rFonts w:ascii="Arial" w:cs="Arial" w:eastAsia="Arial" w:hAnsi="Arial"/>
          <w:sz w:val="14"/>
          <w:szCs w:val="14"/>
          <w:u w:val="single" w:color="auto"/>
          <w:color w:val="auto"/>
        </w:rPr>
        <w:t>Section 2.05(b)</w:t>
      </w:r>
      <w:r>
        <w:rPr>
          <w:rFonts w:ascii="Arial" w:cs="Arial" w:eastAsia="Arial" w:hAnsi="Arial"/>
          <w:sz w:val="14"/>
          <w:szCs w:val="14"/>
          <w:color w:val="auto"/>
        </w:rPr>
        <w:t xml:space="preserve">,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shall be applied ratably to the L/C Borrowings and the Swing Line Loans,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shall be applied ratably to the outstanding Revolving Credit Loans, and, </w:t>
      </w:r>
      <w:r>
        <w:rPr>
          <w:rFonts w:ascii="Arial" w:cs="Arial" w:eastAsia="Arial" w:hAnsi="Arial"/>
          <w:sz w:val="14"/>
          <w:szCs w:val="14"/>
          <w:u w:val="single" w:color="auto"/>
          <w:color w:val="auto"/>
        </w:rPr>
        <w:t>third</w:t>
      </w:r>
      <w:r>
        <w:rPr>
          <w:rFonts w:ascii="Arial" w:cs="Arial" w:eastAsia="Arial" w:hAnsi="Arial"/>
          <w:sz w:val="14"/>
          <w:szCs w:val="14"/>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to reimburse the L/C Issuer or the Revolving Credit Lenders, as applicable.</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2.06</w:t>
      </w:r>
      <w:r>
        <w:rPr>
          <w:sz w:val="20"/>
          <w:szCs w:val="20"/>
          <w:color w:val="auto"/>
        </w:rPr>
        <w:tab/>
      </w:r>
      <w:r>
        <w:rPr>
          <w:rFonts w:ascii="Arial" w:cs="Arial" w:eastAsia="Arial" w:hAnsi="Arial"/>
          <w:sz w:val="11"/>
          <w:szCs w:val="11"/>
          <w:b w:val="1"/>
          <w:bCs w:val="1"/>
          <w:color w:val="auto"/>
        </w:rPr>
        <w:t>Termination or Reduction of Commitments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Optional</w:t>
      </w:r>
      <w:r>
        <w:rPr>
          <w:rFonts w:ascii="Arial" w:cs="Arial" w:eastAsia="Arial" w:hAnsi="Arial"/>
          <w:sz w:val="11"/>
          <w:szCs w:val="11"/>
          <w:color w:val="auto"/>
        </w:rPr>
        <w:t>. The Borrower may, upon notice to the Administrative Agent, terminate the Revolving Credit Facility, the Letter of Credit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Sublimit or the Swing Line Sublimit, or from time to time permanently reduce the Revolving Credit Facility, the Letter of Credit Sublimit or the Swing Line Sublimit;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any such notice shall</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be received by the Administrative Agent not later than 12:00 p.m. three Business Days prior to the date of termination or reduction, (ii) any such partial reduction shall be in an aggregate amount of</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$5,000,000 or any whole multiple of $1,000,000 in excess thereof, (iii) such reduction or termination may, at the Borrower’s election, be subject to one or more conditions specified by the Borrower in such</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notice (provided the Borrower shall compensate each Lender for any additional amounts required pursuant to Section 3.05 suffered as a result of the revocation of any conditional Notice of Loan</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Prepayment delivered in connection with any such reduction or termination) and (iv) the Borrower shall not terminate or reduce (A) the Revolving Credit Facility if, after giving effect thereto and to any</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concurrent prepayments hereunder, the Total Revolving Credit Outstandings would exceed the Revolving Credit Facility, (B) the Letter of Credit Sublimit if, after giving effect thereto, the Outstanding</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Amount of L/C Obligations not fully Cash Collateralized hereunder would exceed the Letter of Credit Sublimit, or (C) the Swing Line Sublimit if, after giving effect thereto and to any concurrent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prepayments hereunder, the Outstanding Amount of Swing Line Loans would exceed the Swing Line Sublimit.</w:t>
      </w:r>
    </w:p>
    <w:p>
      <w:pPr>
        <w:spacing w:after="0" w:line="180" w:lineRule="exact"/>
        <w:rPr>
          <w:sz w:val="20"/>
          <w:szCs w:val="20"/>
          <w:color w:val="auto"/>
        </w:rPr>
      </w:pPr>
    </w:p>
    <w:p>
      <w:pPr>
        <w:ind w:right="260" w:firstLine="498"/>
        <w:spacing w:after="0" w:line="305" w:lineRule="auto"/>
        <w:tabs>
          <w:tab w:leader="none" w:pos="793"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Mandatory</w:t>
      </w:r>
      <w:r>
        <w:rPr>
          <w:rFonts w:ascii="Arial" w:cs="Arial" w:eastAsia="Arial" w:hAnsi="Arial"/>
          <w:sz w:val="13"/>
          <w:szCs w:val="13"/>
          <w:color w:val="auto"/>
        </w:rPr>
        <w:t xml:space="preserve">. If after giving effect to any reduction or termination of Commitments under this </w:t>
      </w:r>
      <w:r>
        <w:rPr>
          <w:rFonts w:ascii="Arial" w:cs="Arial" w:eastAsia="Arial" w:hAnsi="Arial"/>
          <w:sz w:val="13"/>
          <w:szCs w:val="13"/>
          <w:u w:val="single" w:color="auto"/>
          <w:color w:val="auto"/>
        </w:rPr>
        <w:t>Section 2.06</w:t>
      </w:r>
      <w:r>
        <w:rPr>
          <w:rFonts w:ascii="Arial" w:cs="Arial" w:eastAsia="Arial" w:hAnsi="Arial"/>
          <w:sz w:val="13"/>
          <w:szCs w:val="13"/>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35" w:lineRule="exact"/>
        <w:rPr>
          <w:rFonts w:ascii="Arial" w:cs="Arial" w:eastAsia="Arial" w:hAnsi="Arial"/>
          <w:sz w:val="13"/>
          <w:szCs w:val="13"/>
          <w:color w:val="auto"/>
        </w:rPr>
      </w:pPr>
    </w:p>
    <w:p>
      <w:pPr>
        <w:ind w:right="40" w:firstLine="498"/>
        <w:spacing w:after="0" w:line="252" w:lineRule="auto"/>
        <w:tabs>
          <w:tab w:leader="none" w:pos="785" w:val="left"/>
        </w:tabs>
        <w:numPr>
          <w:ilvl w:val="0"/>
          <w:numId w:val="74"/>
        </w:numPr>
        <w:rPr>
          <w:rFonts w:ascii="Arial" w:cs="Arial" w:eastAsia="Arial" w:hAnsi="Arial"/>
          <w:sz w:val="14"/>
          <w:szCs w:val="14"/>
          <w:color w:val="auto"/>
        </w:rPr>
      </w:pPr>
      <w:r>
        <w:rPr>
          <w:rFonts w:ascii="Arial" w:cs="Arial" w:eastAsia="Arial" w:hAnsi="Arial"/>
          <w:sz w:val="14"/>
          <w:szCs w:val="14"/>
          <w:u w:val="single" w:color="auto"/>
          <w:color w:val="auto"/>
        </w:rPr>
        <w:t>Application of Commitment Reductions; Payment of Fees</w:t>
      </w:r>
      <w:r>
        <w:rPr>
          <w:rFonts w:ascii="Arial" w:cs="Arial" w:eastAsia="Arial" w:hAnsi="Arial"/>
          <w:sz w:val="14"/>
          <w:szCs w:val="14"/>
          <w:color w:val="auto"/>
        </w:rPr>
        <w:t xml:space="preserve">. The Administrative Agent will promptly notify the Lenders of any termination or reduction of the Letter of Credit Sublimit, Swing Line Sublimit or the Commitment under this </w:t>
      </w:r>
      <w:r>
        <w:rPr>
          <w:rFonts w:ascii="Arial" w:cs="Arial" w:eastAsia="Arial" w:hAnsi="Arial"/>
          <w:sz w:val="14"/>
          <w:szCs w:val="14"/>
          <w:u w:val="single" w:color="auto"/>
          <w:color w:val="auto"/>
        </w:rPr>
        <w:t>Section 2.06</w:t>
      </w:r>
      <w:r>
        <w:rPr>
          <w:rFonts w:ascii="Arial" w:cs="Arial" w:eastAsia="Arial" w:hAnsi="Arial"/>
          <w:sz w:val="14"/>
          <w:szCs w:val="14"/>
          <w:color w:val="auto"/>
        </w:rPr>
        <w:t>. Upon any reduction of the Commitments, the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51</w:t>
      </w:r>
    </w:p>
    <w:p>
      <w:pPr>
        <w:sectPr>
          <w:pgSz w:w="11900" w:h="16838" w:orient="portrait"/>
          <w:cols w:equalWidth="0" w:num="1">
            <w:col w:w="11280"/>
          </w:cols>
          <w:pgMar w:left="300" w:top="129"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2.07</w:t>
      </w:r>
      <w:r>
        <w:rPr>
          <w:sz w:val="20"/>
          <w:szCs w:val="20"/>
          <w:color w:val="auto"/>
        </w:rPr>
        <w:tab/>
      </w:r>
      <w:r>
        <w:rPr>
          <w:rFonts w:ascii="Arial" w:cs="Arial" w:eastAsia="Arial" w:hAnsi="Arial"/>
          <w:sz w:val="11"/>
          <w:szCs w:val="11"/>
          <w:b w:val="1"/>
          <w:bCs w:val="1"/>
          <w:color w:val="auto"/>
        </w:rPr>
        <w:t>Repayment of Loans</w:t>
      </w:r>
      <w:r>
        <w:rPr>
          <w:rFonts w:ascii="Arial" w:cs="Arial" w:eastAsia="Arial" w:hAnsi="Arial"/>
          <w:sz w:val="11"/>
          <w:szCs w:val="11"/>
          <w:color w:val="auto"/>
        </w:rPr>
        <w:t>.</w:t>
      </w:r>
    </w:p>
    <w:p>
      <w:pPr>
        <w:spacing w:after="0" w:line="194" w:lineRule="exact"/>
        <w:rPr>
          <w:sz w:val="20"/>
          <w:szCs w:val="20"/>
          <w:color w:val="auto"/>
        </w:rPr>
      </w:pPr>
    </w:p>
    <w:p>
      <w:pPr>
        <w:ind w:right="200" w:firstLine="498"/>
        <w:spacing w:after="0" w:line="266" w:lineRule="auto"/>
        <w:tabs>
          <w:tab w:leader="none" w:pos="785"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Revolving Credit Loans</w:t>
      </w:r>
      <w:r>
        <w:rPr>
          <w:rFonts w:ascii="Arial" w:cs="Arial" w:eastAsia="Arial" w:hAnsi="Arial"/>
          <w:sz w:val="14"/>
          <w:szCs w:val="14"/>
          <w:color w:val="auto"/>
        </w:rPr>
        <w:t>. The Borrower shall repay to the Revolving Credit Lenders on the Maturity Date for the Revolving Credit Facility the aggregate principal amount of all Revolving Credit Loans outstanding on such date.</w:t>
      </w:r>
    </w:p>
    <w:p>
      <w:pPr>
        <w:spacing w:after="0" w:line="158" w:lineRule="exact"/>
        <w:rPr>
          <w:rFonts w:ascii="Arial" w:cs="Arial" w:eastAsia="Arial" w:hAnsi="Arial"/>
          <w:sz w:val="14"/>
          <w:szCs w:val="14"/>
          <w:color w:val="auto"/>
        </w:rPr>
      </w:pPr>
    </w:p>
    <w:p>
      <w:pPr>
        <w:ind w:right="160" w:firstLine="498"/>
        <w:spacing w:after="0" w:line="256" w:lineRule="auto"/>
        <w:tabs>
          <w:tab w:leader="none" w:pos="793"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Swing Line Loans</w:t>
      </w:r>
      <w:r>
        <w:rPr>
          <w:rFonts w:ascii="Arial" w:cs="Arial" w:eastAsia="Arial" w:hAnsi="Arial"/>
          <w:sz w:val="14"/>
          <w:szCs w:val="14"/>
          <w:color w:val="auto"/>
        </w:rPr>
        <w:t>. The Borrower shall repay each Swing Line Loan on the earlier to occur of (i) the date ten Business Days after such Loan is made and (ii) the Maturity Date. At any time that there shall exist a Defaulting Lender, immediately upon the request of any Swing Line Lender, the Borrower shall repay the outstanding Swing Line Loans made by such Swing Line Lender in an amount sufficient to eliminate any Fronting Exposure in respect of such Swing Line Loans.</w:t>
      </w:r>
    </w:p>
    <w:p>
      <w:pPr>
        <w:spacing w:after="0" w:line="162" w:lineRule="exact"/>
        <w:rPr>
          <w:sz w:val="20"/>
          <w:szCs w:val="20"/>
          <w:color w:val="auto"/>
        </w:rPr>
      </w:pPr>
    </w:p>
    <w:p>
      <w:pPr>
        <w:ind w:right="20" w:firstLine="495"/>
        <w:spacing w:after="0" w:line="254" w:lineRule="auto"/>
        <w:rPr>
          <w:sz w:val="20"/>
          <w:szCs w:val="20"/>
          <w:color w:val="auto"/>
        </w:rPr>
      </w:pPr>
      <w:r>
        <w:rPr>
          <w:rFonts w:ascii="Arial" w:cs="Arial" w:eastAsia="Arial" w:hAnsi="Arial"/>
          <w:sz w:val="14"/>
          <w:szCs w:val="14"/>
          <w:b w:val="1"/>
          <w:bCs w:val="1"/>
          <w:color w:val="auto"/>
        </w:rPr>
        <w:t>2.08 Interest</w:t>
      </w:r>
      <w:r>
        <w:rPr>
          <w:rFonts w:ascii="Arial" w:cs="Arial" w:eastAsia="Arial" w:hAnsi="Arial"/>
          <w:sz w:val="14"/>
          <w:szCs w:val="14"/>
          <w:color w:val="auto"/>
        </w:rPr>
        <w:t>. (a) Subject to the provisions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2.08(b)</w:t>
      </w:r>
      <w:r>
        <w:rPr>
          <w:rFonts w:ascii="Arial" w:cs="Arial" w:eastAsia="Arial" w:hAnsi="Arial"/>
          <w:sz w:val="14"/>
          <w:szCs w:val="14"/>
          <w:color w:val="auto"/>
        </w:rPr>
        <w:t>, (i) each Term SOFR Loan shall bear interest on the outstanding principal amount thereof for each Interest Period at a rate per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annum equal to Term SOFR for such Interest Period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Rate.</w:t>
      </w:r>
    </w:p>
    <w:p>
      <w:pPr>
        <w:spacing w:after="0" w:line="168" w:lineRule="exact"/>
        <w:rPr>
          <w:sz w:val="20"/>
          <w:szCs w:val="20"/>
          <w:color w:val="auto"/>
        </w:rPr>
      </w:pPr>
    </w:p>
    <w:p>
      <w:pPr>
        <w:ind w:right="60" w:firstLine="498"/>
        <w:spacing w:after="0" w:line="266" w:lineRule="auto"/>
        <w:tabs>
          <w:tab w:leader="none" w:pos="793" w:val="left"/>
        </w:tabs>
        <w:numPr>
          <w:ilvl w:val="0"/>
          <w:numId w:val="76"/>
        </w:numPr>
        <w:rPr>
          <w:rFonts w:ascii="Arial" w:cs="Arial" w:eastAsia="Arial" w:hAnsi="Arial"/>
          <w:sz w:val="14"/>
          <w:szCs w:val="14"/>
          <w:color w:val="auto"/>
        </w:rPr>
      </w:pPr>
      <w:r>
        <w:rPr>
          <w:rFonts w:ascii="Arial" w:cs="Arial" w:eastAsia="Arial" w:hAnsi="Arial"/>
          <w:sz w:val="14"/>
          <w:szCs w:val="14"/>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58" w:lineRule="exact"/>
        <w:rPr>
          <w:rFonts w:ascii="Arial" w:cs="Arial" w:eastAsia="Arial" w:hAnsi="Arial"/>
          <w:sz w:val="14"/>
          <w:szCs w:val="14"/>
          <w:color w:val="auto"/>
        </w:rPr>
      </w:pPr>
    </w:p>
    <w:p>
      <w:pPr>
        <w:jc w:val="both"/>
        <w:ind w:left="500" w:right="40" w:firstLine="493"/>
        <w:spacing w:after="0" w:line="256" w:lineRule="auto"/>
        <w:tabs>
          <w:tab w:leader="none" w:pos="13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5" w:lineRule="exact"/>
        <w:rPr>
          <w:rFonts w:ascii="Arial" w:cs="Arial" w:eastAsia="Arial" w:hAnsi="Arial"/>
          <w:sz w:val="14"/>
          <w:szCs w:val="14"/>
          <w:color w:val="auto"/>
        </w:rPr>
      </w:pPr>
    </w:p>
    <w:p>
      <w:pPr>
        <w:ind w:left="500" w:right="120" w:firstLine="493"/>
        <w:spacing w:after="0" w:line="404" w:lineRule="auto"/>
        <w:tabs>
          <w:tab w:leader="none" w:pos="1339" w:val="left"/>
        </w:tabs>
        <w:numPr>
          <w:ilvl w:val="1"/>
          <w:numId w:val="76"/>
        </w:numPr>
        <w:rPr>
          <w:rFonts w:ascii="Arial" w:cs="Arial" w:eastAsia="Arial" w:hAnsi="Arial"/>
          <w:sz w:val="11"/>
          <w:szCs w:val="11"/>
          <w:color w:val="auto"/>
        </w:rPr>
      </w:pPr>
      <w:r>
        <w:rPr>
          <w:rFonts w:ascii="Arial" w:cs="Arial" w:eastAsia="Arial" w:hAnsi="Arial"/>
          <w:sz w:val="11"/>
          <w:szCs w:val="11"/>
          <w:color w:val="auto"/>
        </w:rPr>
        <w:t xml:space="preserve">Upon the request of the Required Lenders, while any Event of Default exists (other than as set forth in </w:t>
      </w:r>
      <w:r>
        <w:rPr>
          <w:rFonts w:ascii="Arial" w:cs="Arial" w:eastAsia="Arial" w:hAnsi="Arial"/>
          <w:sz w:val="11"/>
          <w:szCs w:val="11"/>
          <w:u w:val="single" w:color="auto"/>
          <w:color w:val="auto"/>
        </w:rPr>
        <w:t>Sections 2.08(b)(i)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(b)(ii)</w:t>
      </w:r>
      <w:r>
        <w:rPr>
          <w:rFonts w:ascii="Arial" w:cs="Arial" w:eastAsia="Arial" w:hAnsi="Arial"/>
          <w:sz w:val="11"/>
          <w:szCs w:val="11"/>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89" w:lineRule="exact"/>
        <w:rPr>
          <w:rFonts w:ascii="Arial" w:cs="Arial" w:eastAsia="Arial" w:hAnsi="Arial"/>
          <w:sz w:val="11"/>
          <w:szCs w:val="11"/>
          <w:color w:val="auto"/>
        </w:rPr>
      </w:pPr>
    </w:p>
    <w:p>
      <w:pPr>
        <w:ind w:left="1320" w:hanging="327"/>
        <w:spacing w:after="0"/>
        <w:tabs>
          <w:tab w:leader="none" w:pos="1320" w:val="left"/>
        </w:tabs>
        <w:numPr>
          <w:ilvl w:val="1"/>
          <w:numId w:val="76"/>
        </w:numPr>
        <w:rPr>
          <w:rFonts w:ascii="Arial" w:cs="Arial" w:eastAsia="Arial" w:hAnsi="Arial"/>
          <w:sz w:val="11"/>
          <w:szCs w:val="11"/>
          <w:color w:val="auto"/>
        </w:rPr>
      </w:pPr>
      <w:r>
        <w:rPr>
          <w:rFonts w:ascii="Arial" w:cs="Arial" w:eastAsia="Arial" w:hAnsi="Arial"/>
          <w:sz w:val="11"/>
          <w:szCs w:val="11"/>
          <w:color w:val="auto"/>
        </w:rPr>
        <w:t>Upon the request of the Required Lenders, accrued and unpaid interest on past due amounts (including interest on past due interest) shall be due and payable upon demand.</w:t>
      </w:r>
    </w:p>
    <w:p>
      <w:pPr>
        <w:spacing w:after="0" w:line="224" w:lineRule="exact"/>
        <w:rPr>
          <w:rFonts w:ascii="Arial" w:cs="Arial" w:eastAsia="Arial" w:hAnsi="Arial"/>
          <w:sz w:val="11"/>
          <w:szCs w:val="11"/>
          <w:color w:val="auto"/>
        </w:rPr>
      </w:pPr>
    </w:p>
    <w:p>
      <w:pPr>
        <w:ind w:right="100" w:firstLine="498"/>
        <w:spacing w:after="0" w:line="305" w:lineRule="auto"/>
        <w:tabs>
          <w:tab w:leader="none" w:pos="785"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52</w:t>
      </w:r>
    </w:p>
    <w:p>
      <w:pPr>
        <w:sectPr>
          <w:pgSz w:w="11900" w:h="16838" w:orient="portrait"/>
          <w:cols w:equalWidth="0" w:num="1">
            <w:col w:w="11280"/>
          </w:cols>
          <w:pgMar w:left="300" w:top="129"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2.09</w:t>
      </w:r>
      <w:r>
        <w:rPr>
          <w:sz w:val="20"/>
          <w:szCs w:val="20"/>
          <w:color w:val="auto"/>
        </w:rPr>
        <w:tab/>
      </w:r>
      <w:r>
        <w:rPr>
          <w:rFonts w:ascii="Arial" w:cs="Arial" w:eastAsia="Arial" w:hAnsi="Arial"/>
          <w:sz w:val="11"/>
          <w:szCs w:val="11"/>
          <w:b w:val="1"/>
          <w:bCs w:val="1"/>
          <w:color w:val="auto"/>
        </w:rPr>
        <w:t>Fees</w:t>
      </w:r>
      <w:r>
        <w:rPr>
          <w:rFonts w:ascii="Arial" w:cs="Arial" w:eastAsia="Arial" w:hAnsi="Arial"/>
          <w:sz w:val="11"/>
          <w:szCs w:val="11"/>
          <w:color w:val="auto"/>
        </w:rPr>
        <w:t>. In addition to certain fees described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Sections 2.03(j)</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w:t>
      </w:r>
      <w:r>
        <w:rPr>
          <w:rFonts w:ascii="Arial" w:cs="Arial" w:eastAsia="Arial" w:hAnsi="Arial"/>
          <w:sz w:val="11"/>
          <w:szCs w:val="11"/>
          <w:color w:val="auto"/>
        </w:rPr>
        <w:t>:</w:t>
      </w:r>
    </w:p>
    <w:p>
      <w:pPr>
        <w:spacing w:after="0" w:line="194" w:lineRule="exact"/>
        <w:rPr>
          <w:sz w:val="20"/>
          <w:szCs w:val="20"/>
          <w:color w:val="auto"/>
        </w:rPr>
      </w:pPr>
    </w:p>
    <w:p>
      <w:pPr>
        <w:ind w:right="80" w:firstLine="498"/>
        <w:spacing w:after="0" w:line="270" w:lineRule="auto"/>
        <w:tabs>
          <w:tab w:leader="none" w:pos="785"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Commitment Fee</w:t>
      </w:r>
      <w:r>
        <w:rPr>
          <w:rFonts w:ascii="Arial" w:cs="Arial" w:eastAsia="Arial" w:hAnsi="Arial"/>
          <w:sz w:val="13"/>
          <w:szCs w:val="13"/>
          <w:color w:val="auto"/>
        </w:rPr>
        <w:t xml:space="preserve">. The Borrower shall pay to the Administrative Agent for the account of each Revolving Credit Lender in accordance with its Applicable Revolving Credit Percentage, a commitment fee at a rate per annum equal to the Applicable Fee Rate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actual daily amount by which the Revolving Credit Facility exceeds the sum of (i) the Outstanding Amount of Revolving Credit Loans and (ii) the Outstanding Amount of L/C Obligations, subject to adjustment as provided in </w:t>
      </w:r>
      <w:r>
        <w:rPr>
          <w:rFonts w:ascii="Arial" w:cs="Arial" w:eastAsia="Arial" w:hAnsi="Arial"/>
          <w:sz w:val="13"/>
          <w:szCs w:val="13"/>
          <w:u w:val="single" w:color="auto"/>
          <w:color w:val="auto"/>
        </w:rPr>
        <w:t>Section 2.17</w:t>
      </w:r>
      <w:r>
        <w:rPr>
          <w:rFonts w:ascii="Arial" w:cs="Arial" w:eastAsia="Arial" w:hAnsi="Arial"/>
          <w:sz w:val="13"/>
          <w:szCs w:val="13"/>
          <w:color w:val="auto"/>
        </w:rPr>
        <w:t xml:space="preserve">. To the extent there is more than one non-affiliated Lender,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60" w:lineRule="exact"/>
        <w:rPr>
          <w:rFonts w:ascii="Arial" w:cs="Arial" w:eastAsia="Arial" w:hAnsi="Arial"/>
          <w:sz w:val="13"/>
          <w:szCs w:val="13"/>
          <w:color w:val="auto"/>
        </w:rPr>
      </w:pPr>
    </w:p>
    <w:p>
      <w:pPr>
        <w:ind w:right="400" w:firstLine="498"/>
        <w:spacing w:after="0" w:line="266" w:lineRule="auto"/>
        <w:tabs>
          <w:tab w:leader="none" w:pos="793"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Other Fees</w:t>
      </w:r>
      <w:r>
        <w:rPr>
          <w:rFonts w:ascii="Arial" w:cs="Arial" w:eastAsia="Arial" w:hAnsi="Arial"/>
          <w:sz w:val="14"/>
          <w:szCs w:val="14"/>
          <w:color w:val="auto"/>
        </w:rPr>
        <w:t>. The Borrower shall pay to the Administrative Agent for its own respective accounts fees in the amounts and at the times specified in the Fee Letter. Such fees shall be fully earned when paid and shall not be refundable for any reason whatsoever.</w:t>
      </w:r>
    </w:p>
    <w:p>
      <w:pPr>
        <w:spacing w:after="0" w:line="155" w:lineRule="exact"/>
        <w:rPr>
          <w:sz w:val="20"/>
          <w:szCs w:val="20"/>
          <w:color w:val="auto"/>
        </w:rPr>
      </w:pPr>
    </w:p>
    <w:p>
      <w:pPr>
        <w:ind w:right="40" w:firstLine="495"/>
        <w:spacing w:after="0" w:line="251" w:lineRule="auto"/>
        <w:rPr>
          <w:sz w:val="20"/>
          <w:szCs w:val="20"/>
          <w:color w:val="auto"/>
        </w:rPr>
      </w:pPr>
      <w:r>
        <w:rPr>
          <w:rFonts w:ascii="Arial" w:cs="Arial" w:eastAsia="Arial" w:hAnsi="Arial"/>
          <w:sz w:val="14"/>
          <w:szCs w:val="14"/>
          <w:b w:val="1"/>
          <w:bCs w:val="1"/>
          <w:color w:val="auto"/>
        </w:rPr>
        <w:t>2.10 Computation of Interest and Fees</w:t>
      </w:r>
      <w:r>
        <w:rPr>
          <w:rFonts w:ascii="Arial" w:cs="Arial" w:eastAsia="Arial" w:hAnsi="Arial"/>
          <w:sz w:val="14"/>
          <w:szCs w:val="14"/>
          <w:color w:val="auto"/>
        </w:rPr>
        <w:t>; Retroactive Adjustments of Applicable Rate. (a) All computations of interest for Base Rate Loans (including Base Rate Loans determined by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Loan that is repaid on the same day on which it is made shall, subject to </w:t>
      </w:r>
      <w:r>
        <w:rPr>
          <w:rFonts w:ascii="Arial" w:cs="Arial" w:eastAsia="Arial" w:hAnsi="Arial"/>
          <w:sz w:val="14"/>
          <w:szCs w:val="14"/>
          <w:u w:val="single" w:color="auto"/>
          <w:color w:val="auto"/>
        </w:rPr>
        <w:t>Section 2.12(a)</w:t>
      </w:r>
      <w:r>
        <w:rPr>
          <w:rFonts w:ascii="Arial" w:cs="Arial" w:eastAsia="Arial" w:hAnsi="Arial"/>
          <w:sz w:val="14"/>
          <w:szCs w:val="14"/>
          <w:color w:val="auto"/>
        </w:rPr>
        <w:t>, bear interest for one day. Each determination by the Administrative Agent of an interest rate or fee hereunder shall be conclusive and binding for all purposes, absent manifest error.</w:t>
      </w:r>
    </w:p>
    <w:p>
      <w:pPr>
        <w:spacing w:after="0" w:line="170" w:lineRule="exact"/>
        <w:rPr>
          <w:sz w:val="20"/>
          <w:szCs w:val="20"/>
          <w:color w:val="auto"/>
        </w:rPr>
      </w:pPr>
    </w:p>
    <w:p>
      <w:pPr>
        <w:ind w:right="40" w:firstLine="498"/>
        <w:spacing w:after="0" w:line="328" w:lineRule="auto"/>
        <w:tabs>
          <w:tab w:leader="none" w:pos="793" w:val="left"/>
        </w:tabs>
        <w:numPr>
          <w:ilvl w:val="0"/>
          <w:numId w:val="78"/>
        </w:numPr>
        <w:rPr>
          <w:rFonts w:ascii="Arial" w:cs="Arial" w:eastAsia="Arial" w:hAnsi="Arial"/>
          <w:sz w:val="11"/>
          <w:szCs w:val="11"/>
          <w:color w:val="auto"/>
        </w:rPr>
      </w:pPr>
      <w:r>
        <w:rPr>
          <w:rFonts w:ascii="Arial" w:cs="Arial" w:eastAsia="Arial" w:hAnsi="Arial"/>
          <w:sz w:val="11"/>
          <w:szCs w:val="11"/>
          <w:color w:val="auto"/>
        </w:rPr>
        <w:t xml:space="preserve">If, as a result of any restatement of or other adjustment to the financial statements of the Borrower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Arial" w:cs="Arial" w:eastAsia="Arial" w:hAnsi="Arial"/>
          <w:sz w:val="11"/>
          <w:szCs w:val="11"/>
          <w:u w:val="single" w:color="auto"/>
          <w:color w:val="auto"/>
        </w:rPr>
        <w:t>subsection (b)</w:t>
      </w:r>
      <w:r>
        <w:rPr>
          <w:rFonts w:ascii="Arial" w:cs="Arial" w:eastAsia="Arial" w:hAnsi="Arial"/>
          <w:sz w:val="11"/>
          <w:szCs w:val="11"/>
          <w:color w:val="auto"/>
        </w:rPr>
        <w:t xml:space="preserve"> shall not limit the rights of the Administrative Agent, any Lender or the L/C Issuer, as the case may be, under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w:t>
      </w:r>
      <w:r>
        <w:rPr>
          <w:rFonts w:ascii="Arial" w:cs="Arial" w:eastAsia="Arial" w:hAnsi="Arial"/>
          <w:sz w:val="11"/>
          <w:szCs w:val="11"/>
          <w:u w:val="single" w:color="auto"/>
          <w:color w:val="auto"/>
        </w:rPr>
        <w:t>2.03(j)</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2.08(b)</w:t>
      </w:r>
      <w:r>
        <w:rPr>
          <w:rFonts w:ascii="Arial" w:cs="Arial" w:eastAsia="Arial" w:hAnsi="Arial"/>
          <w:sz w:val="11"/>
          <w:szCs w:val="11"/>
          <w:color w:val="auto"/>
        </w:rPr>
        <w:t xml:space="preserve"> or under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The Borrower’s obligations under this subsection shall survive the termination of the Aggregate Commitments and the 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53</w:t>
      </w:r>
    </w:p>
    <w:p>
      <w:pPr>
        <w:sectPr>
          <w:pgSz w:w="11900" w:h="16838" w:orient="portrait"/>
          <w:cols w:equalWidth="0" w:num="1">
            <w:col w:w="11280"/>
          </w:cols>
          <w:pgMar w:left="300" w:top="129"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95"/>
        <w:spacing w:after="0" w:line="272" w:lineRule="auto"/>
        <w:rPr>
          <w:sz w:val="20"/>
          <w:szCs w:val="20"/>
          <w:color w:val="auto"/>
        </w:rPr>
      </w:pPr>
      <w:r>
        <w:rPr>
          <w:rFonts w:ascii="Arial" w:cs="Arial" w:eastAsia="Arial" w:hAnsi="Arial"/>
          <w:sz w:val="13"/>
          <w:szCs w:val="13"/>
          <w:b w:val="1"/>
          <w:bCs w:val="1"/>
          <w:color w:val="auto"/>
        </w:rPr>
        <w:t>2.11 Evidence of Debt</w:t>
      </w:r>
      <w:r>
        <w:rPr>
          <w:rFonts w:ascii="Arial" w:cs="Arial" w:eastAsia="Arial" w:hAnsi="Arial"/>
          <w:sz w:val="13"/>
          <w:szCs w:val="13"/>
          <w:color w:val="auto"/>
        </w:rPr>
        <w:t>. (a) The Credit Extensions made by each Lender shall be evidenced by one or more accounts or records maintained by such Lender in the ordinary course of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Administrative Agent shall maintain the Register in accordance with </w:t>
      </w:r>
      <w:r>
        <w:rPr>
          <w:rFonts w:ascii="Arial" w:cs="Arial" w:eastAsia="Arial" w:hAnsi="Arial"/>
          <w:sz w:val="13"/>
          <w:szCs w:val="13"/>
          <w:u w:val="single" w:color="auto"/>
          <w:color w:val="auto"/>
        </w:rPr>
        <w:t>Section 11.06(c)</w:t>
      </w:r>
      <w:r>
        <w:rPr>
          <w:rFonts w:ascii="Arial" w:cs="Arial" w:eastAsia="Arial" w:hAnsi="Arial"/>
          <w:sz w:val="13"/>
          <w:szCs w:val="13"/>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59" w:lineRule="exact"/>
        <w:rPr>
          <w:sz w:val="20"/>
          <w:szCs w:val="20"/>
          <w:color w:val="auto"/>
        </w:rPr>
      </w:pPr>
    </w:p>
    <w:p>
      <w:pPr>
        <w:ind w:right="380" w:firstLine="498"/>
        <w:spacing w:after="0" w:line="358" w:lineRule="auto"/>
        <w:tabs>
          <w:tab w:leader="none" w:pos="793" w:val="left"/>
        </w:tabs>
        <w:numPr>
          <w:ilvl w:val="0"/>
          <w:numId w:val="79"/>
        </w:numPr>
        <w:rPr>
          <w:rFonts w:ascii="Arial" w:cs="Arial" w:eastAsia="Arial" w:hAnsi="Arial"/>
          <w:sz w:val="11"/>
          <w:szCs w:val="11"/>
          <w:color w:val="auto"/>
        </w:rPr>
      </w:pPr>
      <w:r>
        <w:rPr>
          <w:rFonts w:ascii="Arial" w:cs="Arial" w:eastAsia="Arial" w:hAnsi="Arial"/>
          <w:sz w:val="11"/>
          <w:szCs w:val="11"/>
          <w:color w:val="auto"/>
        </w:rPr>
        <w:t xml:space="preserve">In addition to the accounts and records referred to in </w:t>
      </w:r>
      <w:r>
        <w:rPr>
          <w:rFonts w:ascii="Arial" w:cs="Arial" w:eastAsia="Arial" w:hAnsi="Arial"/>
          <w:sz w:val="11"/>
          <w:szCs w:val="11"/>
          <w:u w:val="single" w:color="auto"/>
          <w:color w:val="auto"/>
        </w:rPr>
        <w:t>Section 2.11(a)</w:t>
      </w:r>
      <w:r>
        <w:rPr>
          <w:rFonts w:ascii="Arial" w:cs="Arial" w:eastAsia="Arial" w:hAnsi="Arial"/>
          <w:sz w:val="11"/>
          <w:szCs w:val="11"/>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11" w:lineRule="exact"/>
        <w:rPr>
          <w:sz w:val="20"/>
          <w:szCs w:val="20"/>
          <w:color w:val="auto"/>
        </w:rPr>
      </w:pPr>
    </w:p>
    <w:p>
      <w:pPr>
        <w:ind w:right="80" w:firstLine="495"/>
        <w:spacing w:after="0" w:line="272" w:lineRule="auto"/>
        <w:rPr>
          <w:sz w:val="20"/>
          <w:szCs w:val="20"/>
          <w:color w:val="auto"/>
        </w:rPr>
      </w:pPr>
      <w:r>
        <w:rPr>
          <w:rFonts w:ascii="Arial" w:cs="Arial" w:eastAsia="Arial" w:hAnsi="Arial"/>
          <w:sz w:val="13"/>
          <w:szCs w:val="13"/>
          <w:b w:val="1"/>
          <w:bCs w:val="1"/>
          <w:color w:val="auto"/>
        </w:rPr>
        <w:t>2.12 Payments Generally; Administrative Agent’s Clawback</w:t>
      </w:r>
      <w:r>
        <w:rPr>
          <w:rFonts w:ascii="Arial" w:cs="Arial" w:eastAsia="Arial" w:hAnsi="Arial"/>
          <w:sz w:val="13"/>
          <w:szCs w:val="13"/>
          <w:color w:val="auto"/>
        </w:rPr>
        <w:t>. (a)</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General</w:t>
      </w:r>
      <w:r>
        <w:rPr>
          <w:rFonts w:ascii="Arial" w:cs="Arial" w:eastAsia="Arial" w:hAnsi="Arial"/>
          <w:sz w:val="13"/>
          <w:szCs w:val="13"/>
          <w:color w:val="auto"/>
        </w:rPr>
        <w:t>. All payments to be made by the Borrower shall be made free and clear of and without condition or deduction for</w:t>
      </w:r>
      <w:r>
        <w:rPr>
          <w:rFonts w:ascii="Arial" w:cs="Arial" w:eastAsia="Arial" w:hAnsi="Arial"/>
          <w:sz w:val="13"/>
          <w:szCs w:val="13"/>
          <w:b w:val="1"/>
          <w:bCs w:val="1"/>
          <w:color w:val="auto"/>
        </w:rPr>
        <w:t xml:space="preserve"> </w:t>
      </w:r>
      <w:r>
        <w:rPr>
          <w:rFonts w:ascii="Arial" w:cs="Arial" w:eastAsia="Arial" w:hAnsi="Arial"/>
          <w:sz w:val="13"/>
          <w:szCs w:val="13"/>
          <w:color w:val="auto"/>
        </w:rPr>
        <w:t>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59" w:lineRule="exact"/>
        <w:rPr>
          <w:sz w:val="20"/>
          <w:szCs w:val="20"/>
          <w:color w:val="auto"/>
        </w:rPr>
      </w:pPr>
    </w:p>
    <w:p>
      <w:pPr>
        <w:ind w:right="40" w:firstLine="498"/>
        <w:spacing w:after="0" w:line="322" w:lineRule="auto"/>
        <w:tabs>
          <w:tab w:leader="none" w:pos="793" w:val="left"/>
        </w:tabs>
        <w:numPr>
          <w:ilvl w:val="0"/>
          <w:numId w:val="80"/>
        </w:numPr>
        <w:rPr>
          <w:rFonts w:ascii="Arial" w:cs="Arial" w:eastAsia="Arial" w:hAnsi="Arial"/>
          <w:sz w:val="11"/>
          <w:szCs w:val="11"/>
          <w:color w:val="auto"/>
        </w:rPr>
      </w:pPr>
      <w:r>
        <w:rPr>
          <w:rFonts w:ascii="Arial" w:cs="Arial" w:eastAsia="Arial" w:hAnsi="Arial"/>
          <w:sz w:val="11"/>
          <w:szCs w:val="11"/>
          <w:color w:val="auto"/>
        </w:rPr>
        <w:t xml:space="preserve">(i) </w:t>
      </w:r>
      <w:r>
        <w:rPr>
          <w:rFonts w:ascii="Arial" w:cs="Arial" w:eastAsia="Arial" w:hAnsi="Arial"/>
          <w:sz w:val="11"/>
          <w:szCs w:val="11"/>
          <w:u w:val="single" w:color="auto"/>
          <w:color w:val="auto"/>
        </w:rPr>
        <w:t>Funding by Lenders; Presumption by Administrative Agent</w:t>
      </w:r>
      <w:r>
        <w:rPr>
          <w:rFonts w:ascii="Arial" w:cs="Arial" w:eastAsia="Arial" w:hAnsi="Arial"/>
          <w:sz w:val="11"/>
          <w:szCs w:val="11"/>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(or, in the case of a Borrowing of Base Rate Loans, that such Lender has made such share available in accordance with and at the time required by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54</w:t>
      </w:r>
    </w:p>
    <w:p>
      <w:pPr>
        <w:sectPr>
          <w:pgSz w:w="11900" w:h="16838" w:orient="portrait"/>
          <w:cols w:equalWidth="0" w:num="1">
            <w:col w:w="11280"/>
          </w:cols>
          <w:pgMar w:left="300" w:top="129"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140" w:firstLine="493"/>
        <w:spacing w:after="0" w:line="252" w:lineRule="auto"/>
        <w:tabs>
          <w:tab w:leader="none" w:pos="130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Payments by Borrower; Presumptions by Administrative Agent</w:t>
      </w:r>
      <w:r>
        <w:rPr>
          <w:rFonts w:ascii="Arial" w:cs="Arial" w:eastAsia="Arial" w:hAnsi="Arial"/>
          <w:sz w:val="14"/>
          <w:szCs w:val="14"/>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w:t>
      </w:r>
    </w:p>
    <w:p>
      <w:pPr>
        <w:spacing w:after="0" w:line="170" w:lineRule="exact"/>
        <w:rPr>
          <w:sz w:val="20"/>
          <w:szCs w:val="20"/>
          <w:color w:val="auto"/>
        </w:rPr>
      </w:pPr>
    </w:p>
    <w:p>
      <w:pPr>
        <w:ind w:left="500" w:right="80" w:firstLine="495"/>
        <w:spacing w:after="0" w:line="249" w:lineRule="auto"/>
        <w:rPr>
          <w:sz w:val="20"/>
          <w:szCs w:val="20"/>
          <w:color w:val="auto"/>
        </w:rPr>
      </w:pPr>
      <w:r>
        <w:rPr>
          <w:rFonts w:ascii="Arial" w:cs="Arial" w:eastAsia="Arial" w:hAnsi="Arial"/>
          <w:sz w:val="14"/>
          <w:szCs w:val="14"/>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Arial" w:cs="Arial" w:eastAsia="Arial" w:hAnsi="Arial"/>
          <w:sz w:val="14"/>
          <w:szCs w:val="14"/>
          <w:u w:val="single" w:color="auto"/>
          <w:color w:val="auto"/>
        </w:rPr>
        <w:t>Rescindable Amount</w:t>
      </w:r>
      <w:r>
        <w:rPr>
          <w:rFonts w:ascii="Arial" w:cs="Arial" w:eastAsia="Arial" w:hAnsi="Arial"/>
          <w:sz w:val="14"/>
          <w:szCs w:val="14"/>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notice of the Administrative Agent to any Lender or the Borrower with respect to any amount owing under this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shall be conclusive, absent manifest error.</w:t>
      </w:r>
    </w:p>
    <w:p>
      <w:pPr>
        <w:spacing w:after="0" w:line="190" w:lineRule="exact"/>
        <w:rPr>
          <w:sz w:val="20"/>
          <w:szCs w:val="20"/>
          <w:color w:val="auto"/>
        </w:rPr>
      </w:pPr>
    </w:p>
    <w:p>
      <w:pPr>
        <w:ind w:right="80" w:firstLine="498"/>
        <w:spacing w:after="0" w:line="284" w:lineRule="auto"/>
        <w:tabs>
          <w:tab w:leader="none" w:pos="785"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Failure to Satisfy Conditions Precedent</w:t>
      </w:r>
      <w:r>
        <w:rPr>
          <w:rFonts w:ascii="Arial" w:cs="Arial" w:eastAsia="Arial" w:hAnsi="Arial"/>
          <w:sz w:val="13"/>
          <w:szCs w:val="13"/>
          <w:color w:val="auto"/>
        </w:rPr>
        <w:t xml:space="preserve">. If any Lender makes available to the Administrative Agent funds for any Loan to be made by such Lender as provided in the foregoing provisions of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and such funds are not made available to the Borrower by the Administrative Agent because the conditions to the applicable Credit Extension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are not satisfied or waived in accordance with the terms hereof, the Administrative Agent shall return such funds (in like funds as received from such Lender) to such Lender, without interest.</w:t>
      </w:r>
    </w:p>
    <w:p>
      <w:pPr>
        <w:spacing w:after="0" w:line="149" w:lineRule="exact"/>
        <w:rPr>
          <w:rFonts w:ascii="Arial" w:cs="Arial" w:eastAsia="Arial" w:hAnsi="Arial"/>
          <w:sz w:val="13"/>
          <w:szCs w:val="13"/>
          <w:color w:val="auto"/>
        </w:rPr>
      </w:pPr>
    </w:p>
    <w:p>
      <w:pPr>
        <w:jc w:val="both"/>
        <w:ind w:right="260" w:firstLine="498"/>
        <w:spacing w:after="0" w:line="252" w:lineRule="auto"/>
        <w:tabs>
          <w:tab w:leader="none" w:pos="793"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Obligations of Lenders Several</w:t>
      </w:r>
      <w:r>
        <w:rPr>
          <w:rFonts w:ascii="Arial" w:cs="Arial" w:eastAsia="Arial" w:hAnsi="Arial"/>
          <w:sz w:val="14"/>
          <w:szCs w:val="14"/>
          <w:color w:val="auto"/>
        </w:rPr>
        <w:t xml:space="preserve">. The obligations of the Lenders hereunder to make Revolving Credit Loans, to fund participations in Letters of Credit and Swing Line Loans and to make payments pursuant to </w:t>
      </w:r>
      <w:r>
        <w:rPr>
          <w:rFonts w:ascii="Arial" w:cs="Arial" w:eastAsia="Arial" w:hAnsi="Arial"/>
          <w:sz w:val="14"/>
          <w:szCs w:val="14"/>
          <w:u w:val="single" w:color="auto"/>
          <w:color w:val="auto"/>
        </w:rPr>
        <w:t>Section 11.04(c)</w:t>
      </w:r>
      <w:r>
        <w:rPr>
          <w:rFonts w:ascii="Arial" w:cs="Arial" w:eastAsia="Arial" w:hAnsi="Arial"/>
          <w:sz w:val="14"/>
          <w:szCs w:val="14"/>
          <w:color w:val="auto"/>
        </w:rPr>
        <w:t xml:space="preserve"> are several and not joint. The failure of any Lender to make any Loan, to fund any such participation or to make any payment under </w:t>
      </w:r>
      <w:r>
        <w:rPr>
          <w:rFonts w:ascii="Arial" w:cs="Arial" w:eastAsia="Arial" w:hAnsi="Arial"/>
          <w:sz w:val="14"/>
          <w:szCs w:val="14"/>
          <w:u w:val="single" w:color="auto"/>
          <w:color w:val="auto"/>
        </w:rPr>
        <w:t>Section 11.04(c)</w:t>
      </w:r>
      <w:r>
        <w:rPr>
          <w:rFonts w:ascii="Arial" w:cs="Arial" w:eastAsia="Arial" w:hAnsi="Arial"/>
          <w:sz w:val="14"/>
          <w:szCs w:val="14"/>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4"/>
          <w:szCs w:val="14"/>
          <w:u w:val="single" w:color="auto"/>
          <w:color w:val="auto"/>
        </w:rPr>
        <w:t>Section 11.04(c)</w:t>
      </w:r>
      <w:r>
        <w:rPr>
          <w:rFonts w:ascii="Arial" w:cs="Arial" w:eastAsia="Arial" w:hAnsi="Arial"/>
          <w:sz w:val="14"/>
          <w:szCs w:val="14"/>
          <w:color w:val="auto"/>
        </w:rPr>
        <w:t>.</w:t>
      </w:r>
    </w:p>
    <w:p>
      <w:pPr>
        <w:spacing w:after="0" w:line="169" w:lineRule="exact"/>
        <w:rPr>
          <w:rFonts w:ascii="Arial" w:cs="Arial" w:eastAsia="Arial" w:hAnsi="Arial"/>
          <w:sz w:val="14"/>
          <w:szCs w:val="14"/>
          <w:color w:val="auto"/>
        </w:rPr>
      </w:pPr>
    </w:p>
    <w:p>
      <w:pPr>
        <w:ind w:right="20" w:firstLine="498"/>
        <w:spacing w:after="0" w:line="253" w:lineRule="auto"/>
        <w:tabs>
          <w:tab w:leader="none" w:pos="785"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Funding Source</w:t>
      </w:r>
      <w:r>
        <w:rPr>
          <w:rFonts w:ascii="Arial" w:cs="Arial" w:eastAsia="Arial" w:hAnsi="Arial"/>
          <w:sz w:val="14"/>
          <w:szCs w:val="14"/>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ind w:right="40" w:firstLine="498"/>
        <w:spacing w:after="0" w:line="247" w:lineRule="auto"/>
        <w:tabs>
          <w:tab w:leader="none" w:pos="77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Insufficient Funds</w:t>
      </w:r>
      <w:r>
        <w:rPr>
          <w:rFonts w:ascii="Arial" w:cs="Arial" w:eastAsia="Arial" w:hAnsi="Arial"/>
          <w:sz w:val="14"/>
          <w:szCs w:val="14"/>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4"/>
          <w:szCs w:val="14"/>
          <w:u w:val="single" w:color="auto"/>
          <w:color w:val="auto"/>
        </w:rPr>
        <w:t>second</w:t>
      </w:r>
      <w:r>
        <w:rPr>
          <w:rFonts w:ascii="Arial" w:cs="Arial" w:eastAsia="Arial" w:hAnsi="Arial"/>
          <w:sz w:val="14"/>
          <w:szCs w:val="14"/>
          <w:color w:val="auto"/>
        </w:rPr>
        <w:t>, toward payment of principal and L/C Borrowings then due hereunder, ratably among the parties entitled thereto in accordance with the amounts of principal and L/C Borrowings then due to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55</w:t>
      </w:r>
    </w:p>
    <w:p>
      <w:pPr>
        <w:sectPr>
          <w:pgSz w:w="11900" w:h="16838" w:orient="portrait"/>
          <w:cols w:equalWidth="0" w:num="1">
            <w:col w:w="11280"/>
          </w:cols>
          <w:pgMar w:left="300" w:top="129"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firstLine="495"/>
        <w:spacing w:after="0" w:line="325" w:lineRule="auto"/>
        <w:rPr>
          <w:sz w:val="20"/>
          <w:szCs w:val="20"/>
          <w:color w:val="auto"/>
        </w:rPr>
      </w:pPr>
      <w:r>
        <w:rPr>
          <w:rFonts w:ascii="Arial" w:cs="Arial" w:eastAsia="Arial" w:hAnsi="Arial"/>
          <w:sz w:val="11"/>
          <w:szCs w:val="11"/>
          <w:b w:val="1"/>
          <w:bCs w:val="1"/>
          <w:color w:val="auto"/>
        </w:rPr>
        <w:t>2.13 Sharing of Payments by Lenders</w:t>
      </w:r>
      <w:r>
        <w:rPr>
          <w:rFonts w:ascii="Arial" w:cs="Arial" w:eastAsia="Arial" w:hAnsi="Arial"/>
          <w:sz w:val="11"/>
          <w:szCs w:val="11"/>
          <w:color w:val="auto"/>
        </w:rPr>
        <w:t>. If any Lender shall, by exercising any right of setoff or counterclaim or otherwise, obtain payment in respect of (a) Obligations due and payable to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w:t>
      </w:r>
    </w:p>
    <w:p>
      <w:pPr>
        <w:spacing w:after="0" w:line="298" w:lineRule="exact"/>
        <w:rPr>
          <w:sz w:val="20"/>
          <w:szCs w:val="20"/>
          <w:color w:val="auto"/>
        </w:rPr>
      </w:pPr>
    </w:p>
    <w:p>
      <w:pPr>
        <w:ind w:right="160" w:firstLine="498"/>
        <w:spacing w:after="0" w:line="266" w:lineRule="auto"/>
        <w:tabs>
          <w:tab w:leader="none" w:pos="762" w:val="left"/>
        </w:tabs>
        <w:numPr>
          <w:ilvl w:val="0"/>
          <w:numId w:val="83"/>
        </w:numPr>
        <w:rPr>
          <w:rFonts w:ascii="Arial" w:cs="Arial" w:eastAsia="Arial" w:hAnsi="Arial"/>
          <w:sz w:val="14"/>
          <w:szCs w:val="14"/>
          <w:color w:val="auto"/>
        </w:rPr>
      </w:pPr>
      <w:r>
        <w:rPr>
          <w:rFonts w:ascii="Arial" w:cs="Arial" w:eastAsia="Arial" w:hAnsi="Arial"/>
          <w:sz w:val="14"/>
          <w:szCs w:val="14"/>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8" w:lineRule="exact"/>
        <w:rPr>
          <w:rFonts w:ascii="Arial" w:cs="Arial" w:eastAsia="Arial" w:hAnsi="Arial"/>
          <w:sz w:val="14"/>
          <w:szCs w:val="14"/>
          <w:color w:val="auto"/>
        </w:rPr>
      </w:pPr>
    </w:p>
    <w:p>
      <w:pPr>
        <w:ind w:right="300" w:firstLine="498"/>
        <w:spacing w:after="0" w:line="252" w:lineRule="auto"/>
        <w:tabs>
          <w:tab w:leader="none" w:pos="8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4"/>
          <w:szCs w:val="14"/>
          <w:u w:val="single" w:color="auto"/>
          <w:color w:val="auto"/>
        </w:rPr>
        <w:t>Section 2.16</w:t>
      </w:r>
      <w:r>
        <w:rPr>
          <w:rFonts w:ascii="Arial" w:cs="Arial" w:eastAsia="Arial" w:hAnsi="Arial"/>
          <w:sz w:val="14"/>
          <w:szCs w:val="14"/>
          <w:color w:val="auto"/>
        </w:rPr>
        <w:t>, or (C) any payment obtained by a Lender as consideration for the assignment of or sale of a participation in any of its Loans or subparticipations in L/C Obligations or Swing Line Loans to any assignee or participant, other than an assignment to the Borrower or any Subsidiary thereof (as to which the provisions of this Section shall apply).</w:t>
      </w:r>
    </w:p>
    <w:p>
      <w:pPr>
        <w:spacing w:after="0" w:line="170" w:lineRule="exact"/>
        <w:rPr>
          <w:sz w:val="20"/>
          <w:szCs w:val="20"/>
          <w:color w:val="auto"/>
        </w:rPr>
      </w:pPr>
    </w:p>
    <w:p>
      <w:pPr>
        <w:ind w:right="100" w:firstLine="495"/>
        <w:spacing w:after="0" w:line="256" w:lineRule="auto"/>
        <w:rPr>
          <w:sz w:val="20"/>
          <w:szCs w:val="20"/>
          <w:color w:val="auto"/>
        </w:rPr>
      </w:pPr>
      <w:r>
        <w:rPr>
          <w:rFonts w:ascii="Arial" w:cs="Arial" w:eastAsia="Arial" w:hAnsi="Arial"/>
          <w:sz w:val="14"/>
          <w:szCs w:val="14"/>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2.14</w:t>
      </w:r>
      <w:r>
        <w:rPr>
          <w:sz w:val="20"/>
          <w:szCs w:val="20"/>
          <w:color w:val="auto"/>
        </w:rPr>
        <w:tab/>
      </w:r>
      <w:r>
        <w:rPr>
          <w:rFonts w:ascii="Arial" w:cs="Arial" w:eastAsia="Arial" w:hAnsi="Arial"/>
          <w:sz w:val="11"/>
          <w:szCs w:val="1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56</w:t>
      </w:r>
    </w:p>
    <w:p>
      <w:pPr>
        <w:sectPr>
          <w:pgSz w:w="11900" w:h="16838" w:orient="portrait"/>
          <w:cols w:equalWidth="0" w:num="1">
            <w:col w:w="11280"/>
          </w:cols>
          <w:pgMar w:left="300" w:top="129"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2.15</w:t>
      </w:r>
      <w:r>
        <w:rPr>
          <w:sz w:val="20"/>
          <w:szCs w:val="20"/>
          <w:color w:val="auto"/>
        </w:rPr>
        <w:tab/>
      </w:r>
      <w:r>
        <w:rPr>
          <w:rFonts w:ascii="Arial" w:cs="Arial" w:eastAsia="Arial" w:hAnsi="Arial"/>
          <w:sz w:val="11"/>
          <w:szCs w:val="11"/>
          <w:b w:val="1"/>
          <w:bCs w:val="1"/>
          <w:color w:val="auto"/>
        </w:rPr>
        <w:t>Increase in Commitments.</w:t>
      </w:r>
    </w:p>
    <w:p>
      <w:pPr>
        <w:spacing w:after="0" w:line="194" w:lineRule="exact"/>
        <w:rPr>
          <w:sz w:val="20"/>
          <w:szCs w:val="20"/>
          <w:color w:val="auto"/>
        </w:rPr>
      </w:pPr>
    </w:p>
    <w:p>
      <w:pPr>
        <w:ind w:right="20" w:firstLine="498"/>
        <w:spacing w:after="0" w:line="324" w:lineRule="auto"/>
        <w:tabs>
          <w:tab w:leader="none" w:pos="785" w:val="left"/>
        </w:tabs>
        <w:numPr>
          <w:ilvl w:val="0"/>
          <w:numId w:val="84"/>
        </w:numPr>
        <w:rPr>
          <w:rFonts w:ascii="Arial" w:cs="Arial" w:eastAsia="Arial" w:hAnsi="Arial"/>
          <w:sz w:val="11"/>
          <w:szCs w:val="11"/>
          <w:color w:val="auto"/>
        </w:rPr>
      </w:pPr>
      <w:r>
        <w:rPr>
          <w:rFonts w:ascii="Arial" w:cs="Arial" w:eastAsia="Arial" w:hAnsi="Arial"/>
          <w:sz w:val="11"/>
          <w:szCs w:val="11"/>
          <w:u w:val="single" w:color="auto"/>
          <w:color w:val="auto"/>
        </w:rPr>
        <w:t>Borrower Request</w:t>
      </w:r>
      <w:r>
        <w:rPr>
          <w:rFonts w:ascii="Arial" w:cs="Arial" w:eastAsia="Arial" w:hAnsi="Arial"/>
          <w:sz w:val="11"/>
          <w:szCs w:val="11"/>
          <w:color w:val="auto"/>
        </w:rPr>
        <w:t>. The Borrower may by written notice to the Administrative Agent elect to request prior to the Maturity Date for the Revolving Credit Facility, an increase to the existing Commitments (each, an “</w:t>
      </w:r>
      <w:r>
        <w:rPr>
          <w:rFonts w:ascii="Arial" w:cs="Arial" w:eastAsia="Arial" w:hAnsi="Arial"/>
          <w:sz w:val="11"/>
          <w:szCs w:val="11"/>
          <w:u w:val="single" w:color="auto"/>
          <w:color w:val="auto"/>
        </w:rPr>
        <w:t>Incremental Revolving Commitment</w:t>
      </w:r>
      <w:r>
        <w:rPr>
          <w:rFonts w:ascii="Arial" w:cs="Arial" w:eastAsia="Arial" w:hAnsi="Arial"/>
          <w:sz w:val="11"/>
          <w:szCs w:val="11"/>
          <w:color w:val="auto"/>
        </w:rPr>
        <w:t xml:space="preserve">”), by an aggregate amount not in excess of the lesser of (x) $250,000,000 and (y) an amount that, after giving pro forma effect to the incurrence of such Incremental Revolving Commitment (assuming that such Incremental Revolving Commitment is fully drawn) and the application of the proceeds therefrom, would not result in a Consolidated Net Leverage Ratio greater than the then applicable ratio specified in </w:t>
      </w:r>
      <w:r>
        <w:rPr>
          <w:rFonts w:ascii="Arial" w:cs="Arial" w:eastAsia="Arial" w:hAnsi="Arial"/>
          <w:sz w:val="11"/>
          <w:szCs w:val="11"/>
          <w:u w:val="single" w:color="auto"/>
          <w:color w:val="auto"/>
        </w:rPr>
        <w:t>Section 7.11(b)</w:t>
      </w:r>
      <w:r>
        <w:rPr>
          <w:rFonts w:ascii="Arial" w:cs="Arial" w:eastAsia="Arial" w:hAnsi="Arial"/>
          <w:sz w:val="11"/>
          <w:szCs w:val="11"/>
          <w:color w:val="auto"/>
        </w:rPr>
        <w:t xml:space="preserve"> less 0.50 to 1.00 (determined on the basis of the financial information most recently delivered to the Administrative Agent and the Lenders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as though such Incremental Revolving Commitment had been consummated as of the first day of the fiscal period covered thereby). Each such notice shall specify (i) the date (each, an “</w:t>
      </w:r>
      <w:r>
        <w:rPr>
          <w:rFonts w:ascii="Arial" w:cs="Arial" w:eastAsia="Arial" w:hAnsi="Arial"/>
          <w:sz w:val="11"/>
          <w:szCs w:val="11"/>
          <w:u w:val="single" w:color="auto"/>
          <w:color w:val="auto"/>
        </w:rPr>
        <w:t>Increase Effective Date</w:t>
      </w:r>
      <w:r>
        <w:rPr>
          <w:rFonts w:ascii="Arial" w:cs="Arial" w:eastAsia="Arial" w:hAnsi="Arial"/>
          <w:sz w:val="11"/>
          <w:szCs w:val="11"/>
          <w:color w:val="auto"/>
        </w:rPr>
        <w:t xml:space="preserve">”) on which the Borrower proposes that the Incremental Commitments shall be effective, which shall be a date not less than 10 Business Days after the date on which such notice is delivered to the Administrative Agent and (ii) the identity of each Eligible Assignee to whom the Borrower proposes any portion of such Incremental Commitments be allocated and the amounts of such allocations;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existing Lender approached to provide all or a portion of the Incremental Commitments may elect or decline, in its sole discretion, to provide such Incremental Commitment. Each Incremental Commitment shall be in an aggregate amount of $10,000,000 or any whole multiple of $500,000 in excess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amount may be less than $10,000,000 if such amount represents all remaining availability under the aggregate limit in respect of Incremental Commitments set forth in above).</w:t>
      </w:r>
    </w:p>
    <w:p>
      <w:pPr>
        <w:spacing w:after="0" w:line="299" w:lineRule="exact"/>
        <w:rPr>
          <w:rFonts w:ascii="Arial" w:cs="Arial" w:eastAsia="Arial" w:hAnsi="Arial"/>
          <w:sz w:val="11"/>
          <w:szCs w:val="11"/>
          <w:color w:val="auto"/>
        </w:rPr>
      </w:pPr>
    </w:p>
    <w:p>
      <w:pPr>
        <w:ind w:left="800" w:hanging="302"/>
        <w:spacing w:after="0"/>
        <w:tabs>
          <w:tab w:leader="none" w:pos="80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Conditions</w:t>
      </w:r>
      <w:r>
        <w:rPr>
          <w:rFonts w:ascii="Arial" w:cs="Arial" w:eastAsia="Arial" w:hAnsi="Arial"/>
          <w:sz w:val="14"/>
          <w:szCs w:val="14"/>
          <w:color w:val="auto"/>
        </w:rPr>
        <w:t xml:space="preserve">. The Incremental Commitments shall become effective as of the Increase Effective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89" w:lineRule="exact"/>
        <w:rPr>
          <w:rFonts w:ascii="Arial" w:cs="Arial" w:eastAsia="Arial" w:hAnsi="Arial"/>
          <w:sz w:val="14"/>
          <w:szCs w:val="14"/>
          <w:color w:val="auto"/>
        </w:rPr>
      </w:pPr>
    </w:p>
    <w:p>
      <w:pPr>
        <w:ind w:left="1260" w:hanging="267"/>
        <w:spacing w:after="0"/>
        <w:tabs>
          <w:tab w:leader="none" w:pos="12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each of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shall be satisfied;</w:t>
      </w:r>
    </w:p>
    <w:p>
      <w:pPr>
        <w:spacing w:after="0" w:line="189" w:lineRule="exact"/>
        <w:rPr>
          <w:rFonts w:ascii="Arial" w:cs="Arial" w:eastAsia="Arial" w:hAnsi="Arial"/>
          <w:sz w:val="14"/>
          <w:szCs w:val="14"/>
          <w:color w:val="auto"/>
        </w:rPr>
      </w:pPr>
    </w:p>
    <w:p>
      <w:pPr>
        <w:ind w:left="1300" w:hanging="307"/>
        <w:spacing w:after="0"/>
        <w:tabs>
          <w:tab w:leader="none" w:pos="13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no Default shall have occurred and be continuing or would result from the borrowings to be made on the Increase Effective Date;</w:t>
      </w:r>
    </w:p>
    <w:p>
      <w:pPr>
        <w:spacing w:after="0" w:line="189" w:lineRule="exact"/>
        <w:rPr>
          <w:rFonts w:ascii="Arial" w:cs="Arial" w:eastAsia="Arial" w:hAnsi="Arial"/>
          <w:sz w:val="14"/>
          <w:szCs w:val="14"/>
          <w:color w:val="auto"/>
        </w:rPr>
      </w:pPr>
    </w:p>
    <w:p>
      <w:pPr>
        <w:ind w:left="500" w:firstLine="493"/>
        <w:spacing w:after="0" w:line="251" w:lineRule="auto"/>
        <w:tabs>
          <w:tab w:leader="none" w:pos="1339"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contained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and the other Loan Documents are true and correct in all material respects (or, with respect to representations and warranties qualified by materiality, in all respects) on and as of the Increase Effective Date, except to the extent that such representations and warranties specifically refer to an earlier date, in which case they shall have been true and correct in all material respects (or, with respect to representations and warranties qualified by materiality, in all respects) as of such earlier date, and except that for purposes of this </w:t>
      </w:r>
      <w:r>
        <w:rPr>
          <w:rFonts w:ascii="Arial" w:cs="Arial" w:eastAsia="Arial" w:hAnsi="Arial"/>
          <w:sz w:val="14"/>
          <w:szCs w:val="14"/>
          <w:u w:val="single" w:color="auto"/>
          <w:color w:val="auto"/>
        </w:rPr>
        <w:t>Section 2.15(b)</w:t>
      </w:r>
      <w:r>
        <w:rPr>
          <w:rFonts w:ascii="Arial" w:cs="Arial" w:eastAsia="Arial" w:hAnsi="Arial"/>
          <w:sz w:val="14"/>
          <w:szCs w:val="14"/>
          <w:color w:val="auto"/>
        </w:rPr>
        <w:t xml:space="preserve">, the representations and warranties contained in </w:t>
      </w:r>
      <w:r>
        <w:rPr>
          <w:rFonts w:ascii="Arial" w:cs="Arial" w:eastAsia="Arial" w:hAnsi="Arial"/>
          <w:sz w:val="14"/>
          <w:szCs w:val="14"/>
          <w:u w:val="single" w:color="auto"/>
          <w:color w:val="auto"/>
        </w:rPr>
        <w:t>Section 5.05(a)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5.05(b)</w:t>
      </w:r>
      <w:r>
        <w:rPr>
          <w:rFonts w:ascii="Arial" w:cs="Arial" w:eastAsia="Arial" w:hAnsi="Arial"/>
          <w:sz w:val="14"/>
          <w:szCs w:val="14"/>
          <w:color w:val="auto"/>
        </w:rPr>
        <w:t xml:space="preserve"> shall be deemed to refer to the most recent financial statements furnished pursuant to </w:t>
      </w:r>
      <w:r>
        <w:rPr>
          <w:rFonts w:ascii="Arial" w:cs="Arial" w:eastAsia="Arial" w:hAnsi="Arial"/>
          <w:sz w:val="14"/>
          <w:szCs w:val="14"/>
          <w:u w:val="single" w:color="auto"/>
          <w:color w:val="auto"/>
        </w:rPr>
        <w:t>subsections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respectively, of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168" w:lineRule="exact"/>
        <w:rPr>
          <w:rFonts w:ascii="Arial" w:cs="Arial" w:eastAsia="Arial" w:hAnsi="Arial"/>
          <w:sz w:val="14"/>
          <w:szCs w:val="14"/>
          <w:color w:val="auto"/>
        </w:rPr>
      </w:pPr>
    </w:p>
    <w:p>
      <w:pPr>
        <w:ind w:left="500" w:right="120" w:firstLine="493"/>
        <w:spacing w:after="0" w:line="266" w:lineRule="auto"/>
        <w:tabs>
          <w:tab w:leader="none" w:pos="1331"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on a pro forma basis (assuming that the Incremental Revolving Commitments are fully drawn), the Borrower shall be in compliance with each of the covenants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7.11</w:t>
      </w:r>
      <w:r>
        <w:rPr>
          <w:rFonts w:ascii="Arial" w:cs="Arial" w:eastAsia="Arial" w:hAnsi="Arial"/>
          <w:sz w:val="14"/>
          <w:szCs w:val="14"/>
          <w:color w:val="auto"/>
        </w:rPr>
        <w:t xml:space="preserve"> as of the end of the latest fiscal quarter for which internal financial statements are available;</w:t>
      </w:r>
    </w:p>
    <w:p>
      <w:pPr>
        <w:spacing w:after="0" w:line="158" w:lineRule="exact"/>
        <w:rPr>
          <w:rFonts w:ascii="Arial" w:cs="Arial" w:eastAsia="Arial" w:hAnsi="Arial"/>
          <w:sz w:val="14"/>
          <w:szCs w:val="14"/>
          <w:color w:val="auto"/>
        </w:rPr>
      </w:pPr>
    </w:p>
    <w:p>
      <w:pPr>
        <w:ind w:left="1300" w:hanging="307"/>
        <w:spacing w:after="0"/>
        <w:tabs>
          <w:tab w:leader="none" w:pos="13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the Borrower shall make any breakage payments in connection with any adjustment of Revolving Credit Loans pursuant to </w:t>
      </w:r>
      <w:r>
        <w:rPr>
          <w:rFonts w:ascii="Arial" w:cs="Arial" w:eastAsia="Arial" w:hAnsi="Arial"/>
          <w:sz w:val="14"/>
          <w:szCs w:val="14"/>
          <w:u w:val="single" w:color="auto"/>
          <w:color w:val="auto"/>
        </w:rPr>
        <w:t>Section 2.15(d)</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500" w:right="220" w:firstLine="493"/>
        <w:spacing w:after="0" w:line="266" w:lineRule="auto"/>
        <w:tabs>
          <w:tab w:leader="none" w:pos="1331"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Borrower shall deliver or cause to be delivered officer’s certificates and legal opinions of the type delivered on the Closing Date to the extent reasonably requested by, and in form and substance reasonably satisfactory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57</w:t>
      </w:r>
    </w:p>
    <w:p>
      <w:pPr>
        <w:sectPr>
          <w:pgSz w:w="11900" w:h="16838" w:orient="portrait"/>
          <w:cols w:equalWidth="0" w:num="1">
            <w:col w:w="11280"/>
          </w:cols>
          <w:pgMar w:left="300" w:top="129"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251" w:lineRule="auto"/>
        <w:tabs>
          <w:tab w:leader="none" w:pos="1369" w:val="left"/>
        </w:tabs>
        <w:numPr>
          <w:ilvl w:val="1"/>
          <w:numId w:val="85"/>
        </w:numPr>
        <w:rPr>
          <w:rFonts w:ascii="Arial" w:cs="Arial" w:eastAsia="Arial" w:hAnsi="Arial"/>
          <w:sz w:val="14"/>
          <w:szCs w:val="14"/>
          <w:color w:val="auto"/>
        </w:rPr>
      </w:pPr>
      <w:r>
        <w:rPr>
          <w:rFonts w:ascii="Arial" w:cs="Arial" w:eastAsia="Arial" w:hAnsi="Arial"/>
          <w:sz w:val="14"/>
          <w:szCs w:val="14"/>
          <w:color w:val="auto"/>
        </w:rPr>
        <w:t>(x) upon the reasonable request of any Lender providing an Incremental Revolving Commitment made at least seven (7) days prior to the Increase Effective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five (5) days prior to the Increase Effective Date and (y) at least five (5) days prior to the Increase Effective Date, any Loan Party that qualifies as a “legal entity customer” under the Beneficial Ownership Regulation shall have delivered, to each Lender that so requests, a Beneficial Ownership Certification in relation to such Loan Party.</w:t>
      </w:r>
    </w:p>
    <w:p>
      <w:pPr>
        <w:spacing w:after="0" w:line="168" w:lineRule="exact"/>
        <w:rPr>
          <w:rFonts w:ascii="Arial" w:cs="Arial" w:eastAsia="Arial" w:hAnsi="Arial"/>
          <w:sz w:val="14"/>
          <w:szCs w:val="14"/>
          <w:color w:val="auto"/>
        </w:rPr>
      </w:pPr>
    </w:p>
    <w:p>
      <w:pPr>
        <w:ind w:right="20" w:firstLine="498"/>
        <w:spacing w:after="0" w:line="271" w:lineRule="auto"/>
        <w:tabs>
          <w:tab w:leader="none" w:pos="785"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Terms of New Loans and Commitments</w:t>
      </w:r>
      <w:r>
        <w:rPr>
          <w:rFonts w:ascii="Arial" w:cs="Arial" w:eastAsia="Arial" w:hAnsi="Arial"/>
          <w:sz w:val="13"/>
          <w:szCs w:val="13"/>
          <w:color w:val="auto"/>
        </w:rPr>
        <w:t>. Other than in respect of customary arrangement, upfront, structuring, underwriting and other similar fees, the terms and provisions of Revolving Credit Loans made pursuant to new Commitments shall be identical to the Revolving Credit Loans. The Incremental Commitments shall be effected by a joinder agreement (the “</w:t>
      </w:r>
      <w:r>
        <w:rPr>
          <w:rFonts w:ascii="Arial" w:cs="Arial" w:eastAsia="Arial" w:hAnsi="Arial"/>
          <w:sz w:val="13"/>
          <w:szCs w:val="13"/>
          <w:u w:val="single" w:color="auto"/>
          <w:color w:val="auto"/>
        </w:rPr>
        <w:t>Increase Joinder</w:t>
      </w:r>
      <w:r>
        <w:rPr>
          <w:rFonts w:ascii="Arial" w:cs="Arial" w:eastAsia="Arial" w:hAnsi="Arial"/>
          <w:sz w:val="13"/>
          <w:szCs w:val="13"/>
          <w:color w:val="auto"/>
        </w:rPr>
        <w:t xml:space="preserve">”) executed by the Borrower, the Administrative Agent and each Lender making such Incremental Commitment, in form and substance reasonably satisfactory to each of them. Notwithstanding the provisions of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In addition, unless otherwise specifically provided herein, all references in Loan Documents to Revolving Credit Loans shall be deemed, unless the context otherwise requires, to include references to Revolving Credit Loans made pursuant to Incremental Revolving Commitments made pursuant to this Agreement. This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shall supersede any provisions in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to the contrary.</w:t>
      </w:r>
    </w:p>
    <w:p>
      <w:pPr>
        <w:spacing w:after="0" w:line="159" w:lineRule="exact"/>
        <w:rPr>
          <w:rFonts w:ascii="Arial" w:cs="Arial" w:eastAsia="Arial" w:hAnsi="Arial"/>
          <w:sz w:val="13"/>
          <w:szCs w:val="13"/>
          <w:color w:val="auto"/>
        </w:rPr>
      </w:pPr>
    </w:p>
    <w:p>
      <w:pPr>
        <w:ind w:right="40" w:firstLine="498"/>
        <w:spacing w:after="0" w:line="274" w:lineRule="auto"/>
        <w:tabs>
          <w:tab w:leader="none" w:pos="793"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Adjustment of Revolving Credit Loans</w:t>
      </w:r>
      <w:r>
        <w:rPr>
          <w:rFonts w:ascii="Arial" w:cs="Arial" w:eastAsia="Arial" w:hAnsi="Arial"/>
          <w:sz w:val="13"/>
          <w:szCs w:val="13"/>
          <w:color w:val="auto"/>
        </w:rPr>
        <w:t xml:space="preserve">. To the extent the Commitments being in-creased on the relevant Increase Effective Date are 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Commitments after giving effect to such Increase Effective Date. If there is a new borrowing of Revolving Credit Loans on such Increase Effective Date, the Revolving Credit Lenders after giving effect to such Increase Effective Date shall make such Revolving Credit Loans in accordance with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157" w:lineRule="exact"/>
        <w:rPr>
          <w:rFonts w:ascii="Arial" w:cs="Arial" w:eastAsia="Arial" w:hAnsi="Arial"/>
          <w:sz w:val="13"/>
          <w:szCs w:val="13"/>
          <w:color w:val="auto"/>
        </w:rPr>
      </w:pPr>
    </w:p>
    <w:p>
      <w:pPr>
        <w:ind w:left="780" w:hanging="282"/>
        <w:spacing w:after="0"/>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right="160" w:firstLine="498"/>
        <w:spacing w:after="0" w:line="274" w:lineRule="auto"/>
        <w:tabs>
          <w:tab w:leader="none" w:pos="77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Equal and Ratable Benefit</w:t>
      </w:r>
      <w:r>
        <w:rPr>
          <w:rFonts w:ascii="Arial" w:cs="Arial" w:eastAsia="Arial" w:hAnsi="Arial"/>
          <w:sz w:val="13"/>
          <w:szCs w:val="13"/>
          <w:color w:val="auto"/>
        </w:rPr>
        <w:t>. The Loans and Commitments established pursuant to this subsection shall constitute Loans and Commitments under, and shall be entitled to all the benefits afforded by, this Agreement and the other Loan Documents, and shall, without limiting the foregoing, benefit equally and ratably from the Guarantees and security interests created by the Collateral Documents, except that the new Loans may be subordinated in right of payment or the Liens securing the new Loans may be subordinated, in each case, to the extent set forth in the Increase Joinder. The Loan Parties shall take any actions reasonably required by the Administrative Agent to ensure and/or demonstrate that the Lien and security interests granted by the Collateral Documents continue to be perfected under the UCC or otherwise after giving effect to the establishment of any such new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58</w:t>
      </w:r>
    </w:p>
    <w:p>
      <w:pPr>
        <w:sectPr>
          <w:pgSz w:w="11900" w:h="16838" w:orient="portrait"/>
          <w:cols w:equalWidth="0" w:num="1">
            <w:col w:w="11280"/>
          </w:cols>
          <w:pgMar w:left="300" w:top="129"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2.16</w:t>
      </w:r>
      <w:r>
        <w:rPr>
          <w:sz w:val="20"/>
          <w:szCs w:val="20"/>
          <w:color w:val="auto"/>
        </w:rPr>
        <w:tab/>
      </w:r>
      <w:r>
        <w:rPr>
          <w:rFonts w:ascii="Arial" w:cs="Arial" w:eastAsia="Arial" w:hAnsi="Arial"/>
          <w:sz w:val="11"/>
          <w:szCs w:val="11"/>
          <w:b w:val="1"/>
          <w:bCs w:val="1"/>
          <w:color w:val="auto"/>
        </w:rPr>
        <w:t>Cash Collateral</w:t>
      </w:r>
      <w:r>
        <w:rPr>
          <w:rFonts w:ascii="Arial" w:cs="Arial" w:eastAsia="Arial" w:hAnsi="Arial"/>
          <w:sz w:val="11"/>
          <w:szCs w:val="11"/>
          <w:color w:val="auto"/>
        </w:rPr>
        <w:t>.</w:t>
      </w:r>
    </w:p>
    <w:p>
      <w:pPr>
        <w:spacing w:after="0" w:line="194" w:lineRule="exact"/>
        <w:rPr>
          <w:sz w:val="20"/>
          <w:szCs w:val="20"/>
          <w:color w:val="auto"/>
        </w:rPr>
      </w:pPr>
    </w:p>
    <w:p>
      <w:pPr>
        <w:ind w:firstLine="498"/>
        <w:spacing w:after="0" w:line="268" w:lineRule="auto"/>
        <w:tabs>
          <w:tab w:leader="none" w:pos="785"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Certain Credit Support Events</w:t>
      </w:r>
      <w:r>
        <w:rPr>
          <w:rFonts w:ascii="Arial" w:cs="Arial" w:eastAsia="Arial" w:hAnsi="Arial"/>
          <w:sz w:val="13"/>
          <w:szCs w:val="13"/>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3"/>
          <w:szCs w:val="13"/>
          <w:u w:val="single" w:color="auto"/>
          <w:color w:val="auto"/>
        </w:rPr>
        <w:t>Section 8.02(c)</w:t>
      </w:r>
      <w:r>
        <w:rPr>
          <w:rFonts w:ascii="Arial" w:cs="Arial" w:eastAsia="Arial" w:hAnsi="Arial"/>
          <w:sz w:val="13"/>
          <w:szCs w:val="13"/>
          <w:color w:val="auto"/>
        </w:rPr>
        <w:t xml:space="preserve">, or (iv) there shall exist a Defaulting Lender, the Borrower shall immediately (in the case of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above, after giving effect to </w:t>
      </w:r>
      <w:r>
        <w:rPr>
          <w:rFonts w:ascii="Arial" w:cs="Arial" w:eastAsia="Arial" w:hAnsi="Arial"/>
          <w:sz w:val="13"/>
          <w:szCs w:val="13"/>
          <w:u w:val="single" w:color="auto"/>
          <w:color w:val="auto"/>
        </w:rPr>
        <w:t>Section 2.17(a)(iv)</w:t>
      </w:r>
      <w:r>
        <w:rPr>
          <w:rFonts w:ascii="Arial" w:cs="Arial" w:eastAsia="Arial" w:hAnsi="Arial"/>
          <w:sz w:val="13"/>
          <w:szCs w:val="13"/>
          <w:color w:val="auto"/>
        </w:rPr>
        <w:t xml:space="preserve"> and any Cash Collateral provided by the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L/C Issuer. Additionally, if the Administrative Agent notifies the Borrower at any time that the Outstanding Amount of all L/C Obligations at such time exceeds 100% of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62" w:lineRule="exact"/>
        <w:rPr>
          <w:rFonts w:ascii="Arial" w:cs="Arial" w:eastAsia="Arial" w:hAnsi="Arial"/>
          <w:sz w:val="13"/>
          <w:szCs w:val="13"/>
          <w:color w:val="auto"/>
        </w:rPr>
      </w:pPr>
    </w:p>
    <w:p>
      <w:pPr>
        <w:ind w:right="40" w:firstLine="498"/>
        <w:spacing w:after="0" w:line="270" w:lineRule="auto"/>
        <w:tabs>
          <w:tab w:leader="none" w:pos="793"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Grant of Security Interest</w:t>
      </w:r>
      <w:r>
        <w:rPr>
          <w:rFonts w:ascii="Arial" w:cs="Arial" w:eastAsia="Arial" w:hAnsi="Arial"/>
          <w:sz w:val="13"/>
          <w:szCs w:val="13"/>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3"/>
          <w:szCs w:val="13"/>
          <w:u w:val="single" w:color="auto"/>
          <w:color w:val="auto"/>
        </w:rPr>
        <w:t>Section 2.16(c)</w:t>
      </w:r>
      <w:r>
        <w:rPr>
          <w:rFonts w:ascii="Arial" w:cs="Arial" w:eastAsia="Arial" w:hAnsi="Arial"/>
          <w:sz w:val="13"/>
          <w:szCs w:val="13"/>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60" w:lineRule="exact"/>
        <w:rPr>
          <w:rFonts w:ascii="Arial" w:cs="Arial" w:eastAsia="Arial" w:hAnsi="Arial"/>
          <w:sz w:val="13"/>
          <w:szCs w:val="13"/>
          <w:color w:val="auto"/>
        </w:rPr>
      </w:pPr>
    </w:p>
    <w:p>
      <w:pPr>
        <w:ind w:right="120" w:firstLine="498"/>
        <w:spacing w:after="0" w:line="358" w:lineRule="auto"/>
        <w:tabs>
          <w:tab w:leader="none" w:pos="785"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Application</w:t>
      </w:r>
      <w:r>
        <w:rPr>
          <w:rFonts w:ascii="Arial" w:cs="Arial" w:eastAsia="Arial" w:hAnsi="Arial"/>
          <w:sz w:val="11"/>
          <w:szCs w:val="11"/>
          <w:color w:val="auto"/>
        </w:rPr>
        <w:t xml:space="preserve">. Notwithstanding anything to the contrary contained in this Agreement, Cash Collateral provided under any of this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Sections 2.03</w:t>
      </w:r>
      <w:r>
        <w:rPr>
          <w:rFonts w:ascii="Arial" w:cs="Arial" w:eastAsia="Arial" w:hAnsi="Arial"/>
          <w:sz w:val="11"/>
          <w:szCs w:val="11"/>
          <w:color w:val="auto"/>
        </w:rPr>
        <w:t xml:space="preserve">, </w:t>
      </w:r>
      <w:r>
        <w:rPr>
          <w:rFonts w:ascii="Arial" w:cs="Arial" w:eastAsia="Arial" w:hAnsi="Arial"/>
          <w:sz w:val="11"/>
          <w:szCs w:val="11"/>
          <w:u w:val="single" w:color="auto"/>
          <w:color w:val="auto"/>
        </w:rPr>
        <w:t>2.05</w:t>
      </w:r>
      <w:r>
        <w:rPr>
          <w:rFonts w:ascii="Arial" w:cs="Arial" w:eastAsia="Arial" w:hAnsi="Arial"/>
          <w:sz w:val="11"/>
          <w:szCs w:val="11"/>
          <w:color w:val="auto"/>
        </w:rPr>
        <w:t xml:space="preserve">, </w:t>
      </w:r>
      <w:r>
        <w:rPr>
          <w:rFonts w:ascii="Arial" w:cs="Arial" w:eastAsia="Arial" w:hAnsi="Arial"/>
          <w:sz w:val="11"/>
          <w:szCs w:val="11"/>
          <w:u w:val="single" w:color="auto"/>
          <w:color w:val="auto"/>
        </w:rPr>
        <w:t>2.06</w:t>
      </w:r>
      <w:r>
        <w:rPr>
          <w:rFonts w:ascii="Arial" w:cs="Arial" w:eastAsia="Arial" w:hAnsi="Arial"/>
          <w:sz w:val="11"/>
          <w:szCs w:val="11"/>
          <w:color w:val="auto"/>
        </w:rPr>
        <w:t xml:space="preserve">, </w:t>
      </w:r>
      <w:r>
        <w:rPr>
          <w:rFonts w:ascii="Arial" w:cs="Arial" w:eastAsia="Arial" w:hAnsi="Arial"/>
          <w:sz w:val="11"/>
          <w:szCs w:val="11"/>
          <w:u w:val="single" w:color="auto"/>
          <w:color w:val="auto"/>
        </w:rPr>
        <w:t>2.17</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8.02</w:t>
      </w:r>
      <w:r>
        <w:rPr>
          <w:rFonts w:ascii="Arial" w:cs="Arial" w:eastAsia="Arial" w:hAnsi="Arial"/>
          <w:sz w:val="11"/>
          <w:szCs w:val="11"/>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14" w:lineRule="exact"/>
        <w:rPr>
          <w:rFonts w:ascii="Arial" w:cs="Arial" w:eastAsia="Arial" w:hAnsi="Arial"/>
          <w:sz w:val="11"/>
          <w:szCs w:val="11"/>
          <w:color w:val="auto"/>
        </w:rPr>
      </w:pPr>
    </w:p>
    <w:p>
      <w:pPr>
        <w:ind w:firstLine="498"/>
        <w:spacing w:after="0" w:line="250" w:lineRule="auto"/>
        <w:tabs>
          <w:tab w:leader="none" w:pos="793"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Release</w:t>
      </w:r>
      <w:r>
        <w:rPr>
          <w:rFonts w:ascii="Arial" w:cs="Arial" w:eastAsia="Arial" w:hAnsi="Arial"/>
          <w:sz w:val="14"/>
          <w:szCs w:val="14"/>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4"/>
          <w:szCs w:val="14"/>
          <w:u w:val="single" w:color="auto"/>
          <w:color w:val="auto"/>
        </w:rPr>
        <w:t>Section 11.06(b)(vi)</w:t>
      </w:r>
      <w:r>
        <w:rPr>
          <w:rFonts w:ascii="Arial" w:cs="Arial" w:eastAsia="Arial" w:hAnsi="Arial"/>
          <w:sz w:val="14"/>
          <w:szCs w:val="14"/>
          <w:color w:val="auto"/>
        </w:rPr>
        <w:t xml:space="preserve">)) or (ii) the determination by the Administrative Agent and the L/C Issuer that there exists excess Cash Collateral;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59</w:t>
      </w:r>
    </w:p>
    <w:p>
      <w:pPr>
        <w:sectPr>
          <w:pgSz w:w="11900" w:h="16838" w:orient="portrait"/>
          <w:cols w:equalWidth="0" w:num="1">
            <w:col w:w="11280"/>
          </w:cols>
          <w:pgMar w:left="300" w:top="129" w:right="3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2.17</w:t>
      </w:r>
      <w:r>
        <w:rPr>
          <w:sz w:val="20"/>
          <w:szCs w:val="20"/>
          <w:color w:val="auto"/>
        </w:rPr>
        <w:tab/>
      </w:r>
      <w:r>
        <w:rPr>
          <w:rFonts w:ascii="Arial" w:cs="Arial" w:eastAsia="Arial" w:hAnsi="Arial"/>
          <w:sz w:val="11"/>
          <w:szCs w:val="11"/>
          <w:b w:val="1"/>
          <w:bCs w:val="1"/>
          <w:color w:val="auto"/>
        </w:rPr>
        <w:t>Defaulting Lenders</w:t>
      </w:r>
      <w:r>
        <w:rPr>
          <w:rFonts w:ascii="Arial" w:cs="Arial" w:eastAsia="Arial" w:hAnsi="Arial"/>
          <w:sz w:val="11"/>
          <w:szCs w:val="11"/>
          <w:color w:val="auto"/>
        </w:rPr>
        <w:t>.</w:t>
      </w:r>
    </w:p>
    <w:p>
      <w:pPr>
        <w:spacing w:after="0" w:line="194" w:lineRule="exact"/>
        <w:rPr>
          <w:sz w:val="20"/>
          <w:szCs w:val="20"/>
          <w:color w:val="auto"/>
        </w:rPr>
      </w:pPr>
    </w:p>
    <w:p>
      <w:pPr>
        <w:ind w:firstLine="498"/>
        <w:spacing w:after="0" w:line="266" w:lineRule="auto"/>
        <w:tabs>
          <w:tab w:leader="none" w:pos="785"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8" w:lineRule="exact"/>
        <w:rPr>
          <w:rFonts w:ascii="Arial" w:cs="Arial" w:eastAsia="Arial" w:hAnsi="Arial"/>
          <w:sz w:val="14"/>
          <w:szCs w:val="14"/>
          <w:color w:val="auto"/>
        </w:rPr>
      </w:pPr>
    </w:p>
    <w:p>
      <w:pPr>
        <w:ind w:left="500" w:right="80" w:firstLine="493"/>
        <w:spacing w:after="0" w:line="266" w:lineRule="auto"/>
        <w:tabs>
          <w:tab w:leader="none" w:pos="1262" w:val="left"/>
        </w:tabs>
        <w:numPr>
          <w:ilvl w:val="1"/>
          <w:numId w:val="88"/>
        </w:numPr>
        <w:rPr>
          <w:rFonts w:ascii="Arial" w:cs="Arial" w:eastAsia="Arial" w:hAnsi="Arial"/>
          <w:sz w:val="14"/>
          <w:szCs w:val="14"/>
          <w:color w:val="auto"/>
        </w:rPr>
      </w:pPr>
      <w:r>
        <w:rPr>
          <w:rFonts w:ascii="Arial" w:cs="Arial" w:eastAsia="Arial" w:hAnsi="Arial"/>
          <w:sz w:val="14"/>
          <w:szCs w:val="14"/>
          <w:u w:val="single" w:color="auto"/>
          <w:color w:val="auto"/>
        </w:rPr>
        <w:t>Waivers and Amendments</w:t>
      </w:r>
      <w:r>
        <w:rPr>
          <w:rFonts w:ascii="Arial" w:cs="Arial" w:eastAsia="Arial" w:hAnsi="Arial"/>
          <w:sz w:val="14"/>
          <w:szCs w:val="14"/>
          <w:color w:val="auto"/>
        </w:rPr>
        <w:t xml:space="preserve">. Such Defaulting Lender’s right to approve or disapprove any amendment, waiver or consent with respect to this Agreement shall be restricted as set forth in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and in the definition of “Required Lender”.</w:t>
      </w:r>
    </w:p>
    <w:p>
      <w:pPr>
        <w:spacing w:after="0" w:line="158" w:lineRule="exact"/>
        <w:rPr>
          <w:rFonts w:ascii="Arial" w:cs="Arial" w:eastAsia="Arial" w:hAnsi="Arial"/>
          <w:sz w:val="14"/>
          <w:szCs w:val="14"/>
          <w:color w:val="auto"/>
        </w:rPr>
      </w:pPr>
    </w:p>
    <w:p>
      <w:pPr>
        <w:ind w:left="500" w:right="40" w:firstLine="493"/>
        <w:spacing w:after="0" w:line="318" w:lineRule="auto"/>
        <w:tabs>
          <w:tab w:leader="none" w:pos="1300" w:val="left"/>
        </w:tabs>
        <w:numPr>
          <w:ilvl w:val="1"/>
          <w:numId w:val="88"/>
        </w:numPr>
        <w:rPr>
          <w:rFonts w:ascii="Arial" w:cs="Arial" w:eastAsia="Arial" w:hAnsi="Arial"/>
          <w:sz w:val="11"/>
          <w:szCs w:val="11"/>
          <w:color w:val="auto"/>
        </w:rPr>
      </w:pPr>
      <w:r>
        <w:rPr>
          <w:rFonts w:ascii="Arial" w:cs="Arial" w:eastAsia="Arial" w:hAnsi="Arial"/>
          <w:sz w:val="11"/>
          <w:szCs w:val="11"/>
          <w:u w:val="single" w:color="auto"/>
          <w:color w:val="auto"/>
        </w:rPr>
        <w:t>Defaulting Lender Waterfall</w:t>
      </w:r>
      <w:r>
        <w:rPr>
          <w:rFonts w:ascii="Arial" w:cs="Arial" w:eastAsia="Arial" w:hAnsi="Arial"/>
          <w:sz w:val="11"/>
          <w:szCs w:val="11"/>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or otherwise) or received by the Administrative Agent from a Defaulting Lender pursuant to </w:t>
      </w:r>
      <w:r>
        <w:rPr>
          <w:rFonts w:ascii="Arial" w:cs="Arial" w:eastAsia="Arial" w:hAnsi="Arial"/>
          <w:sz w:val="11"/>
          <w:szCs w:val="11"/>
          <w:u w:val="single" w:color="auto"/>
          <w:color w:val="auto"/>
        </w:rPr>
        <w:t>Section 11.08</w:t>
      </w:r>
      <w:r>
        <w:rPr>
          <w:rFonts w:ascii="Arial" w:cs="Arial" w:eastAsia="Arial" w:hAnsi="Arial"/>
          <w:sz w:val="11"/>
          <w:szCs w:val="11"/>
          <w:color w:val="auto"/>
        </w:rPr>
        <w:t xml:space="preserve"> shall be applied at such time or times as may be determined by the Administrative Agent as follows: </w:t>
      </w:r>
      <w:r>
        <w:rPr>
          <w:rFonts w:ascii="Arial" w:cs="Arial" w:eastAsia="Arial" w:hAnsi="Arial"/>
          <w:sz w:val="11"/>
          <w:szCs w:val="11"/>
          <w:u w:val="single" w:color="auto"/>
          <w:color w:val="auto"/>
        </w:rPr>
        <w:t>first</w:t>
      </w:r>
      <w:r>
        <w:rPr>
          <w:rFonts w:ascii="Arial" w:cs="Arial" w:eastAsia="Arial" w:hAnsi="Arial"/>
          <w:sz w:val="11"/>
          <w:szCs w:val="11"/>
          <w:color w:val="auto"/>
        </w:rPr>
        <w:t xml:space="preserve">, to the payment of any amounts owing by such Defaulting Lender to the Administrative Agent hereunder; </w:t>
      </w:r>
      <w:r>
        <w:rPr>
          <w:rFonts w:ascii="Arial" w:cs="Arial" w:eastAsia="Arial" w:hAnsi="Arial"/>
          <w:sz w:val="11"/>
          <w:szCs w:val="11"/>
          <w:u w:val="single" w:color="auto"/>
          <w:color w:val="auto"/>
        </w:rPr>
        <w:t>second</w:t>
      </w:r>
      <w:r>
        <w:rPr>
          <w:rFonts w:ascii="Arial" w:cs="Arial" w:eastAsia="Arial" w:hAnsi="Arial"/>
          <w:sz w:val="11"/>
          <w:szCs w:val="11"/>
          <w:color w:val="auto"/>
        </w:rPr>
        <w:t xml:space="preserve">, to the payment on a pro rata basis of any amounts owing by such Defaulting Lender to the L/C Issuer or Swing Line Lender hereunder; </w:t>
      </w:r>
      <w:r>
        <w:rPr>
          <w:rFonts w:ascii="Arial" w:cs="Arial" w:eastAsia="Arial" w:hAnsi="Arial"/>
          <w:sz w:val="11"/>
          <w:szCs w:val="11"/>
          <w:u w:val="single" w:color="auto"/>
          <w:color w:val="auto"/>
        </w:rPr>
        <w:t>third</w:t>
      </w:r>
      <w:r>
        <w:rPr>
          <w:rFonts w:ascii="Arial" w:cs="Arial" w:eastAsia="Arial" w:hAnsi="Arial"/>
          <w:sz w:val="11"/>
          <w:szCs w:val="11"/>
          <w:color w:val="auto"/>
        </w:rPr>
        <w:t xml:space="preserve">, to Cash Collateralize the L/C Issuer’s Fronting Exposure with respect to such Defaulting Lender in accordance with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w:t>
      </w:r>
      <w:r>
        <w:rPr>
          <w:rFonts w:ascii="Arial" w:cs="Arial" w:eastAsia="Arial" w:hAnsi="Arial"/>
          <w:sz w:val="11"/>
          <w:szCs w:val="11"/>
          <w:u w:val="single" w:color="auto"/>
          <w:color w:val="auto"/>
        </w:rPr>
        <w:t>fourth</w:t>
      </w:r>
      <w:r>
        <w:rPr>
          <w:rFonts w:ascii="Arial" w:cs="Arial" w:eastAsia="Arial" w:hAnsi="Arial"/>
          <w:sz w:val="11"/>
          <w:szCs w:val="11"/>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1"/>
          <w:szCs w:val="11"/>
          <w:u w:val="single" w:color="auto"/>
          <w:color w:val="auto"/>
        </w:rPr>
        <w:t>fifth</w:t>
      </w:r>
      <w:r>
        <w:rPr>
          <w:rFonts w:ascii="Arial" w:cs="Arial" w:eastAsia="Arial" w:hAnsi="Arial"/>
          <w:sz w:val="11"/>
          <w:szCs w:val="11"/>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w:t>
      </w:r>
      <w:r>
        <w:rPr>
          <w:rFonts w:ascii="Arial" w:cs="Arial" w:eastAsia="Arial" w:hAnsi="Arial"/>
          <w:sz w:val="11"/>
          <w:szCs w:val="11"/>
          <w:u w:val="single" w:color="auto"/>
          <w:color w:val="auto"/>
        </w:rPr>
        <w:t>sixth</w:t>
      </w:r>
      <w:r>
        <w:rPr>
          <w:rFonts w:ascii="Arial" w:cs="Arial" w:eastAsia="Arial" w:hAnsi="Arial"/>
          <w:sz w:val="11"/>
          <w:szCs w:val="11"/>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1"/>
          <w:szCs w:val="11"/>
          <w:u w:val="single" w:color="auto"/>
          <w:color w:val="auto"/>
        </w:rPr>
        <w:t>seventh</w:t>
      </w:r>
      <w:r>
        <w:rPr>
          <w:rFonts w:ascii="Arial" w:cs="Arial" w:eastAsia="Arial" w:hAnsi="Arial"/>
          <w:sz w:val="11"/>
          <w:szCs w:val="1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1"/>
          <w:szCs w:val="11"/>
          <w:u w:val="single" w:color="auto"/>
          <w:color w:val="auto"/>
        </w:rPr>
        <w:t>eighth</w:t>
      </w:r>
      <w:r>
        <w:rPr>
          <w:rFonts w:ascii="Arial" w:cs="Arial" w:eastAsia="Arial" w:hAnsi="Arial"/>
          <w:sz w:val="11"/>
          <w:szCs w:val="11"/>
          <w:color w:val="auto"/>
        </w:rPr>
        <w:t xml:space="preserve">, to such Defaulting Lender or as otherwise directed by a court of competent jurisdiction;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1"/>
          <w:szCs w:val="11"/>
          <w:u w:val="single" w:color="auto"/>
          <w:color w:val="auto"/>
        </w:rPr>
        <w:t>Section 2.17(a)(iv)</w:t>
      </w:r>
      <w:r>
        <w:rPr>
          <w:rFonts w:ascii="Arial" w:cs="Arial" w:eastAsia="Arial" w:hAnsi="Arial"/>
          <w:sz w:val="11"/>
          <w:szCs w:val="11"/>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1"/>
          <w:szCs w:val="11"/>
          <w:u w:val="single" w:color="auto"/>
          <w:color w:val="auto"/>
        </w:rPr>
        <w:t>Section 2.17(a)(ii)</w:t>
      </w:r>
      <w:r>
        <w:rPr>
          <w:rFonts w:ascii="Arial" w:cs="Arial" w:eastAsia="Arial" w:hAnsi="Arial"/>
          <w:sz w:val="11"/>
          <w:szCs w:val="11"/>
          <w:color w:val="auto"/>
        </w:rPr>
        <w:t xml:space="preserve"> shall be deemed paid to and redirected by such Defaulting Lender, and each Lender irrevocably consents hereto.</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39" w:lineRule="exact"/>
        <w:rPr>
          <w:rFonts w:ascii="Arial" w:cs="Arial" w:eastAsia="Arial" w:hAnsi="Arial"/>
          <w:sz w:val="11"/>
          <w:szCs w:val="11"/>
          <w:color w:val="auto"/>
        </w:rPr>
      </w:pPr>
    </w:p>
    <w:p>
      <w:pPr>
        <w:ind w:left="1340" w:hanging="347"/>
        <w:spacing w:after="0"/>
        <w:tabs>
          <w:tab w:leader="none" w:pos="1340" w:val="left"/>
        </w:tabs>
        <w:numPr>
          <w:ilvl w:val="1"/>
          <w:numId w:val="88"/>
        </w:numPr>
        <w:rPr>
          <w:rFonts w:ascii="Arial" w:cs="Arial" w:eastAsia="Arial" w:hAnsi="Arial"/>
          <w:sz w:val="14"/>
          <w:szCs w:val="14"/>
          <w:color w:val="auto"/>
        </w:rPr>
      </w:pPr>
      <w:r>
        <w:rPr>
          <w:rFonts w:ascii="Arial" w:cs="Arial" w:eastAsia="Arial" w:hAnsi="Arial"/>
          <w:sz w:val="14"/>
          <w:szCs w:val="14"/>
          <w:u w:val="single" w:color="auto"/>
          <w:color w:val="auto"/>
        </w:rPr>
        <w:t>Certain Fees</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1000" w:right="100" w:firstLine="488"/>
        <w:spacing w:after="0" w:line="266" w:lineRule="auto"/>
        <w:tabs>
          <w:tab w:leader="none" w:pos="1823" w:val="left"/>
        </w:tabs>
        <w:numPr>
          <w:ilvl w:val="2"/>
          <w:numId w:val="88"/>
        </w:numPr>
        <w:rPr>
          <w:rFonts w:ascii="Arial" w:cs="Arial" w:eastAsia="Arial" w:hAnsi="Arial"/>
          <w:sz w:val="14"/>
          <w:szCs w:val="14"/>
          <w:color w:val="auto"/>
        </w:rPr>
      </w:pPr>
      <w:r>
        <w:rPr>
          <w:rFonts w:ascii="Arial" w:cs="Arial" w:eastAsia="Arial" w:hAnsi="Arial"/>
          <w:sz w:val="14"/>
          <w:szCs w:val="14"/>
          <w:color w:val="auto"/>
        </w:rPr>
        <w:t xml:space="preserve">No Defaulting Lender shall be entitled to receive any fee payable under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60</w:t>
      </w:r>
    </w:p>
    <w:p>
      <w:pPr>
        <w:sectPr>
          <w:pgSz w:w="11900" w:h="16838" w:orient="portrait"/>
          <w:cols w:equalWidth="0" w:num="1">
            <w:col w:w="11280"/>
          </w:cols>
          <w:pgMar w:left="300" w:top="129" w:right="3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0" w:right="160" w:firstLine="488"/>
        <w:spacing w:after="0" w:line="266" w:lineRule="auto"/>
        <w:tabs>
          <w:tab w:leader="none" w:pos="1816" w:val="left"/>
        </w:tabs>
        <w:numPr>
          <w:ilvl w:val="2"/>
          <w:numId w:val="89"/>
        </w:numPr>
        <w:rPr>
          <w:rFonts w:ascii="Arial" w:cs="Arial" w:eastAsia="Arial" w:hAnsi="Arial"/>
          <w:sz w:val="14"/>
          <w:szCs w:val="14"/>
          <w:color w:val="auto"/>
        </w:rPr>
      </w:pPr>
      <w:r>
        <w:rPr>
          <w:rFonts w:ascii="Arial" w:cs="Arial" w:eastAsia="Arial" w:hAnsi="Arial"/>
          <w:sz w:val="14"/>
          <w:szCs w:val="14"/>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ind w:left="1000" w:right="20" w:firstLine="488"/>
        <w:spacing w:after="0" w:line="274" w:lineRule="auto"/>
        <w:tabs>
          <w:tab w:leader="none" w:pos="1813" w:val="left"/>
        </w:tabs>
        <w:numPr>
          <w:ilvl w:val="2"/>
          <w:numId w:val="89"/>
        </w:numPr>
        <w:rPr>
          <w:rFonts w:ascii="Arial" w:cs="Arial" w:eastAsia="Arial" w:hAnsi="Arial"/>
          <w:sz w:val="13"/>
          <w:szCs w:val="13"/>
          <w:color w:val="auto"/>
        </w:rPr>
      </w:pPr>
      <w:r>
        <w:rPr>
          <w:rFonts w:ascii="Arial" w:cs="Arial" w:eastAsia="Arial" w:hAnsi="Arial"/>
          <w:sz w:val="13"/>
          <w:szCs w:val="13"/>
          <w:color w:val="auto"/>
        </w:rPr>
        <w:t xml:space="preserve">With respect to any fee payable under </w:t>
      </w:r>
      <w:r>
        <w:rPr>
          <w:rFonts w:ascii="Arial" w:cs="Arial" w:eastAsia="Arial" w:hAnsi="Arial"/>
          <w:sz w:val="13"/>
          <w:szCs w:val="13"/>
          <w:u w:val="single" w:color="auto"/>
          <w:color w:val="auto"/>
        </w:rPr>
        <w:t>Section 2.09(a)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or any Letter of Credit Fee not required to be paid to any Defaulting Lender pursuant to </w:t>
      </w:r>
      <w:r>
        <w:rPr>
          <w:rFonts w:ascii="Arial" w:cs="Arial" w:eastAsia="Arial" w:hAnsi="Arial"/>
          <w:sz w:val="13"/>
          <w:szCs w:val="13"/>
          <w:u w:val="single" w:color="auto"/>
          <w:color w:val="auto"/>
        </w:rPr>
        <w:t>subsection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3"/>
          <w:szCs w:val="13"/>
          <w:u w:val="single" w:color="auto"/>
          <w:color w:val="auto"/>
        </w:rPr>
        <w:t>subsection (iv)</w:t>
      </w:r>
      <w:r>
        <w:rPr>
          <w:rFonts w:ascii="Arial" w:cs="Arial" w:eastAsia="Arial" w:hAnsi="Arial"/>
          <w:sz w:val="13"/>
          <w:szCs w:val="13"/>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57" w:lineRule="exact"/>
        <w:rPr>
          <w:rFonts w:ascii="Arial" w:cs="Arial" w:eastAsia="Arial" w:hAnsi="Arial"/>
          <w:sz w:val="13"/>
          <w:szCs w:val="13"/>
          <w:color w:val="auto"/>
        </w:rPr>
      </w:pPr>
    </w:p>
    <w:p>
      <w:pPr>
        <w:ind w:left="500" w:right="160" w:firstLine="493"/>
        <w:spacing w:after="0" w:line="319" w:lineRule="auto"/>
        <w:tabs>
          <w:tab w:leader="none" w:pos="1331" w:val="left"/>
        </w:tabs>
        <w:numPr>
          <w:ilvl w:val="1"/>
          <w:numId w:val="90"/>
        </w:numPr>
        <w:rPr>
          <w:rFonts w:ascii="Arial" w:cs="Arial" w:eastAsia="Arial" w:hAnsi="Arial"/>
          <w:sz w:val="11"/>
          <w:szCs w:val="11"/>
          <w:color w:val="auto"/>
        </w:rPr>
      </w:pPr>
      <w:r>
        <w:rPr>
          <w:rFonts w:ascii="Arial" w:cs="Arial" w:eastAsia="Arial" w:hAnsi="Arial"/>
          <w:sz w:val="11"/>
          <w:szCs w:val="11"/>
          <w:u w:val="single" w:color="auto"/>
          <w:color w:val="auto"/>
        </w:rPr>
        <w:t>Reallocation of Applicable Percentages to Reduce Fronting Exposure</w:t>
      </w:r>
      <w:r>
        <w:rPr>
          <w:rFonts w:ascii="Arial" w:cs="Arial" w:eastAsia="Arial" w:hAnsi="Arial"/>
          <w:sz w:val="11"/>
          <w:szCs w:val="11"/>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Arial" w:cs="Arial" w:eastAsia="Arial" w:hAnsi="Arial"/>
          <w:sz w:val="11"/>
          <w:szCs w:val="11"/>
          <w:u w:val="single" w:color="auto"/>
          <w:color w:val="auto"/>
        </w:rPr>
        <w:t>Section</w:t>
      </w:r>
    </w:p>
    <w:p>
      <w:pPr>
        <w:ind w:left="500" w:right="100"/>
        <w:spacing w:after="0" w:line="251" w:lineRule="auto"/>
        <w:rPr>
          <w:rFonts w:ascii="Arial" w:cs="Arial" w:eastAsia="Arial" w:hAnsi="Arial"/>
          <w:sz w:val="11"/>
          <w:szCs w:val="11"/>
          <w:color w:val="auto"/>
        </w:rPr>
      </w:pPr>
      <w:r>
        <w:rPr>
          <w:rFonts w:ascii="Arial" w:cs="Arial" w:eastAsia="Arial" w:hAnsi="Arial"/>
          <w:sz w:val="14"/>
          <w:szCs w:val="14"/>
          <w:u w:val="single" w:color="auto"/>
          <w:color w:val="auto"/>
        </w:rPr>
        <w:t>11.19</w:t>
      </w:r>
      <w:r>
        <w:rPr>
          <w:rFonts w:ascii="Arial" w:cs="Arial" w:eastAsia="Arial" w:hAnsi="Arial"/>
          <w:sz w:val="14"/>
          <w:szCs w:val="14"/>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9" w:lineRule="exact"/>
        <w:rPr>
          <w:rFonts w:ascii="Arial" w:cs="Arial" w:eastAsia="Arial" w:hAnsi="Arial"/>
          <w:sz w:val="11"/>
          <w:szCs w:val="11"/>
          <w:color w:val="auto"/>
        </w:rPr>
      </w:pPr>
    </w:p>
    <w:p>
      <w:pPr>
        <w:ind w:left="500" w:right="160" w:firstLine="493"/>
        <w:spacing w:after="0" w:line="256" w:lineRule="auto"/>
        <w:tabs>
          <w:tab w:leader="none" w:pos="1293"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Cash Collateral, Repayment of Swing Line Loans</w:t>
      </w:r>
      <w:r>
        <w:rPr>
          <w:rFonts w:ascii="Arial" w:cs="Arial" w:eastAsia="Arial" w:hAnsi="Arial"/>
          <w:sz w:val="14"/>
          <w:szCs w:val="14"/>
          <w:color w:val="auto"/>
        </w:rPr>
        <w:t xml:space="preserve">. If the reallocation described in </w:t>
      </w:r>
      <w:r>
        <w:rPr>
          <w:rFonts w:ascii="Arial" w:cs="Arial" w:eastAsia="Arial" w:hAnsi="Arial"/>
          <w:sz w:val="14"/>
          <w:szCs w:val="14"/>
          <w:u w:val="single" w:color="auto"/>
          <w:color w:val="auto"/>
        </w:rPr>
        <w:t>subsection (a)(iv)</w:t>
      </w:r>
      <w:r>
        <w:rPr>
          <w:rFonts w:ascii="Arial" w:cs="Arial" w:eastAsia="Arial" w:hAnsi="Arial"/>
          <w:sz w:val="14"/>
          <w:szCs w:val="14"/>
          <w:color w:val="auto"/>
        </w:rPr>
        <w:t xml:space="preserve"> above cannot, or can only partially, be effected, the Borrower shall, without prejudice to any right or remedy available to it hereunder or under Applicable Law, (x)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prepay Swing Line Loans in an amount equal to the Swing Line Lenders’ Fronting Exposure and (y)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Cash Collateralize the L/C Issuers’ Fronting Exposure in accordance with the procedures set forth in </w:t>
      </w:r>
      <w:r>
        <w:rPr>
          <w:rFonts w:ascii="Arial" w:cs="Arial" w:eastAsia="Arial" w:hAnsi="Arial"/>
          <w:sz w:val="14"/>
          <w:szCs w:val="14"/>
          <w:u w:val="single" w:color="auto"/>
          <w:color w:val="auto"/>
        </w:rPr>
        <w:t>Section 2.16</w:t>
      </w:r>
      <w:r>
        <w:rPr>
          <w:rFonts w:ascii="Arial" w:cs="Arial" w:eastAsia="Arial" w:hAnsi="Arial"/>
          <w:sz w:val="14"/>
          <w:szCs w:val="14"/>
          <w:color w:val="auto"/>
        </w:rPr>
        <w:t>.</w:t>
      </w:r>
    </w:p>
    <w:p>
      <w:pPr>
        <w:spacing w:after="0" w:line="165" w:lineRule="exact"/>
        <w:rPr>
          <w:rFonts w:ascii="Arial" w:cs="Arial" w:eastAsia="Arial" w:hAnsi="Arial"/>
          <w:sz w:val="14"/>
          <w:szCs w:val="14"/>
          <w:color w:val="auto"/>
        </w:rPr>
      </w:pPr>
    </w:p>
    <w:p>
      <w:pPr>
        <w:ind w:right="60" w:firstLine="498"/>
        <w:spacing w:after="0" w:line="248" w:lineRule="auto"/>
        <w:tabs>
          <w:tab w:leader="none" w:pos="793"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Defaulting Lender Cure</w:t>
      </w:r>
      <w:r>
        <w:rPr>
          <w:rFonts w:ascii="Arial" w:cs="Arial" w:eastAsia="Arial" w:hAnsi="Arial"/>
          <w:sz w:val="14"/>
          <w:szCs w:val="14"/>
          <w:color w:val="auto"/>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4"/>
          <w:szCs w:val="14"/>
          <w:u w:val="single" w:color="auto"/>
          <w:color w:val="auto"/>
        </w:rPr>
        <w:t>Section 2.17(a)(iv)</w:t>
      </w:r>
      <w:r>
        <w:rPr>
          <w:rFonts w:ascii="Arial" w:cs="Arial" w:eastAsia="Arial" w:hAnsi="Arial"/>
          <w:sz w:val="14"/>
          <w:szCs w:val="14"/>
          <w:color w:val="auto"/>
        </w:rPr>
        <w:t xml:space="preserve">), whereupon such Lender will cease to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4" w:lineRule="exact"/>
        <w:rPr>
          <w:rFonts w:ascii="Arial" w:cs="Arial" w:eastAsia="Arial" w:hAnsi="Arial"/>
          <w:sz w:val="14"/>
          <w:szCs w:val="14"/>
          <w:color w:val="auto"/>
        </w:rPr>
      </w:pPr>
    </w:p>
    <w:p>
      <w:pPr>
        <w:ind w:right="40" w:firstLine="498"/>
        <w:spacing w:after="0" w:line="256" w:lineRule="auto"/>
        <w:tabs>
          <w:tab w:leader="none" w:pos="785"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New Swing Line Loans/Letters of Credit</w:t>
      </w:r>
      <w:r>
        <w:rPr>
          <w:rFonts w:ascii="Arial" w:cs="Arial" w:eastAsia="Arial" w:hAnsi="Arial"/>
          <w:sz w:val="14"/>
          <w:szCs w:val="14"/>
          <w:color w:val="auto"/>
        </w:rPr>
        <w:t>. So long as any Revolving Credit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61</w:t>
      </w:r>
    </w:p>
    <w:p>
      <w:pPr>
        <w:sectPr>
          <w:pgSz w:w="11900" w:h="16838" w:orient="portrait"/>
          <w:cols w:equalWidth="0" w:num="1">
            <w:col w:w="11280"/>
          </w:cols>
          <w:pgMar w:left="300" w:top="129" w:right="3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TAXES, YIELD PROTECTION AND ILLEGALITY</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3.01</w:t>
      </w:r>
      <w:r>
        <w:rPr>
          <w:sz w:val="20"/>
          <w:szCs w:val="20"/>
          <w:color w:val="auto"/>
        </w:rPr>
        <w:tab/>
      </w:r>
      <w:r>
        <w:rPr>
          <w:rFonts w:ascii="Arial" w:cs="Arial" w:eastAsia="Arial" w:hAnsi="Arial"/>
          <w:sz w:val="11"/>
          <w:szCs w:val="11"/>
          <w:b w:val="1"/>
          <w:bCs w:val="1"/>
          <w:color w:val="auto"/>
        </w:rPr>
        <w:t>Taxes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Defined Terms</w:t>
      </w:r>
      <w:r>
        <w:rPr>
          <w:rFonts w:ascii="Arial" w:cs="Arial" w:eastAsia="Arial" w:hAnsi="Arial"/>
          <w:sz w:val="11"/>
          <w:szCs w:val="11"/>
          <w:color w:val="auto"/>
        </w:rPr>
        <w:t>: For purposes of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3.01</w:t>
      </w:r>
      <w:r>
        <w:rPr>
          <w:rFonts w:ascii="Arial" w:cs="Arial" w:eastAsia="Arial" w:hAnsi="Arial"/>
          <w:sz w:val="11"/>
          <w:szCs w:val="11"/>
          <w:color w:val="auto"/>
        </w:rPr>
        <w:t>, the term “Applicable Law” includes FATCA and the term “Lender” includes any L/C Issuer.</w:t>
      </w:r>
    </w:p>
    <w:p>
      <w:pPr>
        <w:spacing w:after="0" w:line="194" w:lineRule="exact"/>
        <w:rPr>
          <w:sz w:val="20"/>
          <w:szCs w:val="20"/>
          <w:color w:val="auto"/>
        </w:rPr>
      </w:pPr>
    </w:p>
    <w:p>
      <w:pPr>
        <w:ind w:right="120" w:firstLine="498"/>
        <w:spacing w:after="0" w:line="272" w:lineRule="auto"/>
        <w:tabs>
          <w:tab w:leader="none" w:pos="793"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Payments Free of Taxes</w:t>
      </w:r>
      <w:r>
        <w:rPr>
          <w:rFonts w:ascii="Arial" w:cs="Arial" w:eastAsia="Arial" w:hAnsi="Arial"/>
          <w:sz w:val="13"/>
          <w:szCs w:val="13"/>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applicable Recipient receives an amount equal to the sum it would have received had no such deduction or withholding been made.</w:t>
      </w:r>
    </w:p>
    <w:p>
      <w:pPr>
        <w:spacing w:after="0" w:line="159" w:lineRule="exact"/>
        <w:rPr>
          <w:rFonts w:ascii="Arial" w:cs="Arial" w:eastAsia="Arial" w:hAnsi="Arial"/>
          <w:sz w:val="13"/>
          <w:szCs w:val="13"/>
          <w:color w:val="auto"/>
        </w:rPr>
      </w:pPr>
    </w:p>
    <w:p>
      <w:pPr>
        <w:ind w:firstLine="498"/>
        <w:spacing w:after="0" w:line="266" w:lineRule="auto"/>
        <w:tabs>
          <w:tab w:leader="none" w:pos="785"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Payment of Other Taxes by Borrower</w:t>
      </w:r>
      <w:r>
        <w:rPr>
          <w:rFonts w:ascii="Arial" w:cs="Arial" w:eastAsia="Arial" w:hAnsi="Arial"/>
          <w:sz w:val="14"/>
          <w:szCs w:val="14"/>
          <w:color w:val="auto"/>
        </w:rPr>
        <w:t>. The Borrower shall timely pay to the relevant Governmental Authority in accordance with Applicable Law, or at the option of the Administrative Agent timely reimburse it for the payment of, any Other Taxes.</w:t>
      </w:r>
    </w:p>
    <w:p>
      <w:pPr>
        <w:spacing w:after="0" w:line="158" w:lineRule="exact"/>
        <w:rPr>
          <w:rFonts w:ascii="Arial" w:cs="Arial" w:eastAsia="Arial" w:hAnsi="Arial"/>
          <w:sz w:val="14"/>
          <w:szCs w:val="14"/>
          <w:color w:val="auto"/>
        </w:rPr>
      </w:pPr>
    </w:p>
    <w:p>
      <w:pPr>
        <w:ind w:firstLine="498"/>
        <w:spacing w:after="0" w:line="251" w:lineRule="auto"/>
        <w:tabs>
          <w:tab w:leader="none" w:pos="793"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Indemnification by Borrower</w:t>
      </w:r>
      <w:r>
        <w:rPr>
          <w:rFonts w:ascii="Arial" w:cs="Arial" w:eastAsia="Arial" w:hAnsi="Arial"/>
          <w:sz w:val="14"/>
          <w:szCs w:val="14"/>
          <w:color w:val="auto"/>
        </w:rPr>
        <w:t xml:space="preserve">. The Borrower shall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8" w:lineRule="exact"/>
        <w:rPr>
          <w:rFonts w:ascii="Arial" w:cs="Arial" w:eastAsia="Arial" w:hAnsi="Arial"/>
          <w:sz w:val="14"/>
          <w:szCs w:val="14"/>
          <w:color w:val="auto"/>
        </w:rPr>
      </w:pPr>
    </w:p>
    <w:p>
      <w:pPr>
        <w:ind w:firstLine="498"/>
        <w:spacing w:after="0" w:line="330" w:lineRule="auto"/>
        <w:tabs>
          <w:tab w:leader="none" w:pos="785"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Indemnification by the Lenders</w:t>
      </w:r>
      <w:r>
        <w:rPr>
          <w:rFonts w:ascii="Arial" w:cs="Arial" w:eastAsia="Arial" w:hAnsi="Arial"/>
          <w:sz w:val="11"/>
          <w:szCs w:val="11"/>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1"/>
          <w:szCs w:val="11"/>
          <w:u w:val="single" w:color="auto"/>
          <w:color w:val="auto"/>
        </w:rPr>
        <w:t>Section 11.06(d)</w:t>
      </w:r>
      <w:r>
        <w:rPr>
          <w:rFonts w:ascii="Arial" w:cs="Arial" w:eastAsia="Arial" w:hAnsi="Arial"/>
          <w:sz w:val="11"/>
          <w:szCs w:val="1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1"/>
          <w:szCs w:val="11"/>
          <w:u w:val="single" w:color="auto"/>
          <w:color w:val="auto"/>
        </w:rPr>
        <w:t>subsection (e)</w:t>
      </w:r>
      <w:r>
        <w:rPr>
          <w:rFonts w:ascii="Arial" w:cs="Arial" w:eastAsia="Arial" w:hAnsi="Arial"/>
          <w:sz w:val="11"/>
          <w:szCs w:val="11"/>
          <w:color w:val="auto"/>
        </w:rPr>
        <w:t>.</w:t>
      </w:r>
    </w:p>
    <w:p>
      <w:pPr>
        <w:spacing w:after="0" w:line="297" w:lineRule="exact"/>
        <w:rPr>
          <w:rFonts w:ascii="Arial" w:cs="Arial" w:eastAsia="Arial" w:hAnsi="Arial"/>
          <w:sz w:val="11"/>
          <w:szCs w:val="11"/>
          <w:color w:val="auto"/>
        </w:rPr>
      </w:pPr>
    </w:p>
    <w:p>
      <w:pPr>
        <w:ind w:right="260" w:firstLine="498"/>
        <w:spacing w:after="0" w:line="256" w:lineRule="auto"/>
        <w:tabs>
          <w:tab w:leader="none" w:pos="770"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Evidence of Payments</w:t>
      </w:r>
      <w:r>
        <w:rPr>
          <w:rFonts w:ascii="Arial" w:cs="Arial" w:eastAsia="Arial" w:hAnsi="Arial"/>
          <w:sz w:val="14"/>
          <w:szCs w:val="14"/>
          <w:color w:val="auto"/>
        </w:rPr>
        <w:t xml:space="preserve">. As soon as practicable after any payment of Taxes by the Borrower to a Governmental Authority as provided in this </w:t>
      </w:r>
      <w:r>
        <w:rPr>
          <w:rFonts w:ascii="Arial" w:cs="Arial" w:eastAsia="Arial" w:hAnsi="Arial"/>
          <w:sz w:val="14"/>
          <w:szCs w:val="14"/>
          <w:u w:val="single" w:color="auto"/>
          <w:color w:val="auto"/>
        </w:rPr>
        <w:t>Section 3.01</w:t>
      </w:r>
      <w:r>
        <w:rPr>
          <w:rFonts w:ascii="Arial" w:cs="Arial" w:eastAsia="Arial" w:hAnsi="Arial"/>
          <w:sz w:val="14"/>
          <w:szCs w:val="14"/>
          <w:color w:val="auto"/>
        </w:rPr>
        <w:t>, the Borrower shall deliver to the Administrative Agent the original or a certified copy of a receipt issued by such Governmental Authority evidencing such payment, a copy of any return required by Applicable Laws to report such payment or other evidence of such payment reasonably satisfactory to the Administrative Agent.</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Status of Lenders; Tax Documentation</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62</w:t>
      </w:r>
    </w:p>
    <w:p>
      <w:pPr>
        <w:sectPr>
          <w:pgSz w:w="11900" w:h="16838" w:orient="portrait"/>
          <w:cols w:equalWidth="0" w:num="1">
            <w:col w:w="11280"/>
          </w:cols>
          <w:pgMar w:left="300" w:top="129" w:right="3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firstLine="493"/>
        <w:spacing w:after="0" w:line="270" w:lineRule="auto"/>
        <w:tabs>
          <w:tab w:leader="none" w:pos="755" w:val="left"/>
        </w:tabs>
        <w:numPr>
          <w:ilvl w:val="0"/>
          <w:numId w:val="93"/>
        </w:numPr>
        <w:rPr>
          <w:rFonts w:ascii="Arial" w:cs="Arial" w:eastAsia="Arial" w:hAnsi="Arial"/>
          <w:sz w:val="13"/>
          <w:szCs w:val="13"/>
          <w:color w:val="auto"/>
        </w:rPr>
      </w:pPr>
      <w:r>
        <w:rPr>
          <w:rFonts w:ascii="Arial" w:cs="Arial" w:eastAsia="Arial" w:hAnsi="Arial"/>
          <w:sz w:val="13"/>
          <w:szCs w:val="13"/>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3"/>
          <w:szCs w:val="13"/>
          <w:u w:val="single" w:color="auto"/>
          <w:color w:val="auto"/>
        </w:rPr>
        <w:t>Section 3.01(g)(ii)(A)</w:t>
      </w:r>
      <w:r>
        <w:rPr>
          <w:rFonts w:ascii="Arial" w:cs="Arial" w:eastAsia="Arial" w:hAnsi="Arial"/>
          <w:sz w:val="13"/>
          <w:szCs w:val="13"/>
          <w:color w:val="auto"/>
        </w:rPr>
        <w:t xml:space="preserve">, </w:t>
      </w:r>
      <w:r>
        <w:rPr>
          <w:rFonts w:ascii="Arial" w:cs="Arial" w:eastAsia="Arial" w:hAnsi="Arial"/>
          <w:sz w:val="13"/>
          <w:szCs w:val="13"/>
          <w:u w:val="single" w:color="auto"/>
          <w:color w:val="auto"/>
        </w:rPr>
        <w:t>(ii)(B)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(ii)(D)</w:t>
      </w:r>
      <w:r>
        <w:rPr>
          <w:rFonts w:ascii="Arial" w:cs="Arial" w:eastAsia="Arial" w:hAnsi="Arial"/>
          <w:sz w:val="13"/>
          <w:szCs w:val="13"/>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Arial" w:cs="Arial" w:eastAsia="Arial" w:hAnsi="Arial"/>
          <w:sz w:val="13"/>
          <w:szCs w:val="13"/>
          <w:color w:val="auto"/>
        </w:rPr>
      </w:pPr>
    </w:p>
    <w:p>
      <w:pPr>
        <w:ind w:left="800" w:hanging="307"/>
        <w:spacing w:after="0"/>
        <w:tabs>
          <w:tab w:leader="none" w:pos="8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Without limiting the generality of the foregoing, in the event that the Borrower is a U.S. Person:</w:t>
      </w:r>
    </w:p>
    <w:p>
      <w:pPr>
        <w:spacing w:after="0" w:line="189" w:lineRule="exact"/>
        <w:rPr>
          <w:rFonts w:ascii="Arial" w:cs="Arial" w:eastAsia="Arial" w:hAnsi="Arial"/>
          <w:sz w:val="14"/>
          <w:szCs w:val="14"/>
          <w:color w:val="auto"/>
        </w:rPr>
      </w:pPr>
    </w:p>
    <w:p>
      <w:pPr>
        <w:ind w:left="500" w:right="140" w:firstLine="488"/>
        <w:spacing w:after="0" w:line="256" w:lineRule="auto"/>
        <w:tabs>
          <w:tab w:leader="none" w:pos="1323" w:val="left"/>
        </w:tabs>
        <w:numPr>
          <w:ilvl w:val="1"/>
          <w:numId w:val="93"/>
        </w:numPr>
        <w:rPr>
          <w:rFonts w:ascii="Arial" w:cs="Arial" w:eastAsia="Arial" w:hAnsi="Arial"/>
          <w:sz w:val="14"/>
          <w:szCs w:val="14"/>
          <w:color w:val="auto"/>
        </w:rPr>
      </w:pPr>
      <w:r>
        <w:rPr>
          <w:rFonts w:ascii="Arial" w:cs="Arial" w:eastAsia="Arial" w:hAnsi="Arial"/>
          <w:sz w:val="14"/>
          <w:szCs w:val="14"/>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5" w:lineRule="exact"/>
        <w:rPr>
          <w:rFonts w:ascii="Arial" w:cs="Arial" w:eastAsia="Arial" w:hAnsi="Arial"/>
          <w:sz w:val="14"/>
          <w:szCs w:val="14"/>
          <w:color w:val="auto"/>
        </w:rPr>
      </w:pPr>
    </w:p>
    <w:p>
      <w:pPr>
        <w:ind w:left="500" w:right="140" w:firstLine="488"/>
        <w:spacing w:after="0" w:line="256" w:lineRule="auto"/>
        <w:tabs>
          <w:tab w:leader="none" w:pos="1316" w:val="left"/>
        </w:tabs>
        <w:numPr>
          <w:ilvl w:val="1"/>
          <w:numId w:val="93"/>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5" w:lineRule="exact"/>
        <w:rPr>
          <w:rFonts w:ascii="Arial" w:cs="Arial" w:eastAsia="Arial" w:hAnsi="Arial"/>
          <w:sz w:val="14"/>
          <w:szCs w:val="14"/>
          <w:color w:val="auto"/>
        </w:rPr>
      </w:pPr>
    </w:p>
    <w:p>
      <w:pPr>
        <w:jc w:val="both"/>
        <w:ind w:left="980" w:right="20" w:firstLine="503"/>
        <w:spacing w:after="0" w:line="343" w:lineRule="auto"/>
        <w:tabs>
          <w:tab w:leader="none" w:pos="1773" w:val="left"/>
        </w:tabs>
        <w:numPr>
          <w:ilvl w:val="2"/>
          <w:numId w:val="93"/>
        </w:numPr>
        <w:rPr>
          <w:rFonts w:ascii="Arial" w:cs="Arial" w:eastAsia="Arial" w:hAnsi="Arial"/>
          <w:sz w:val="11"/>
          <w:szCs w:val="11"/>
          <w:color w:val="auto"/>
        </w:rPr>
      </w:pPr>
      <w:r>
        <w:rPr>
          <w:rFonts w:ascii="Arial" w:cs="Arial" w:eastAsia="Arial" w:hAnsi="Arial"/>
          <w:sz w:val="11"/>
          <w:szCs w:val="11"/>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22" w:lineRule="exact"/>
        <w:rPr>
          <w:rFonts w:ascii="Arial" w:cs="Arial" w:eastAsia="Arial" w:hAnsi="Arial"/>
          <w:sz w:val="11"/>
          <w:szCs w:val="11"/>
          <w:color w:val="auto"/>
        </w:rPr>
      </w:pPr>
    </w:p>
    <w:p>
      <w:pPr>
        <w:ind w:left="1780" w:hanging="297"/>
        <w:spacing w:after="0"/>
        <w:tabs>
          <w:tab w:leader="none" w:pos="1780" w:val="left"/>
        </w:tabs>
        <w:numPr>
          <w:ilvl w:val="2"/>
          <w:numId w:val="93"/>
        </w:numPr>
        <w:rPr>
          <w:rFonts w:ascii="Arial" w:cs="Arial" w:eastAsia="Arial" w:hAnsi="Arial"/>
          <w:sz w:val="14"/>
          <w:szCs w:val="14"/>
          <w:color w:val="auto"/>
        </w:rPr>
      </w:pPr>
      <w:r>
        <w:rPr>
          <w:rFonts w:ascii="Arial" w:cs="Arial" w:eastAsia="Arial" w:hAnsi="Arial"/>
          <w:sz w:val="14"/>
          <w:szCs w:val="14"/>
          <w:color w:val="auto"/>
        </w:rPr>
        <w:t>executed copies of IRS Form W-8ECI;</w:t>
      </w:r>
    </w:p>
    <w:p>
      <w:pPr>
        <w:spacing w:after="0" w:line="189" w:lineRule="exact"/>
        <w:rPr>
          <w:rFonts w:ascii="Arial" w:cs="Arial" w:eastAsia="Arial" w:hAnsi="Arial"/>
          <w:sz w:val="14"/>
          <w:szCs w:val="14"/>
          <w:color w:val="auto"/>
        </w:rPr>
      </w:pPr>
    </w:p>
    <w:p>
      <w:pPr>
        <w:jc w:val="both"/>
        <w:ind w:left="980" w:right="140" w:firstLine="503"/>
        <w:spacing w:after="0" w:line="252" w:lineRule="auto"/>
        <w:tabs>
          <w:tab w:leader="none" w:pos="1773" w:val="left"/>
        </w:tabs>
        <w:numPr>
          <w:ilvl w:val="2"/>
          <w:numId w:val="93"/>
        </w:numPr>
        <w:rPr>
          <w:rFonts w:ascii="Arial" w:cs="Arial" w:eastAsia="Arial" w:hAnsi="Arial"/>
          <w:sz w:val="14"/>
          <w:szCs w:val="14"/>
          <w:color w:val="auto"/>
        </w:rPr>
      </w:pPr>
      <w:r>
        <w:rPr>
          <w:rFonts w:ascii="Arial" w:cs="Arial" w:eastAsia="Arial" w:hAnsi="Arial"/>
          <w:sz w:val="14"/>
          <w:szCs w:val="14"/>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4"/>
          <w:szCs w:val="14"/>
          <w:u w:val="single" w:color="auto"/>
          <w:color w:val="auto"/>
        </w:rPr>
        <w:t>Exhibit M-1</w:t>
      </w:r>
      <w:r>
        <w:rPr>
          <w:rFonts w:ascii="Arial" w:cs="Arial" w:eastAsia="Arial" w:hAnsi="Arial"/>
          <w:sz w:val="14"/>
          <w:szCs w:val="14"/>
          <w:color w:val="auto"/>
        </w:rPr>
        <w:t xml:space="preserve"> to the effect that such Foreign Lender is not a “bank” within the meaning of Section 881(c)(3)(A) of the Code, a “10 percent shareholder” of the Borrower within the meaning of Section 871(h)(3)(B) of the Code, or a “controlled foreign corporation” described in Section 881(c)(3)(C) of the Code (a “</w:t>
      </w:r>
      <w:r>
        <w:rPr>
          <w:rFonts w:ascii="Arial" w:cs="Arial" w:eastAsia="Arial" w:hAnsi="Arial"/>
          <w:sz w:val="14"/>
          <w:szCs w:val="14"/>
          <w:u w:val="single" w:color="auto"/>
          <w:color w:val="auto"/>
        </w:rPr>
        <w:t>U.S. Tax Compliance</w:t>
      </w:r>
      <w:r>
        <w:rPr>
          <w:rFonts w:ascii="Arial" w:cs="Arial" w:eastAsia="Arial" w:hAnsi="Arial"/>
          <w:sz w:val="14"/>
          <w:szCs w:val="14"/>
          <w:color w:val="auto"/>
        </w:rPr>
        <w:t xml:space="preserve"> </w:t>
      </w:r>
      <w:r>
        <w:rPr>
          <w:rFonts w:ascii="Arial" w:cs="Arial" w:eastAsia="Arial" w:hAnsi="Arial"/>
          <w:sz w:val="14"/>
          <w:szCs w:val="14"/>
          <w:u w:val="single" w:color="auto"/>
          <w:color w:val="auto"/>
        </w:rPr>
        <w:t>Certificate</w:t>
      </w:r>
      <w:r>
        <w:rPr>
          <w:rFonts w:ascii="Arial" w:cs="Arial" w:eastAsia="Arial" w:hAnsi="Arial"/>
          <w:sz w:val="14"/>
          <w:szCs w:val="14"/>
          <w:color w:val="auto"/>
        </w:rPr>
        <w:t>”) and (y) executed copies of IRS Form W-8BEN-E (or W-8BEN, as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63</w:t>
      </w:r>
    </w:p>
    <w:p>
      <w:pPr>
        <w:sectPr>
          <w:pgSz w:w="11900" w:h="16838" w:orient="portrait"/>
          <w:cols w:equalWidth="0" w:num="1">
            <w:col w:w="10780"/>
          </w:cols>
          <w:pgMar w:left="800" w:top="129"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980" w:right="140" w:firstLine="503"/>
        <w:spacing w:after="0" w:line="251" w:lineRule="auto"/>
        <w:tabs>
          <w:tab w:leader="none" w:pos="1773" w:val="left"/>
        </w:tabs>
        <w:numPr>
          <w:ilvl w:val="2"/>
          <w:numId w:val="94"/>
        </w:numPr>
        <w:rPr>
          <w:rFonts w:ascii="Arial" w:cs="Arial" w:eastAsia="Arial" w:hAnsi="Arial"/>
          <w:sz w:val="14"/>
          <w:szCs w:val="14"/>
          <w:color w:val="auto"/>
        </w:rPr>
      </w:pPr>
      <w:r>
        <w:rPr>
          <w:rFonts w:ascii="Arial" w:cs="Arial" w:eastAsia="Arial" w:hAnsi="Arial"/>
          <w:sz w:val="14"/>
          <w:szCs w:val="14"/>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4"/>
          <w:szCs w:val="14"/>
          <w:u w:val="single" w:color="auto"/>
          <w:color w:val="auto"/>
        </w:rPr>
        <w:t>Exhibit M-2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Exhibit M-3</w:t>
      </w:r>
      <w:r>
        <w:rPr>
          <w:rFonts w:ascii="Arial" w:cs="Arial" w:eastAsia="Arial" w:hAnsi="Arial"/>
          <w:sz w:val="14"/>
          <w:szCs w:val="14"/>
          <w:color w:val="auto"/>
        </w:rPr>
        <w:t xml:space="preserve">, IRS Form W-9, and/or other certification documents from each beneficial owner,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4"/>
          <w:szCs w:val="14"/>
          <w:u w:val="single" w:color="auto"/>
          <w:color w:val="auto"/>
        </w:rPr>
        <w:t>Exhibit M-4</w:t>
      </w:r>
      <w:r>
        <w:rPr>
          <w:rFonts w:ascii="Arial" w:cs="Arial" w:eastAsia="Arial" w:hAnsi="Arial"/>
          <w:sz w:val="14"/>
          <w:szCs w:val="14"/>
          <w:color w:val="auto"/>
        </w:rPr>
        <w:t xml:space="preserve"> on behalf of each such direct and indirect partner;</w:t>
      </w:r>
    </w:p>
    <w:p>
      <w:pPr>
        <w:spacing w:after="0" w:line="168" w:lineRule="exact"/>
        <w:rPr>
          <w:rFonts w:ascii="Arial" w:cs="Arial" w:eastAsia="Arial" w:hAnsi="Arial"/>
          <w:sz w:val="14"/>
          <w:szCs w:val="14"/>
          <w:color w:val="auto"/>
        </w:rPr>
      </w:pPr>
    </w:p>
    <w:p>
      <w:pPr>
        <w:ind w:left="500" w:right="140" w:firstLine="488"/>
        <w:spacing w:after="0" w:line="251" w:lineRule="auto"/>
        <w:tabs>
          <w:tab w:leader="none" w:pos="1316" w:val="left"/>
        </w:tabs>
        <w:numPr>
          <w:ilvl w:val="1"/>
          <w:numId w:val="95"/>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8" w:lineRule="exact"/>
        <w:rPr>
          <w:rFonts w:ascii="Arial" w:cs="Arial" w:eastAsia="Arial" w:hAnsi="Arial"/>
          <w:sz w:val="14"/>
          <w:szCs w:val="14"/>
          <w:color w:val="auto"/>
        </w:rPr>
      </w:pPr>
    </w:p>
    <w:p>
      <w:pPr>
        <w:ind w:left="500" w:firstLine="488"/>
        <w:spacing w:after="0" w:line="249" w:lineRule="auto"/>
        <w:tabs>
          <w:tab w:leader="none" w:pos="1323" w:val="left"/>
        </w:tabs>
        <w:numPr>
          <w:ilvl w:val="1"/>
          <w:numId w:val="95"/>
        </w:numPr>
        <w:rPr>
          <w:rFonts w:ascii="Arial" w:cs="Arial" w:eastAsia="Arial" w:hAnsi="Arial"/>
          <w:sz w:val="14"/>
          <w:szCs w:val="14"/>
          <w:color w:val="auto"/>
        </w:rPr>
      </w:pPr>
      <w:r>
        <w:rPr>
          <w:rFonts w:ascii="Arial" w:cs="Arial" w:eastAsia="Arial" w:hAnsi="Arial"/>
          <w:sz w:val="14"/>
          <w:szCs w:val="14"/>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4"/>
          <w:szCs w:val="14"/>
          <w:u w:val="single" w:color="auto"/>
          <w:color w:val="auto"/>
        </w:rPr>
        <w:t>clause (D)</w:t>
      </w:r>
      <w:r>
        <w:rPr>
          <w:rFonts w:ascii="Arial" w:cs="Arial" w:eastAsia="Arial" w:hAnsi="Arial"/>
          <w:sz w:val="14"/>
          <w:szCs w:val="14"/>
          <w:color w:val="auto"/>
        </w:rPr>
        <w:t>, “FATCA” shall include any amendments made to FATCA after the date of this Agreement.</w:t>
      </w:r>
    </w:p>
    <w:p>
      <w:pPr>
        <w:spacing w:after="0" w:line="171" w:lineRule="exact"/>
        <w:rPr>
          <w:rFonts w:ascii="Arial" w:cs="Arial" w:eastAsia="Arial" w:hAnsi="Arial"/>
          <w:sz w:val="14"/>
          <w:szCs w:val="14"/>
          <w:color w:val="auto"/>
        </w:rPr>
      </w:pPr>
    </w:p>
    <w:p>
      <w:pPr>
        <w:ind w:right="280" w:firstLine="493"/>
        <w:spacing w:after="0" w:line="266" w:lineRule="auto"/>
        <w:tabs>
          <w:tab w:leader="none" w:pos="8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Each Lender agrees that if any form or certification it previously delivered pursuant to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64</w:t>
      </w:r>
    </w:p>
    <w:p>
      <w:pPr>
        <w:sectPr>
          <w:pgSz w:w="11900" w:h="16838" w:orient="portrait"/>
          <w:cols w:equalWidth="0" w:num="1">
            <w:col w:w="10780"/>
          </w:cols>
          <w:pgMar w:left="800" w:top="129"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8"/>
        <w:spacing w:after="0" w:line="323" w:lineRule="auto"/>
        <w:tabs>
          <w:tab w:leader="none" w:pos="793" w:val="left"/>
        </w:tabs>
        <w:numPr>
          <w:ilvl w:val="0"/>
          <w:numId w:val="97"/>
        </w:numPr>
        <w:rPr>
          <w:rFonts w:ascii="Arial" w:cs="Arial" w:eastAsia="Arial" w:hAnsi="Arial"/>
          <w:sz w:val="11"/>
          <w:szCs w:val="11"/>
          <w:color w:val="auto"/>
        </w:rPr>
      </w:pPr>
      <w:r>
        <w:rPr>
          <w:rFonts w:ascii="Arial" w:cs="Arial" w:eastAsia="Arial" w:hAnsi="Arial"/>
          <w:sz w:val="11"/>
          <w:szCs w:val="11"/>
          <w:u w:val="single" w:color="auto"/>
          <w:color w:val="auto"/>
        </w:rPr>
        <w:t>Treatment of Certain Refunds</w:t>
      </w:r>
      <w:r>
        <w:rPr>
          <w:rFonts w:ascii="Arial" w:cs="Arial" w:eastAsia="Arial" w:hAnsi="Arial"/>
          <w:sz w:val="11"/>
          <w:szCs w:val="11"/>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upon the request of the Recipient, agrees to repay the amount paid over to the Borrower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298" w:lineRule="exact"/>
        <w:rPr>
          <w:rFonts w:ascii="Arial" w:cs="Arial" w:eastAsia="Arial" w:hAnsi="Arial"/>
          <w:sz w:val="11"/>
          <w:szCs w:val="11"/>
          <w:color w:val="auto"/>
        </w:rPr>
      </w:pPr>
    </w:p>
    <w:p>
      <w:pPr>
        <w:ind w:right="280" w:firstLine="498"/>
        <w:spacing w:after="0" w:line="266" w:lineRule="auto"/>
        <w:tabs>
          <w:tab w:leader="none" w:pos="762"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Each party’s obligations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55" w:lineRule="exact"/>
        <w:rPr>
          <w:sz w:val="20"/>
          <w:szCs w:val="20"/>
          <w:color w:val="auto"/>
        </w:rPr>
      </w:pPr>
    </w:p>
    <w:p>
      <w:pPr>
        <w:ind w:firstLine="495"/>
        <w:spacing w:after="0" w:line="268" w:lineRule="auto"/>
        <w:rPr>
          <w:sz w:val="20"/>
          <w:szCs w:val="20"/>
          <w:color w:val="auto"/>
        </w:rPr>
      </w:pPr>
      <w:r>
        <w:rPr>
          <w:rFonts w:ascii="Arial" w:cs="Arial" w:eastAsia="Arial" w:hAnsi="Arial"/>
          <w:sz w:val="13"/>
          <w:szCs w:val="13"/>
          <w:b w:val="1"/>
          <w:bCs w:val="1"/>
          <w:color w:val="auto"/>
        </w:rPr>
        <w:t>3.02 Illegality</w:t>
      </w:r>
      <w:r>
        <w:rPr>
          <w:rFonts w:ascii="Arial" w:cs="Arial" w:eastAsia="Arial" w:hAnsi="Arial"/>
          <w:sz w:val="13"/>
          <w:szCs w:val="13"/>
          <w:color w:val="auto"/>
        </w:rPr>
        <w:t>. If any Lender determines that any Law has made it unlawful, or that any Governmental Authority has asserted that it is unlawful, for any Lender or its applicable Lending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65</w:t>
      </w:r>
    </w:p>
    <w:p>
      <w:pPr>
        <w:sectPr>
          <w:pgSz w:w="11900" w:h="16838" w:orient="portrait"/>
          <w:cols w:equalWidth="0" w:num="1">
            <w:col w:w="11280"/>
          </w:cols>
          <w:pgMar w:left="300" w:top="129"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3.03</w:t>
      </w:r>
      <w:r>
        <w:rPr>
          <w:sz w:val="20"/>
          <w:szCs w:val="20"/>
          <w:color w:val="auto"/>
        </w:rPr>
        <w:tab/>
      </w:r>
      <w:r>
        <w:rPr>
          <w:rFonts w:ascii="Arial" w:cs="Arial" w:eastAsia="Arial" w:hAnsi="Arial"/>
          <w:sz w:val="11"/>
          <w:szCs w:val="11"/>
          <w:b w:val="1"/>
          <w:bCs w:val="1"/>
          <w:color w:val="auto"/>
        </w:rPr>
        <w:t>Inability to Determine Rates</w:t>
      </w:r>
      <w:r>
        <w:rPr>
          <w:rFonts w:ascii="Arial" w:cs="Arial" w:eastAsia="Arial" w:hAnsi="Arial"/>
          <w:sz w:val="11"/>
          <w:szCs w:val="11"/>
          <w:color w:val="auto"/>
        </w:rPr>
        <w:t>.</w:t>
      </w:r>
    </w:p>
    <w:p>
      <w:pPr>
        <w:spacing w:after="0" w:line="194" w:lineRule="exact"/>
        <w:rPr>
          <w:sz w:val="20"/>
          <w:szCs w:val="20"/>
          <w:color w:val="auto"/>
        </w:rPr>
      </w:pPr>
    </w:p>
    <w:p>
      <w:pPr>
        <w:ind w:firstLine="498"/>
        <w:spacing w:after="0" w:line="250" w:lineRule="auto"/>
        <w:tabs>
          <w:tab w:leader="none" w:pos="785"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Arial" w:cs="Arial" w:eastAsia="Arial" w:hAnsi="Arial"/>
          <w:sz w:val="14"/>
          <w:szCs w:val="14"/>
          <w:u w:val="single" w:color="auto"/>
          <w:color w:val="auto"/>
        </w:rPr>
        <w:t>Section 3.03(b)</w:t>
      </w:r>
      <w:r>
        <w:rPr>
          <w:rFonts w:ascii="Arial" w:cs="Arial" w:eastAsia="Arial" w:hAnsi="Arial"/>
          <w:sz w:val="14"/>
          <w:szCs w:val="14"/>
          <w:color w:val="auto"/>
        </w:rPr>
        <w:t xml:space="preserve">, and the circumstances under clause (i) of </w:t>
      </w:r>
      <w:r>
        <w:rPr>
          <w:rFonts w:ascii="Arial" w:cs="Arial" w:eastAsia="Arial" w:hAnsi="Arial"/>
          <w:sz w:val="14"/>
          <w:szCs w:val="14"/>
          <w:u w:val="single" w:color="auto"/>
          <w:color w:val="auto"/>
        </w:rPr>
        <w:t>Section 3.03(b)</w:t>
      </w:r>
      <w:r>
        <w:rPr>
          <w:rFonts w:ascii="Arial" w:cs="Arial" w:eastAsia="Arial" w:hAnsi="Arial"/>
          <w:sz w:val="14"/>
          <w:szCs w:val="14"/>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70" w:lineRule="exact"/>
        <w:rPr>
          <w:sz w:val="20"/>
          <w:szCs w:val="20"/>
          <w:color w:val="auto"/>
        </w:rPr>
      </w:pPr>
    </w:p>
    <w:p>
      <w:pPr>
        <w:ind w:right="100" w:firstLine="495"/>
        <w:spacing w:after="0" w:line="252" w:lineRule="auto"/>
        <w:rPr>
          <w:sz w:val="20"/>
          <w:szCs w:val="20"/>
          <w:color w:val="auto"/>
        </w:rPr>
      </w:pPr>
      <w:r>
        <w:rPr>
          <w:rFonts w:ascii="Arial" w:cs="Arial" w:eastAsia="Arial" w:hAnsi="Arial"/>
          <w:sz w:val="14"/>
          <w:szCs w:val="14"/>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3.03(a)</w:t>
      </w:r>
      <w:r>
        <w:rPr>
          <w:rFonts w:ascii="Arial" w:cs="Arial" w:eastAsia="Arial" w:hAnsi="Arial"/>
          <w:sz w:val="14"/>
          <w:szCs w:val="14"/>
          <w:color w:val="auto"/>
        </w:rPr>
        <w:t>, until the Administrative Agent upon instruction of the Required Lenders) revokes such notice.</w:t>
      </w:r>
    </w:p>
    <w:p>
      <w:pPr>
        <w:spacing w:after="0" w:line="170" w:lineRule="exact"/>
        <w:rPr>
          <w:sz w:val="20"/>
          <w:szCs w:val="20"/>
          <w:color w:val="auto"/>
        </w:rPr>
      </w:pPr>
    </w:p>
    <w:p>
      <w:pPr>
        <w:ind w:right="40" w:firstLine="495"/>
        <w:spacing w:after="0" w:line="284" w:lineRule="auto"/>
        <w:rPr>
          <w:sz w:val="20"/>
          <w:szCs w:val="20"/>
          <w:color w:val="auto"/>
        </w:rPr>
      </w:pPr>
      <w:r>
        <w:rPr>
          <w:rFonts w:ascii="Arial" w:cs="Arial" w:eastAsia="Arial" w:hAnsi="Arial"/>
          <w:sz w:val="13"/>
          <w:szCs w:val="13"/>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Committed Borrowing of Base Rate Loans in the amount specified therein and (ii) any outstanding Term SOFR Loans shall be deemed to have been converted to Base Rate Loans immediately at the end of their respective applicable Interest Period.</w:t>
      </w:r>
    </w:p>
    <w:p>
      <w:pPr>
        <w:spacing w:after="0" w:line="150" w:lineRule="exact"/>
        <w:rPr>
          <w:sz w:val="20"/>
          <w:szCs w:val="20"/>
          <w:color w:val="auto"/>
        </w:rPr>
      </w:pPr>
    </w:p>
    <w:p>
      <w:pPr>
        <w:ind w:right="120" w:firstLine="498"/>
        <w:spacing w:after="0" w:line="256" w:lineRule="auto"/>
        <w:tabs>
          <w:tab w:leader="none" w:pos="793"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Replacement of Term SOFR or Successor Rate</w:t>
      </w:r>
      <w:r>
        <w:rPr>
          <w:rFonts w:ascii="Arial" w:cs="Arial" w:eastAsia="Arial" w:hAnsi="Arial"/>
          <w:sz w:val="14"/>
          <w:szCs w:val="14"/>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65" w:lineRule="exact"/>
        <w:rPr>
          <w:rFonts w:ascii="Arial" w:cs="Arial" w:eastAsia="Arial" w:hAnsi="Arial"/>
          <w:sz w:val="14"/>
          <w:szCs w:val="14"/>
          <w:color w:val="auto"/>
        </w:rPr>
      </w:pPr>
    </w:p>
    <w:p>
      <w:pPr>
        <w:ind w:left="500" w:right="160" w:firstLine="493"/>
        <w:spacing w:after="0" w:line="266" w:lineRule="auto"/>
        <w:tabs>
          <w:tab w:leader="none" w:pos="1262" w:val="left"/>
        </w:tabs>
        <w:numPr>
          <w:ilvl w:val="1"/>
          <w:numId w:val="99"/>
        </w:numPr>
        <w:rPr>
          <w:rFonts w:ascii="Arial" w:cs="Arial" w:eastAsia="Arial" w:hAnsi="Arial"/>
          <w:sz w:val="14"/>
          <w:szCs w:val="14"/>
          <w:color w:val="auto"/>
        </w:rPr>
      </w:pPr>
      <w:r>
        <w:rPr>
          <w:rFonts w:ascii="Arial" w:cs="Arial" w:eastAsia="Arial" w:hAnsi="Arial"/>
          <w:sz w:val="14"/>
          <w:szCs w:val="14"/>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66</w:t>
      </w:r>
    </w:p>
    <w:p>
      <w:pPr>
        <w:sectPr>
          <w:pgSz w:w="11900" w:h="16838" w:orient="portrait"/>
          <w:cols w:equalWidth="0" w:num="1">
            <w:col w:w="11280"/>
          </w:cols>
          <w:pgMar w:left="300" w:top="1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269" w:lineRule="auto"/>
        <w:tabs>
          <w:tab w:leader="none" w:pos="13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Arial" w:cs="Arial" w:eastAsia="Arial" w:hAnsi="Arial"/>
          <w:sz w:val="13"/>
          <w:szCs w:val="13"/>
          <w:u w:val="single" w:color="auto"/>
          <w:color w:val="auto"/>
        </w:rPr>
        <w:t>Scheduled Unavailability Date</w:t>
      </w:r>
      <w:r>
        <w:rPr>
          <w:rFonts w:ascii="Arial" w:cs="Arial" w:eastAsia="Arial" w:hAnsi="Arial"/>
          <w:sz w:val="13"/>
          <w:szCs w:val="13"/>
          <w:color w:val="auto"/>
        </w:rPr>
        <w:t>”); then, on a date and time determined by the Administrative Agent (any such date, the “</w:t>
      </w:r>
      <w:r>
        <w:rPr>
          <w:rFonts w:ascii="Arial" w:cs="Arial" w:eastAsia="Arial" w:hAnsi="Arial"/>
          <w:sz w:val="13"/>
          <w:szCs w:val="13"/>
          <w:u w:val="single" w:color="auto"/>
          <w:color w:val="auto"/>
        </w:rPr>
        <w:t>Term SOFR Replacement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w:t>
      </w:r>
      <w:r>
        <w:rPr>
          <w:rFonts w:ascii="Arial" w:cs="Arial" w:eastAsia="Arial" w:hAnsi="Arial"/>
          <w:sz w:val="13"/>
          <w:szCs w:val="13"/>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3"/>
          <w:szCs w:val="13"/>
          <w:u w:val="single" w:color="auto"/>
          <w:color w:val="auto"/>
        </w:rPr>
        <w:t>Successor Rate</w:t>
      </w:r>
      <w:r>
        <w:rPr>
          <w:rFonts w:ascii="Arial" w:cs="Arial" w:eastAsia="Arial" w:hAnsi="Arial"/>
          <w:sz w:val="13"/>
          <w:szCs w:val="13"/>
          <w:color w:val="auto"/>
        </w:rPr>
        <w:t>”).</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If the Successor Rate is Daily Simple SOFR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SOFR Adjustment, all interest payments will be payable on a monthly basis.</w:t>
      </w:r>
    </w:p>
    <w:p>
      <w:pPr>
        <w:spacing w:after="0" w:line="190" w:lineRule="exact"/>
        <w:rPr>
          <w:sz w:val="20"/>
          <w:szCs w:val="20"/>
          <w:color w:val="auto"/>
        </w:rPr>
      </w:pPr>
    </w:p>
    <w:p>
      <w:pPr>
        <w:ind w:right="20" w:firstLine="495"/>
        <w:spacing w:after="0" w:line="269" w:lineRule="auto"/>
        <w:rPr>
          <w:sz w:val="20"/>
          <w:szCs w:val="20"/>
          <w:color w:val="auto"/>
        </w:rPr>
      </w:pPr>
      <w:r>
        <w:rPr>
          <w:rFonts w:ascii="Arial" w:cs="Arial" w:eastAsia="Arial" w:hAnsi="Arial"/>
          <w:sz w:val="13"/>
          <w:szCs w:val="13"/>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3"/>
          <w:szCs w:val="13"/>
          <w:u w:val="single" w:color="auto"/>
          <w:color w:val="auto"/>
        </w:rPr>
        <w:t>Section 3.03(b)(i)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3"/>
          <w:szCs w:val="13"/>
          <w:u w:val="single" w:color="auto"/>
          <w:color w:val="auto"/>
        </w:rPr>
        <w:t>Section 3.03</w:t>
      </w:r>
      <w:r>
        <w:rPr>
          <w:rFonts w:ascii="Arial" w:cs="Arial" w:eastAsia="Arial" w:hAnsi="Arial"/>
          <w:sz w:val="13"/>
          <w:szCs w:val="13"/>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3"/>
          <w:szCs w:val="13"/>
          <w:u w:val="single" w:color="auto"/>
          <w:color w:val="auto"/>
        </w:rPr>
        <w:t>Successor Rate</w:t>
      </w:r>
      <w:r>
        <w:rPr>
          <w:rFonts w:ascii="Arial" w:cs="Arial" w:eastAsia="Arial" w:hAnsi="Arial"/>
          <w:sz w:val="13"/>
          <w:szCs w:val="13"/>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Administrative Agent will promptly (in one or more notices) notify the Borrower and each Lender of the implementation of any Successor Rate.</w:t>
      </w:r>
    </w:p>
    <w:p>
      <w:pPr>
        <w:spacing w:after="0" w:line="190" w:lineRule="exact"/>
        <w:rPr>
          <w:sz w:val="20"/>
          <w:szCs w:val="20"/>
          <w:color w:val="auto"/>
        </w:rPr>
      </w:pPr>
    </w:p>
    <w:p>
      <w:pPr>
        <w:ind w:right="280" w:firstLine="495"/>
        <w:spacing w:after="0" w:line="266" w:lineRule="auto"/>
        <w:rPr>
          <w:sz w:val="20"/>
          <w:szCs w:val="20"/>
          <w:color w:val="auto"/>
        </w:rPr>
      </w:pPr>
      <w:r>
        <w:rPr>
          <w:rFonts w:ascii="Arial" w:cs="Arial" w:eastAsia="Arial" w:hAnsi="Arial"/>
          <w:sz w:val="14"/>
          <w:szCs w:val="14"/>
          <w:color w:val="auto"/>
        </w:rPr>
        <w:t xml:space="preserve">Any Successor Rate shall be applied in a manner consistent with market practice;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55" w:lineRule="exact"/>
        <w:rPr>
          <w:sz w:val="20"/>
          <w:szCs w:val="20"/>
          <w:color w:val="auto"/>
        </w:rPr>
      </w:pPr>
    </w:p>
    <w:p>
      <w:pPr>
        <w:ind w:right="100" w:firstLine="495"/>
        <w:spacing w:after="0" w:line="272" w:lineRule="auto"/>
        <w:rPr>
          <w:sz w:val="20"/>
          <w:szCs w:val="20"/>
          <w:color w:val="auto"/>
        </w:rPr>
      </w:pPr>
      <w:r>
        <w:rPr>
          <w:rFonts w:ascii="Arial" w:cs="Arial" w:eastAsia="Arial" w:hAnsi="Arial"/>
          <w:sz w:val="14"/>
          <w:szCs w:val="14"/>
          <w:color w:val="auto"/>
        </w:rPr>
        <w:t xml:space="preserve">Notwithstanding anything else herein, if at any time any Successor Rate as so determined would otherwise be less than </w:t>
      </w:r>
      <w:r>
        <w:rPr>
          <w:rFonts w:ascii="Arial" w:cs="Arial" w:eastAsia="Arial" w:hAnsi="Arial"/>
          <w:sz w:val="14"/>
          <w:szCs w:val="14"/>
          <w:b w:val="1"/>
          <w:bCs w:val="1"/>
          <w:color w:val="auto"/>
        </w:rPr>
        <w:t>zero</w:t>
      </w:r>
      <w:r>
        <w:rPr>
          <w:rFonts w:ascii="Arial" w:cs="Arial" w:eastAsia="Arial" w:hAnsi="Arial"/>
          <w:sz w:val="14"/>
          <w:szCs w:val="14"/>
          <w:color w:val="auto"/>
        </w:rPr>
        <w:t xml:space="preserve">%, the Successor Rate will be deemed to be </w:t>
      </w:r>
      <w:r>
        <w:rPr>
          <w:rFonts w:ascii="Arial" w:cs="Arial" w:eastAsia="Arial" w:hAnsi="Arial"/>
          <w:sz w:val="14"/>
          <w:szCs w:val="14"/>
          <w:b w:val="1"/>
          <w:bCs w:val="1"/>
          <w:color w:val="auto"/>
        </w:rPr>
        <w:t>zero</w:t>
      </w:r>
      <w:r>
        <w:rPr>
          <w:rFonts w:ascii="Arial" w:cs="Arial" w:eastAsia="Arial" w:hAnsi="Arial"/>
          <w:sz w:val="14"/>
          <w:szCs w:val="14"/>
          <w:color w:val="auto"/>
        </w:rPr>
        <w:t>%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67</w:t>
      </w:r>
    </w:p>
    <w:p>
      <w:pPr>
        <w:sectPr>
          <w:pgSz w:w="11900" w:h="16838" w:orient="portrait"/>
          <w:cols w:equalWidth="0" w:num="1">
            <w:col w:w="11280"/>
          </w:cols>
          <w:pgMar w:left="300" w:top="129"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5"/>
        <w:spacing w:after="0" w:line="252" w:lineRule="auto"/>
        <w:rPr>
          <w:sz w:val="20"/>
          <w:szCs w:val="20"/>
          <w:color w:val="auto"/>
        </w:rPr>
      </w:pPr>
      <w:r>
        <w:rPr>
          <w:rFonts w:ascii="Arial" w:cs="Arial" w:eastAsia="Arial" w:hAnsi="Arial"/>
          <w:sz w:val="14"/>
          <w:szCs w:val="14"/>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0" w:lineRule="exact"/>
        <w:rPr>
          <w:sz w:val="20"/>
          <w:szCs w:val="20"/>
          <w:color w:val="auto"/>
        </w:rPr>
      </w:pPr>
    </w:p>
    <w:p>
      <w:pPr>
        <w:ind w:right="700"/>
        <w:spacing w:after="0" w:line="266" w:lineRule="auto"/>
        <w:rPr>
          <w:sz w:val="20"/>
          <w:szCs w:val="20"/>
          <w:color w:val="auto"/>
        </w:rPr>
      </w:pPr>
      <w:r>
        <w:rPr>
          <w:rFonts w:ascii="Arial" w:cs="Arial" w:eastAsia="Arial" w:hAnsi="Arial"/>
          <w:sz w:val="14"/>
          <w:szCs w:val="14"/>
          <w:color w:val="auto"/>
        </w:rPr>
        <w:t xml:space="preserve">For purposes of this </w:t>
      </w:r>
      <w:r>
        <w:rPr>
          <w:rFonts w:ascii="Arial" w:cs="Arial" w:eastAsia="Arial" w:hAnsi="Arial"/>
          <w:sz w:val="14"/>
          <w:szCs w:val="14"/>
          <w:u w:val="single" w:color="auto"/>
          <w:color w:val="auto"/>
        </w:rPr>
        <w:t>Section 3.03</w:t>
      </w:r>
      <w:r>
        <w:rPr>
          <w:rFonts w:ascii="Arial" w:cs="Arial" w:eastAsia="Arial" w:hAnsi="Arial"/>
          <w:sz w:val="14"/>
          <w:szCs w:val="14"/>
          <w:color w:val="auto"/>
        </w:rPr>
        <w:t>, those Lenders that either have not made, or do not have an obligation under this Agreement to make, the relevant Loans in Dollars shall be excluded from any determination of Required Lenders.</w:t>
      </w:r>
    </w:p>
    <w:p>
      <w:pPr>
        <w:spacing w:after="0" w:line="15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3.04</w:t>
      </w:r>
      <w:r>
        <w:rPr>
          <w:sz w:val="20"/>
          <w:szCs w:val="20"/>
          <w:color w:val="auto"/>
        </w:rPr>
        <w:tab/>
      </w:r>
      <w:r>
        <w:rPr>
          <w:rFonts w:ascii="Arial" w:cs="Arial" w:eastAsia="Arial" w:hAnsi="Arial"/>
          <w:sz w:val="11"/>
          <w:szCs w:val="11"/>
          <w:b w:val="1"/>
          <w:bCs w:val="1"/>
          <w:color w:val="auto"/>
        </w:rPr>
        <w:t>Increased Costs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Increased Costs Generally</w:t>
      </w:r>
      <w:r>
        <w:rPr>
          <w:rFonts w:ascii="Arial" w:cs="Arial" w:eastAsia="Arial" w:hAnsi="Arial"/>
          <w:sz w:val="11"/>
          <w:szCs w:val="11"/>
          <w:color w:val="auto"/>
        </w:rPr>
        <w:t>. If any Change in Law shall:</w:t>
      </w:r>
    </w:p>
    <w:p>
      <w:pPr>
        <w:spacing w:after="0" w:line="194" w:lineRule="exact"/>
        <w:rPr>
          <w:sz w:val="20"/>
          <w:szCs w:val="20"/>
          <w:color w:val="auto"/>
        </w:rPr>
      </w:pPr>
    </w:p>
    <w:p>
      <w:pPr>
        <w:ind w:right="360" w:firstLine="498"/>
        <w:spacing w:after="0" w:line="266" w:lineRule="auto"/>
        <w:tabs>
          <w:tab w:leader="none" w:pos="76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impose, modify or deem applicable any reserve, special deposit, compulsory loan, insurance charge or similar requirement against assets of, deposits with or for the account of, or credit extended or participated in by, any Lender (except any reserve requirement) or the L/C Issuer;</w:t>
      </w:r>
    </w:p>
    <w:p>
      <w:pPr>
        <w:spacing w:after="0" w:line="158" w:lineRule="exact"/>
        <w:rPr>
          <w:rFonts w:ascii="Arial" w:cs="Arial" w:eastAsia="Arial" w:hAnsi="Arial"/>
          <w:sz w:val="14"/>
          <w:szCs w:val="14"/>
          <w:color w:val="auto"/>
        </w:rPr>
      </w:pPr>
    </w:p>
    <w:p>
      <w:pPr>
        <w:ind w:firstLine="498"/>
        <w:spacing w:after="0" w:line="266" w:lineRule="auto"/>
        <w:tabs>
          <w:tab w:leader="none" w:pos="8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subject any Recipient to any Taxes (other than (A) Indemnified Taxes, (B) Taxes described in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58" w:lineRule="exact"/>
        <w:rPr>
          <w:rFonts w:ascii="Arial" w:cs="Arial" w:eastAsia="Arial" w:hAnsi="Arial"/>
          <w:sz w:val="14"/>
          <w:szCs w:val="14"/>
          <w:color w:val="auto"/>
        </w:rPr>
      </w:pPr>
    </w:p>
    <w:p>
      <w:pPr>
        <w:ind w:left="840" w:hanging="342"/>
        <w:spacing w:after="0"/>
        <w:tabs>
          <w:tab w:leader="none" w:pos="8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impose on any Lender or the L/C Issuer any other condition, cost or expense affecting this Agreement or Term SOFR Loans made by such Lender or any Letter of Credit or participation</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therein;</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3"/>
          <w:szCs w:val="13"/>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 Notwithstanding anything in this Section 3.04 to the contrary, no Lender shall receive compensation pursuant to this Section 3.04, unless such Lender is generally seeking compensation from other borrowers in the United States loan market with respect to similarly affected loans under agreements with such borrowers having provisions similar to this Section 3.04. Any demand for increased amounts pursuant to Section 3.04(a) or (b) shall be deemed a representation as to the foregoing.</w:t>
      </w:r>
    </w:p>
    <w:p>
      <w:pPr>
        <w:spacing w:after="0" w:line="159" w:lineRule="exact"/>
        <w:rPr>
          <w:sz w:val="20"/>
          <w:szCs w:val="20"/>
          <w:color w:val="auto"/>
        </w:rPr>
      </w:pPr>
    </w:p>
    <w:p>
      <w:pPr>
        <w:ind w:firstLine="498"/>
        <w:spacing w:after="0" w:line="271" w:lineRule="auto"/>
        <w:tabs>
          <w:tab w:leader="none" w:pos="793"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Capital Requirements</w:t>
      </w:r>
      <w:r>
        <w:rPr>
          <w:rFonts w:ascii="Arial" w:cs="Arial" w:eastAsia="Arial" w:hAnsi="Arial"/>
          <w:sz w:val="13"/>
          <w:szCs w:val="13"/>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68</w:t>
      </w:r>
    </w:p>
    <w:p>
      <w:pPr>
        <w:sectPr>
          <w:pgSz w:w="11900" w:h="16838" w:orient="portrait"/>
          <w:cols w:equalWidth="0" w:num="1">
            <w:col w:w="11280"/>
          </w:cols>
          <w:pgMar w:left="300" w:top="12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40" w:firstLine="498"/>
        <w:spacing w:after="0" w:line="256" w:lineRule="auto"/>
        <w:tabs>
          <w:tab w:leader="none" w:pos="785"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Certificates for Reimbursement</w:t>
      </w:r>
      <w:r>
        <w:rPr>
          <w:rFonts w:ascii="Arial" w:cs="Arial" w:eastAsia="Arial" w:hAnsi="Arial"/>
          <w:sz w:val="14"/>
          <w:szCs w:val="14"/>
          <w:color w:val="auto"/>
        </w:rPr>
        <w:t xml:space="preserve">. A certificate of a Lender or the L/C Issuer setting forth the amount or amounts necessary to compensate such Lender or the L/C Issuer or its holding company, as the case may be, as specified in </w:t>
      </w:r>
      <w:r>
        <w:rPr>
          <w:rFonts w:ascii="Arial" w:cs="Arial" w:eastAsia="Arial" w:hAnsi="Arial"/>
          <w:sz w:val="14"/>
          <w:szCs w:val="14"/>
          <w:u w:val="single" w:color="auto"/>
          <w:color w:val="auto"/>
        </w:rPr>
        <w:t>subsection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165" w:lineRule="exact"/>
        <w:rPr>
          <w:rFonts w:ascii="Arial" w:cs="Arial" w:eastAsia="Arial" w:hAnsi="Arial"/>
          <w:sz w:val="14"/>
          <w:szCs w:val="14"/>
          <w:color w:val="auto"/>
        </w:rPr>
      </w:pPr>
    </w:p>
    <w:p>
      <w:pPr>
        <w:ind w:right="40" w:firstLine="498"/>
        <w:spacing w:after="0" w:line="274" w:lineRule="auto"/>
        <w:tabs>
          <w:tab w:leader="none" w:pos="793"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Delay in Requests</w:t>
      </w:r>
      <w:r>
        <w:rPr>
          <w:rFonts w:ascii="Arial" w:cs="Arial" w:eastAsia="Arial" w:hAnsi="Arial"/>
          <w:sz w:val="13"/>
          <w:szCs w:val="13"/>
          <w:color w:val="auto"/>
        </w:rPr>
        <w:t xml:space="preserve">. Failure or delay on the part of any Lender or the L/C Issuer to demand compensation pursuant to the foregoing provisions of this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shall not constitute a waiver of such Lender’s or the L/C Issuer’s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3" w:lineRule="exact"/>
        <w:rPr>
          <w:sz w:val="20"/>
          <w:szCs w:val="20"/>
          <w:color w:val="auto"/>
        </w:rPr>
      </w:pPr>
    </w:p>
    <w:p>
      <w:pPr>
        <w:ind w:right="100" w:firstLine="495"/>
        <w:spacing w:after="0" w:line="272" w:lineRule="auto"/>
        <w:rPr>
          <w:sz w:val="20"/>
          <w:szCs w:val="20"/>
          <w:color w:val="auto"/>
        </w:rPr>
      </w:pPr>
      <w:r>
        <w:rPr>
          <w:rFonts w:ascii="Arial" w:cs="Arial" w:eastAsia="Arial" w:hAnsi="Arial"/>
          <w:sz w:val="14"/>
          <w:szCs w:val="14"/>
          <w:b w:val="1"/>
          <w:bCs w:val="1"/>
          <w:color w:val="auto"/>
        </w:rPr>
        <w:t>3.05 Compensation for Losses</w:t>
      </w:r>
      <w:r>
        <w:rPr>
          <w:rFonts w:ascii="Arial" w:cs="Arial" w:eastAsia="Arial" w:hAnsi="Arial"/>
          <w:sz w:val="14"/>
          <w:szCs w:val="14"/>
          <w:color w:val="auto"/>
        </w:rPr>
        <w:t>. Upon demand of any Lender (with a copy to the Administrative Agent) from time to time, the Borrower shall promptly compensate such Lender for and hold</w:t>
      </w:r>
      <w:r>
        <w:rPr>
          <w:rFonts w:ascii="Arial" w:cs="Arial" w:eastAsia="Arial" w:hAnsi="Arial"/>
          <w:sz w:val="14"/>
          <w:szCs w:val="14"/>
          <w:b w:val="1"/>
          <w:bCs w:val="1"/>
          <w:color w:val="auto"/>
        </w:rPr>
        <w:t xml:space="preserve"> </w:t>
      </w:r>
      <w:r>
        <w:rPr>
          <w:rFonts w:ascii="Arial" w:cs="Arial" w:eastAsia="Arial" w:hAnsi="Arial"/>
          <w:sz w:val="14"/>
          <w:szCs w:val="14"/>
          <w:color w:val="auto"/>
        </w:rPr>
        <w:t>such Lender harmless from any loss, cost or expense incurred by it as a result of:</w:t>
      </w:r>
    </w:p>
    <w:p>
      <w:pPr>
        <w:spacing w:after="0" w:line="155" w:lineRule="exact"/>
        <w:rPr>
          <w:sz w:val="20"/>
          <w:szCs w:val="20"/>
          <w:color w:val="auto"/>
        </w:rPr>
      </w:pPr>
    </w:p>
    <w:p>
      <w:pPr>
        <w:ind w:right="400" w:firstLine="498"/>
        <w:spacing w:after="0" w:line="266" w:lineRule="auto"/>
        <w:tabs>
          <w:tab w:leader="none" w:pos="785"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58" w:lineRule="exact"/>
        <w:rPr>
          <w:rFonts w:ascii="Arial" w:cs="Arial" w:eastAsia="Arial" w:hAnsi="Arial"/>
          <w:sz w:val="14"/>
          <w:szCs w:val="14"/>
          <w:color w:val="auto"/>
        </w:rPr>
      </w:pPr>
    </w:p>
    <w:p>
      <w:pPr>
        <w:ind w:right="60" w:firstLine="498"/>
        <w:spacing w:after="0" w:line="266" w:lineRule="auto"/>
        <w:tabs>
          <w:tab w:leader="none" w:pos="79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58" w:lineRule="exact"/>
        <w:rPr>
          <w:rFonts w:ascii="Arial" w:cs="Arial" w:eastAsia="Arial" w:hAnsi="Arial"/>
          <w:sz w:val="14"/>
          <w:szCs w:val="14"/>
          <w:color w:val="auto"/>
        </w:rPr>
      </w:pPr>
    </w:p>
    <w:p>
      <w:pPr>
        <w:ind w:left="780" w:hanging="282"/>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any assignment of a Term SOFR Loan on a day other than the last day of the Interest Period therefor as a result of a request by the Borrower pursuant to </w:t>
      </w:r>
      <w:r>
        <w:rPr>
          <w:rFonts w:ascii="Arial" w:cs="Arial" w:eastAsia="Arial" w:hAnsi="Arial"/>
          <w:sz w:val="14"/>
          <w:szCs w:val="14"/>
          <w:u w:val="single" w:color="auto"/>
          <w:color w:val="auto"/>
        </w:rPr>
        <w:t>Section 11.13</w:t>
      </w:r>
      <w:r>
        <w:rPr>
          <w:rFonts w:ascii="Arial" w:cs="Arial" w:eastAsia="Arial" w:hAnsi="Arial"/>
          <w:sz w:val="14"/>
          <w:szCs w:val="14"/>
          <w:color w:val="auto"/>
        </w:rPr>
        <w:t>;</w:t>
      </w:r>
    </w:p>
    <w:p>
      <w:pPr>
        <w:spacing w:after="0" w:line="13" w:lineRule="exact"/>
        <w:rPr>
          <w:sz w:val="20"/>
          <w:szCs w:val="20"/>
          <w:color w:val="auto"/>
        </w:rPr>
      </w:pPr>
    </w:p>
    <w:p>
      <w:pPr>
        <w:ind w:right="260"/>
        <w:spacing w:after="0" w:line="277" w:lineRule="auto"/>
        <w:rPr>
          <w:sz w:val="20"/>
          <w:szCs w:val="20"/>
          <w:color w:val="auto"/>
        </w:rPr>
      </w:pPr>
      <w:r>
        <w:rPr>
          <w:rFonts w:ascii="Arial" w:cs="Arial" w:eastAsia="Arial" w:hAnsi="Arial"/>
          <w:sz w:val="13"/>
          <w:szCs w:val="13"/>
          <w:color w:val="auto"/>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A certificate of any Lender setting forth any amount or amounts that such Lender is entitled to receive pursuant to this Section shall be delivered to the Borrower and shall be conclusive absent manifest error.</w:t>
      </w:r>
    </w:p>
    <w:p>
      <w:pPr>
        <w:spacing w:after="0" w:line="150" w:lineRule="exact"/>
        <w:rPr>
          <w:sz w:val="20"/>
          <w:szCs w:val="20"/>
          <w:color w:val="auto"/>
        </w:rPr>
      </w:pPr>
    </w:p>
    <w:p>
      <w:pPr>
        <w:ind w:right="20" w:firstLine="495"/>
        <w:spacing w:after="0" w:line="270" w:lineRule="auto"/>
        <w:rPr>
          <w:sz w:val="20"/>
          <w:szCs w:val="20"/>
          <w:color w:val="auto"/>
        </w:rPr>
      </w:pPr>
      <w:r>
        <w:rPr>
          <w:rFonts w:ascii="Arial" w:cs="Arial" w:eastAsia="Arial" w:hAnsi="Arial"/>
          <w:sz w:val="13"/>
          <w:szCs w:val="13"/>
          <w:b w:val="1"/>
          <w:bCs w:val="1"/>
          <w:color w:val="auto"/>
        </w:rPr>
        <w:t>3.06 Mitigation Obligations; Replacement of Lenders</w:t>
      </w:r>
      <w:r>
        <w:rPr>
          <w:rFonts w:ascii="Arial" w:cs="Arial" w:eastAsia="Arial" w:hAnsi="Arial"/>
          <w:sz w:val="13"/>
          <w:szCs w:val="13"/>
          <w:color w:val="auto"/>
        </w:rPr>
        <w:t>. (a)</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Designation of a Different Lending Office</w:t>
      </w:r>
      <w:r>
        <w:rPr>
          <w:rFonts w:ascii="Arial" w:cs="Arial" w:eastAsia="Arial" w:hAnsi="Arial"/>
          <w:sz w:val="13"/>
          <w:szCs w:val="13"/>
          <w:color w:val="auto"/>
        </w:rPr>
        <w:t>. Each Lender may make any Credit Extension to the Borrower through any Lending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Office,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exercise of this option shall not affect the obligation of the Borrower to repay the Credit Extension in accordance with the terms of this Agreement.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requires the Borrower to pay any Indemnified Taxes or additional amounts to any Lender, the L/C Issuer, or any Governmental Authority for the account of any Lender or the L/C Issuer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if any Lender gives a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as the case may be, in the future, or eliminate the need for the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69</w:t>
      </w:r>
    </w:p>
    <w:p>
      <w:pPr>
        <w:sectPr>
          <w:pgSz w:w="11900" w:h="16838" w:orient="portrait"/>
          <w:cols w:equalWidth="0" w:num="1">
            <w:col w:w="11280"/>
          </w:cols>
          <w:pgMar w:left="300" w:top="129"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180" w:firstLine="498"/>
        <w:spacing w:after="0" w:line="256" w:lineRule="auto"/>
        <w:tabs>
          <w:tab w:leader="none" w:pos="793"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Replacement of Lenders</w:t>
      </w:r>
      <w:r>
        <w:rPr>
          <w:rFonts w:ascii="Arial" w:cs="Arial" w:eastAsia="Arial" w:hAnsi="Arial"/>
          <w:sz w:val="14"/>
          <w:szCs w:val="14"/>
          <w:color w:val="auto"/>
        </w:rPr>
        <w:t xml:space="preserve">. If any Lender requests compensation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and in each case, such Lender has declined or is unable to designate a different lending office in accordance with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3.06(a)</w:t>
      </w:r>
      <w:r>
        <w:rPr>
          <w:rFonts w:ascii="Arial" w:cs="Arial" w:eastAsia="Arial" w:hAnsi="Arial"/>
          <w:sz w:val="14"/>
          <w:szCs w:val="14"/>
          <w:color w:val="auto"/>
        </w:rPr>
        <w:t xml:space="preserve">, the Borrower may replace such Lender in accordance with </w:t>
      </w:r>
      <w:r>
        <w:rPr>
          <w:rFonts w:ascii="Arial" w:cs="Arial" w:eastAsia="Arial" w:hAnsi="Arial"/>
          <w:sz w:val="14"/>
          <w:szCs w:val="14"/>
          <w:u w:val="single" w:color="auto"/>
          <w:color w:val="auto"/>
        </w:rPr>
        <w:t>Section 11.13</w:t>
      </w:r>
      <w:r>
        <w:rPr>
          <w:rFonts w:ascii="Arial" w:cs="Arial" w:eastAsia="Arial" w:hAnsi="Arial"/>
          <w:sz w:val="14"/>
          <w:szCs w:val="14"/>
          <w:color w:val="auto"/>
        </w:rPr>
        <w:t>.</w:t>
      </w:r>
    </w:p>
    <w:p>
      <w:pPr>
        <w:spacing w:after="0" w:line="162" w:lineRule="exact"/>
        <w:rPr>
          <w:sz w:val="20"/>
          <w:szCs w:val="20"/>
          <w:color w:val="auto"/>
        </w:rPr>
      </w:pPr>
    </w:p>
    <w:p>
      <w:pPr>
        <w:ind w:right="100" w:firstLine="495"/>
        <w:spacing w:after="0" w:line="272" w:lineRule="auto"/>
        <w:rPr>
          <w:sz w:val="20"/>
          <w:szCs w:val="20"/>
          <w:color w:val="auto"/>
        </w:rPr>
      </w:pPr>
      <w:r>
        <w:rPr>
          <w:rFonts w:ascii="Arial" w:cs="Arial" w:eastAsia="Arial" w:hAnsi="Arial"/>
          <w:sz w:val="14"/>
          <w:szCs w:val="14"/>
          <w:b w:val="1"/>
          <w:bCs w:val="1"/>
          <w:color w:val="auto"/>
        </w:rPr>
        <w:t>3.07 Survival</w:t>
      </w:r>
      <w:r>
        <w:rPr>
          <w:rFonts w:ascii="Arial" w:cs="Arial" w:eastAsia="Arial" w:hAnsi="Arial"/>
          <w:sz w:val="14"/>
          <w:szCs w:val="14"/>
          <w:color w:val="auto"/>
        </w:rPr>
        <w:t>. All of the Borrower’s obligations under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III</w:t>
      </w:r>
      <w:r>
        <w:rPr>
          <w:rFonts w:ascii="Arial" w:cs="Arial" w:eastAsia="Arial" w:hAnsi="Arial"/>
          <w:sz w:val="14"/>
          <w:szCs w:val="14"/>
          <w:b w:val="1"/>
          <w:bCs w:val="1"/>
          <w:color w:val="auto"/>
        </w:rPr>
        <w:t xml:space="preserve"> </w:t>
      </w:r>
      <w:r>
        <w:rPr>
          <w:rFonts w:ascii="Arial" w:cs="Arial" w:eastAsia="Arial" w:hAnsi="Arial"/>
          <w:sz w:val="14"/>
          <w:szCs w:val="14"/>
          <w:color w:val="auto"/>
        </w:rPr>
        <w:t>shall survive termination of the Aggregate Commitments, repayment of all other Obligations hereunder, and resignation</w:t>
      </w:r>
      <w:r>
        <w:rPr>
          <w:rFonts w:ascii="Arial" w:cs="Arial" w:eastAsia="Arial" w:hAnsi="Arial"/>
          <w:sz w:val="14"/>
          <w:szCs w:val="14"/>
          <w:b w:val="1"/>
          <w:bCs w:val="1"/>
          <w:color w:val="auto"/>
        </w:rPr>
        <w:t xml:space="preserve"> </w:t>
      </w:r>
      <w:r>
        <w:rPr>
          <w:rFonts w:ascii="Arial" w:cs="Arial" w:eastAsia="Arial" w:hAnsi="Arial"/>
          <w:sz w:val="14"/>
          <w:szCs w:val="14"/>
          <w:color w:val="auto"/>
        </w:rPr>
        <w:t>of the Administrative Agent.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CONDITIONS PRECEDENT TO CREDIT EXTENSIONS</w:t>
      </w:r>
    </w:p>
    <w:p>
      <w:pPr>
        <w:spacing w:after="0" w:line="176" w:lineRule="exact"/>
        <w:rPr>
          <w:sz w:val="20"/>
          <w:szCs w:val="20"/>
          <w:color w:val="auto"/>
        </w:rPr>
      </w:pPr>
    </w:p>
    <w:p>
      <w:pPr>
        <w:ind w:right="420" w:firstLine="495"/>
        <w:spacing w:after="0" w:line="272" w:lineRule="auto"/>
        <w:rPr>
          <w:sz w:val="20"/>
          <w:szCs w:val="20"/>
          <w:color w:val="auto"/>
        </w:rPr>
      </w:pPr>
      <w:r>
        <w:rPr>
          <w:rFonts w:ascii="Arial" w:cs="Arial" w:eastAsia="Arial" w:hAnsi="Arial"/>
          <w:sz w:val="14"/>
          <w:szCs w:val="14"/>
          <w:b w:val="1"/>
          <w:bCs w:val="1"/>
          <w:color w:val="auto"/>
        </w:rPr>
        <w:t>4.01 Conditions of Initial Credit Extension</w:t>
      </w:r>
      <w:r>
        <w:rPr>
          <w:rFonts w:ascii="Arial" w:cs="Arial" w:eastAsia="Arial" w:hAnsi="Arial"/>
          <w:sz w:val="14"/>
          <w:szCs w:val="14"/>
          <w:color w:val="auto"/>
        </w:rPr>
        <w:t>. The obligation of the L/C Issuer and each Lender to make its initial Credit Extension hereunder is subject to satisfaction (or waiver) of the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conditions precedent:</w:t>
      </w:r>
    </w:p>
    <w:p>
      <w:pPr>
        <w:spacing w:after="0" w:line="155" w:lineRule="exact"/>
        <w:rPr>
          <w:sz w:val="20"/>
          <w:szCs w:val="20"/>
          <w:color w:val="auto"/>
        </w:rPr>
      </w:pPr>
    </w:p>
    <w:p>
      <w:pPr>
        <w:ind w:right="100" w:firstLine="498"/>
        <w:spacing w:after="0" w:line="358" w:lineRule="auto"/>
        <w:tabs>
          <w:tab w:leader="none" w:pos="782"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Administrative Agent’s receipt of the following, each of which shall be originals, telecopies or electronic copies (including “PDF” files) (telecopies and electronic copies followed promptly by originals, if requested by the Administrative Agent)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14" w:lineRule="exact"/>
        <w:rPr>
          <w:rFonts w:ascii="Arial" w:cs="Arial" w:eastAsia="Arial" w:hAnsi="Arial"/>
          <w:sz w:val="11"/>
          <w:szCs w:val="11"/>
          <w:color w:val="auto"/>
        </w:rPr>
      </w:pPr>
    </w:p>
    <w:p>
      <w:pPr>
        <w:ind w:left="1260" w:hanging="267"/>
        <w:spacing w:after="0"/>
        <w:tabs>
          <w:tab w:leader="none" w:pos="126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executed counterparts of this Agreement, sufficient in number for distribution to the Administrative Agent, each Lender and the Borrower;</w:t>
      </w:r>
    </w:p>
    <w:p>
      <w:pPr>
        <w:spacing w:after="0" w:line="189" w:lineRule="exact"/>
        <w:rPr>
          <w:rFonts w:ascii="Arial" w:cs="Arial" w:eastAsia="Arial" w:hAnsi="Arial"/>
          <w:sz w:val="14"/>
          <w:szCs w:val="14"/>
          <w:color w:val="auto"/>
        </w:rPr>
      </w:pPr>
    </w:p>
    <w:p>
      <w:pPr>
        <w:ind w:left="1300" w:hanging="307"/>
        <w:spacing w:after="0"/>
        <w:tabs>
          <w:tab w:leader="none" w:pos="130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a Note executed by the Borrower in favor of each Lender requesting a Note at least two (2) Business Days prior to the Closing Date;</w:t>
      </w:r>
    </w:p>
    <w:p>
      <w:pPr>
        <w:spacing w:after="0" w:line="189" w:lineRule="exact"/>
        <w:rPr>
          <w:rFonts w:ascii="Arial" w:cs="Arial" w:eastAsia="Arial" w:hAnsi="Arial"/>
          <w:sz w:val="14"/>
          <w:szCs w:val="14"/>
          <w:color w:val="auto"/>
        </w:rPr>
      </w:pPr>
    </w:p>
    <w:p>
      <w:pPr>
        <w:ind w:left="1340" w:hanging="347"/>
        <w:spacing w:after="0"/>
        <w:tabs>
          <w:tab w:leader="none" w:pos="134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executed counterpart of the Security Agreement, together with:</w:t>
      </w:r>
    </w:p>
    <w:p>
      <w:pPr>
        <w:spacing w:after="0" w:line="189" w:lineRule="exact"/>
        <w:rPr>
          <w:rFonts w:ascii="Arial" w:cs="Arial" w:eastAsia="Arial" w:hAnsi="Arial"/>
          <w:sz w:val="14"/>
          <w:szCs w:val="14"/>
          <w:color w:val="auto"/>
        </w:rPr>
      </w:pPr>
    </w:p>
    <w:p>
      <w:pPr>
        <w:ind w:left="1820" w:hanging="332"/>
        <w:spacing w:after="0"/>
        <w:tabs>
          <w:tab w:leader="none" w:pos="1820" w:val="left"/>
        </w:tabs>
        <w:numPr>
          <w:ilvl w:val="2"/>
          <w:numId w:val="106"/>
        </w:numPr>
        <w:rPr>
          <w:rFonts w:ascii="Arial" w:cs="Arial" w:eastAsia="Arial" w:hAnsi="Arial"/>
          <w:sz w:val="11"/>
          <w:szCs w:val="11"/>
          <w:color w:val="auto"/>
        </w:rPr>
      </w:pPr>
      <w:r>
        <w:rPr>
          <w:rFonts w:ascii="Arial" w:cs="Arial" w:eastAsia="Arial" w:hAnsi="Arial"/>
          <w:sz w:val="11"/>
          <w:szCs w:val="11"/>
          <w:color w:val="auto"/>
        </w:rPr>
        <w:t>certificates and instruments representing the Securities Collateral referred to therein accompanied by undated stock powers or instruments of transfer executed in blank;</w:t>
      </w:r>
    </w:p>
    <w:p>
      <w:pPr>
        <w:spacing w:after="0" w:line="224" w:lineRule="exact"/>
        <w:rPr>
          <w:rFonts w:ascii="Arial" w:cs="Arial" w:eastAsia="Arial" w:hAnsi="Arial"/>
          <w:sz w:val="11"/>
          <w:szCs w:val="11"/>
          <w:color w:val="auto"/>
        </w:rPr>
      </w:pPr>
    </w:p>
    <w:p>
      <w:pPr>
        <w:ind w:left="1000" w:right="200" w:firstLine="488"/>
        <w:spacing w:after="0" w:line="266" w:lineRule="auto"/>
        <w:tabs>
          <w:tab w:leader="none" w:pos="1816" w:val="left"/>
        </w:tabs>
        <w:numPr>
          <w:ilvl w:val="2"/>
          <w:numId w:val="106"/>
        </w:numPr>
        <w:rPr>
          <w:rFonts w:ascii="Arial" w:cs="Arial" w:eastAsia="Arial" w:hAnsi="Arial"/>
          <w:sz w:val="14"/>
          <w:szCs w:val="14"/>
          <w:color w:val="auto"/>
        </w:rPr>
      </w:pPr>
      <w:r>
        <w:rPr>
          <w:rFonts w:ascii="Arial" w:cs="Arial" w:eastAsia="Arial" w:hAnsi="Arial"/>
          <w:sz w:val="14"/>
          <w:szCs w:val="14"/>
          <w:color w:val="auto"/>
        </w:rPr>
        <w:t>proper financing statements in form appropriate for filing under the Uniform Commercial Code of all jurisdictions that the Administrative Agent may deem necessary in order to perfect the Liens created under the Security Agreement, covering the Collateral described in the Security Agreement;</w:t>
      </w:r>
    </w:p>
    <w:p>
      <w:pPr>
        <w:spacing w:after="0" w:line="158" w:lineRule="exact"/>
        <w:rPr>
          <w:rFonts w:ascii="Arial" w:cs="Arial" w:eastAsia="Arial" w:hAnsi="Arial"/>
          <w:sz w:val="14"/>
          <w:szCs w:val="14"/>
          <w:color w:val="auto"/>
        </w:rPr>
      </w:pPr>
    </w:p>
    <w:p>
      <w:pPr>
        <w:ind w:left="1000" w:right="40" w:firstLine="488"/>
        <w:spacing w:after="0" w:line="251" w:lineRule="auto"/>
        <w:tabs>
          <w:tab w:leader="none" w:pos="1816" w:val="left"/>
        </w:tabs>
        <w:numPr>
          <w:ilvl w:val="2"/>
          <w:numId w:val="106"/>
        </w:numPr>
        <w:rPr>
          <w:rFonts w:ascii="Arial" w:cs="Arial" w:eastAsia="Arial" w:hAnsi="Arial"/>
          <w:sz w:val="14"/>
          <w:szCs w:val="14"/>
          <w:color w:val="auto"/>
        </w:rPr>
      </w:pPr>
      <w:r>
        <w:rPr>
          <w:rFonts w:ascii="Arial" w:cs="Arial" w:eastAsia="Arial" w:hAnsi="Arial"/>
          <w:sz w:val="14"/>
          <w:szCs w:val="14"/>
          <w:color w:val="auto"/>
        </w:rPr>
        <w:t>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or that the Administrative Agent deems necessary or appropriate, none of which encumber the Collateral covered or intended to be covered by the Collateral Documents (other than Liens permitted hereunder);</w:t>
      </w:r>
    </w:p>
    <w:p>
      <w:pPr>
        <w:spacing w:after="0" w:line="168" w:lineRule="exact"/>
        <w:rPr>
          <w:rFonts w:ascii="Arial" w:cs="Arial" w:eastAsia="Arial" w:hAnsi="Arial"/>
          <w:sz w:val="14"/>
          <w:szCs w:val="14"/>
          <w:color w:val="auto"/>
        </w:rPr>
      </w:pPr>
    </w:p>
    <w:p>
      <w:pPr>
        <w:ind w:left="1820" w:hanging="332"/>
        <w:spacing w:after="0"/>
        <w:tabs>
          <w:tab w:leader="none" w:pos="1820" w:val="left"/>
        </w:tabs>
        <w:numPr>
          <w:ilvl w:val="2"/>
          <w:numId w:val="106"/>
        </w:numPr>
        <w:rPr>
          <w:rFonts w:ascii="Arial" w:cs="Arial" w:eastAsia="Arial" w:hAnsi="Arial"/>
          <w:sz w:val="14"/>
          <w:szCs w:val="14"/>
          <w:color w:val="auto"/>
        </w:rPr>
      </w:pPr>
      <w:r>
        <w:rPr>
          <w:rFonts w:ascii="Arial" w:cs="Arial" w:eastAsia="Arial" w:hAnsi="Arial"/>
          <w:sz w:val="14"/>
          <w:szCs w:val="14"/>
          <w:color w:val="auto"/>
        </w:rPr>
        <w:t xml:space="preserve">a Perfection Certificate, in substantially the form of </w:t>
      </w:r>
      <w:r>
        <w:rPr>
          <w:rFonts w:ascii="Arial" w:cs="Arial" w:eastAsia="Arial" w:hAnsi="Arial"/>
          <w:sz w:val="14"/>
          <w:szCs w:val="14"/>
          <w:u w:val="single" w:color="auto"/>
          <w:color w:val="auto"/>
        </w:rPr>
        <w:t>Exhibit I-1</w:t>
      </w:r>
      <w:r>
        <w:rPr>
          <w:rFonts w:ascii="Arial" w:cs="Arial" w:eastAsia="Arial" w:hAnsi="Arial"/>
          <w:sz w:val="14"/>
          <w:szCs w:val="14"/>
          <w:color w:val="auto"/>
        </w:rPr>
        <w:t>, duly executed by each of the Loan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70</w:t>
      </w:r>
    </w:p>
    <w:p>
      <w:pPr>
        <w:sectPr>
          <w:pgSz w:w="11900" w:h="16838" w:orient="portrait"/>
          <w:cols w:equalWidth="0" w:num="1">
            <w:col w:w="11280"/>
          </w:cols>
          <w:pgMar w:left="300" w:top="129"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firstLine="488"/>
        <w:spacing w:after="0" w:line="305" w:lineRule="auto"/>
        <w:tabs>
          <w:tab w:leader="none" w:pos="1308" w:val="left"/>
        </w:tabs>
        <w:numPr>
          <w:ilvl w:val="1"/>
          <w:numId w:val="107"/>
        </w:numPr>
        <w:rPr>
          <w:rFonts w:ascii="Arial" w:cs="Arial" w:eastAsia="Arial" w:hAnsi="Arial"/>
          <w:sz w:val="13"/>
          <w:szCs w:val="13"/>
          <w:color w:val="auto"/>
        </w:rPr>
      </w:pPr>
      <w:r>
        <w:rPr>
          <w:rFonts w:ascii="Arial" w:cs="Arial" w:eastAsia="Arial" w:hAnsi="Arial"/>
          <w:sz w:val="13"/>
          <w:szCs w:val="13"/>
          <w:color w:val="auto"/>
        </w:rPr>
        <w:t>evidence that all other actions, recordings and filings that the Administrative Agent may deem necessary or desirable in order to perfect the Liens created under the Security Agreement has been taken (including receipt of duly executed payoff letters, UCC-3 termination statements and landlords’ and bailees’ waiver and consent agreements);</w:t>
      </w:r>
    </w:p>
    <w:p>
      <w:pPr>
        <w:spacing w:after="0" w:line="135" w:lineRule="exact"/>
        <w:rPr>
          <w:rFonts w:ascii="Arial" w:cs="Arial" w:eastAsia="Arial" w:hAnsi="Arial"/>
          <w:sz w:val="13"/>
          <w:szCs w:val="13"/>
          <w:color w:val="auto"/>
        </w:rPr>
      </w:pPr>
    </w:p>
    <w:p>
      <w:pPr>
        <w:ind w:right="200" w:firstLine="493"/>
        <w:spacing w:after="0" w:line="252" w:lineRule="auto"/>
        <w:tabs>
          <w:tab w:leader="none" w:pos="83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Copyright Security Agreement, Patent Security Agreement and Trademark Security Agreement (as each such term is defined in the Security Agreement and to the extent applicable) (together with each other intellectual property security agreement delivered pursuant to Section 6.12, in each case as amended, the “</w:t>
      </w:r>
      <w:r>
        <w:rPr>
          <w:rFonts w:ascii="Arial" w:cs="Arial" w:eastAsia="Arial" w:hAnsi="Arial"/>
          <w:sz w:val="14"/>
          <w:szCs w:val="14"/>
          <w:u w:val="single" w:color="auto"/>
          <w:color w:val="auto"/>
        </w:rPr>
        <w:t>Intellectual Property Security Agreement</w:t>
      </w:r>
      <w:r>
        <w:rPr>
          <w:rFonts w:ascii="Arial" w:cs="Arial" w:eastAsia="Arial" w:hAnsi="Arial"/>
          <w:sz w:val="14"/>
          <w:szCs w:val="14"/>
          <w:color w:val="auto"/>
        </w:rPr>
        <w:t>”), duly executed by each Loan Party, together with evidence that all action that the Administrative Agent may deem necessary or reasonably desirable in order to perfect the Liens created under the Intellectual Property Security Agreement has been taken;</w:t>
      </w:r>
    </w:p>
    <w:p>
      <w:pPr>
        <w:spacing w:after="0" w:line="169" w:lineRule="exact"/>
        <w:rPr>
          <w:rFonts w:ascii="Arial" w:cs="Arial" w:eastAsia="Arial" w:hAnsi="Arial"/>
          <w:sz w:val="14"/>
          <w:szCs w:val="14"/>
          <w:color w:val="auto"/>
        </w:rPr>
      </w:pPr>
    </w:p>
    <w:p>
      <w:pPr>
        <w:ind w:right="180" w:firstLine="493"/>
        <w:spacing w:after="0" w:line="256" w:lineRule="auto"/>
        <w:tabs>
          <w:tab w:leader="none" w:pos="79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65" w:lineRule="exact"/>
        <w:rPr>
          <w:rFonts w:ascii="Arial" w:cs="Arial" w:eastAsia="Arial" w:hAnsi="Arial"/>
          <w:sz w:val="14"/>
          <w:szCs w:val="14"/>
          <w:color w:val="auto"/>
        </w:rPr>
      </w:pPr>
    </w:p>
    <w:p>
      <w:pPr>
        <w:ind w:right="220" w:firstLine="493"/>
        <w:spacing w:after="0" w:line="256" w:lineRule="auto"/>
        <w:tabs>
          <w:tab w:leader="none" w:pos="83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would not reasonably be expected to have a Material Adverse Effect;</w:t>
      </w:r>
    </w:p>
    <w:p>
      <w:pPr>
        <w:spacing w:after="0" w:line="165" w:lineRule="exact"/>
        <w:rPr>
          <w:rFonts w:ascii="Arial" w:cs="Arial" w:eastAsia="Arial" w:hAnsi="Arial"/>
          <w:sz w:val="14"/>
          <w:szCs w:val="14"/>
          <w:color w:val="auto"/>
        </w:rPr>
      </w:pPr>
    </w:p>
    <w:p>
      <w:pPr>
        <w:ind w:right="20" w:firstLine="493"/>
        <w:spacing w:after="0" w:line="305" w:lineRule="auto"/>
        <w:tabs>
          <w:tab w:leader="none" w:pos="86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 favorable opinion of Sullivan &amp; Cromwell LLP, counsel to the Loan Parties, addressed to the Administrative Agent and each Lender, in form and substance reasonably acceptable to Administrative Agent, addressing such matters concerning the Loan Parties and the Loan Documents as the Administrative Agent may reasonably request;</w:t>
      </w:r>
    </w:p>
    <w:p>
      <w:pPr>
        <w:spacing w:after="0" w:line="135" w:lineRule="exact"/>
        <w:rPr>
          <w:rFonts w:ascii="Arial" w:cs="Arial" w:eastAsia="Arial" w:hAnsi="Arial"/>
          <w:sz w:val="13"/>
          <w:szCs w:val="13"/>
          <w:color w:val="auto"/>
        </w:rPr>
      </w:pPr>
    </w:p>
    <w:p>
      <w:pPr>
        <w:ind w:right="100" w:firstLine="493"/>
        <w:spacing w:after="0" w:line="284" w:lineRule="auto"/>
        <w:tabs>
          <w:tab w:leader="none" w:pos="90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 certificate of a Responsible Officer of each Loan Party either (A) attaching copies of all consents, licenses and approvals required in connection with the consummation by such Loan Party of the Transaction and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49" w:lineRule="exact"/>
        <w:rPr>
          <w:rFonts w:ascii="Arial" w:cs="Arial" w:eastAsia="Arial" w:hAnsi="Arial"/>
          <w:sz w:val="13"/>
          <w:szCs w:val="13"/>
          <w:color w:val="auto"/>
        </w:rPr>
      </w:pPr>
    </w:p>
    <w:p>
      <w:pPr>
        <w:jc w:val="both"/>
        <w:ind w:right="140" w:firstLine="493"/>
        <w:spacing w:after="0" w:line="358" w:lineRule="auto"/>
        <w:tabs>
          <w:tab w:leader="none" w:pos="831"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a certificate signed by a Responsible Officer of the Borrower certifying (A) that the conditions specified in </w:t>
      </w:r>
      <w:r>
        <w:rPr>
          <w:rFonts w:ascii="Arial" w:cs="Arial" w:eastAsia="Arial" w:hAnsi="Arial"/>
          <w:sz w:val="11"/>
          <w:szCs w:val="11"/>
          <w:u w:val="single" w:color="auto"/>
          <w:color w:val="auto"/>
        </w:rPr>
        <w:t>Sections 4.02(a)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have been satisfied, (B) that there has been no event or circumstance since the date of the Audited Financial Statements that has had or would be reasonably expected to have, either individually or in the aggregate, a Material Adverse Effect; and (C) a calculation of the Consolidated Net Leverage Ratio as of the last day of the fiscal quarter of the Borrower most recently ended prior to the Closing Date;</w:t>
      </w:r>
    </w:p>
    <w:p>
      <w:pPr>
        <w:spacing w:after="0" w:line="114" w:lineRule="exact"/>
        <w:rPr>
          <w:rFonts w:ascii="Arial" w:cs="Arial" w:eastAsia="Arial" w:hAnsi="Arial"/>
          <w:sz w:val="11"/>
          <w:szCs w:val="11"/>
          <w:color w:val="auto"/>
        </w:rPr>
      </w:pPr>
    </w:p>
    <w:p>
      <w:pPr>
        <w:ind w:right="120" w:firstLine="493"/>
        <w:spacing w:after="0" w:line="266" w:lineRule="auto"/>
        <w:tabs>
          <w:tab w:leader="none" w:pos="79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xml:space="preserve">a certificate attesting to the Solvency of the Borrower and its Subsidiaries on a consolidated basis after giving effect to the Transaction, from its chief financial officer, substantially in the form of </w:t>
      </w:r>
      <w:r>
        <w:rPr>
          <w:rFonts w:ascii="Arial" w:cs="Arial" w:eastAsia="Arial" w:hAnsi="Arial"/>
          <w:sz w:val="14"/>
          <w:szCs w:val="14"/>
          <w:u w:val="single" w:color="auto"/>
          <w:color w:val="auto"/>
        </w:rPr>
        <w:t>Exhibit N</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ind w:right="40" w:firstLine="493"/>
        <w:spacing w:after="0" w:line="305" w:lineRule="auto"/>
        <w:tabs>
          <w:tab w:leader="none" w:pos="83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 business plan and budget of the Borrower and its Subsidiaries on a consolidated basis, including forecasts prepared by management of the Borrower, of consolidated statements of income of the Borrower and its Subsidiaries on a monthly basis, starting with the month beginning after the Closing Date through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71</w:t>
      </w:r>
    </w:p>
    <w:p>
      <w:pPr>
        <w:sectPr>
          <w:pgSz w:w="11900" w:h="16838" w:orient="portrait"/>
          <w:cols w:equalWidth="0" w:num="1">
            <w:col w:w="10780"/>
          </w:cols>
          <w:pgMar w:left="800" w:top="129"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60" w:firstLine="493"/>
        <w:spacing w:after="0" w:line="256" w:lineRule="auto"/>
        <w:tabs>
          <w:tab w:leader="none" w:pos="136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evidence that all insurance required to be maintained pursuant to the Loan Documents has been obtained and is in effect, together with the certificates of insurance, naming the Administrative Agent, on behalf of the Secured Parties, as an additional insured or loss payee, as the case may be, under all insurance policies (including flood insurance policies) maintained with respect to the assets and properties of the Loan Parties that constitutes Collateral; and</w:t>
      </w:r>
    </w:p>
    <w:p>
      <w:pPr>
        <w:spacing w:after="0" w:line="165" w:lineRule="exact"/>
        <w:rPr>
          <w:rFonts w:ascii="Arial" w:cs="Arial" w:eastAsia="Arial" w:hAnsi="Arial"/>
          <w:sz w:val="14"/>
          <w:szCs w:val="14"/>
          <w:color w:val="auto"/>
        </w:rPr>
      </w:pPr>
    </w:p>
    <w:p>
      <w:pPr>
        <w:ind w:left="1400" w:hanging="407"/>
        <w:spacing w:after="0"/>
        <w:tabs>
          <w:tab w:leader="none" w:pos="1400" w:val="left"/>
        </w:tabs>
        <w:numPr>
          <w:ilvl w:val="1"/>
          <w:numId w:val="109"/>
        </w:numPr>
        <w:rPr>
          <w:rFonts w:ascii="Arial" w:cs="Arial" w:eastAsia="Arial" w:hAnsi="Arial"/>
          <w:sz w:val="11"/>
          <w:szCs w:val="11"/>
          <w:color w:val="auto"/>
        </w:rPr>
      </w:pPr>
      <w:r>
        <w:rPr>
          <w:rFonts w:ascii="Arial" w:cs="Arial" w:eastAsia="Arial" w:hAnsi="Arial"/>
          <w:sz w:val="11"/>
          <w:szCs w:val="11"/>
          <w:color w:val="auto"/>
        </w:rPr>
        <w:t>such other assurances, certificates, documents, consents or opinions as the Administrative Agent, the L/C Issuer, the Swing Line Lender or any Lender reasonably may require.</w:t>
      </w:r>
    </w:p>
    <w:p>
      <w:pPr>
        <w:spacing w:after="0" w:line="224" w:lineRule="exact"/>
        <w:rPr>
          <w:rFonts w:ascii="Arial" w:cs="Arial" w:eastAsia="Arial" w:hAnsi="Arial"/>
          <w:sz w:val="11"/>
          <w:szCs w:val="11"/>
          <w:color w:val="auto"/>
        </w:rPr>
      </w:pPr>
    </w:p>
    <w:p>
      <w:pPr>
        <w:ind w:right="100" w:firstLine="498"/>
        <w:spacing w:after="0" w:line="278" w:lineRule="auto"/>
        <w:tabs>
          <w:tab w:leader="none" w:pos="793" w:val="left"/>
        </w:tabs>
        <w:numPr>
          <w:ilvl w:val="0"/>
          <w:numId w:val="110"/>
        </w:numPr>
        <w:rPr>
          <w:rFonts w:ascii="Arial" w:cs="Arial" w:eastAsia="Arial" w:hAnsi="Arial"/>
          <w:sz w:val="13"/>
          <w:szCs w:val="13"/>
          <w:color w:val="auto"/>
        </w:rPr>
      </w:pPr>
      <w:r>
        <w:rPr>
          <w:rFonts w:ascii="Arial" w:cs="Arial" w:eastAsia="Arial" w:hAnsi="Arial"/>
          <w:sz w:val="13"/>
          <w:szCs w:val="13"/>
          <w:color w:val="auto"/>
        </w:rPr>
        <w:t>(x) Upon the reasonable request of any Lender made at least ten (10)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five (5) days prior to the Closing Date and (y) at least five (5) days prior to the Closing Date, any Loan Party that qualifies as a “legal entity customer” under the Beneficial Ownership Regulation shall have delivered, to each Lender that so requests, a Beneficial Ownership Certification in relation to such Loan Party.</w:t>
      </w:r>
    </w:p>
    <w:p>
      <w:pPr>
        <w:spacing w:after="0" w:line="153" w:lineRule="exact"/>
        <w:rPr>
          <w:rFonts w:ascii="Arial" w:cs="Arial" w:eastAsia="Arial" w:hAnsi="Arial"/>
          <w:sz w:val="13"/>
          <w:szCs w:val="13"/>
          <w:color w:val="auto"/>
        </w:rPr>
      </w:pPr>
    </w:p>
    <w:p>
      <w:pPr>
        <w:ind w:right="220" w:firstLine="498"/>
        <w:spacing w:after="0" w:line="266" w:lineRule="auto"/>
        <w:tabs>
          <w:tab w:leader="none" w:pos="785"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 All fees required to be paid to the Administrative Agent on or before the Closing Date shall have been paid and (ii) all fees required to be paid to the Lenders on or before the Closing Date shall have been paid.</w:t>
      </w:r>
    </w:p>
    <w:p>
      <w:pPr>
        <w:spacing w:after="0" w:line="158" w:lineRule="exact"/>
        <w:rPr>
          <w:rFonts w:ascii="Arial" w:cs="Arial" w:eastAsia="Arial" w:hAnsi="Arial"/>
          <w:sz w:val="14"/>
          <w:szCs w:val="14"/>
          <w:color w:val="auto"/>
        </w:rPr>
      </w:pPr>
    </w:p>
    <w:p>
      <w:pPr>
        <w:jc w:val="both"/>
        <w:ind w:right="20" w:firstLine="498"/>
        <w:spacing w:after="0" w:line="278" w:lineRule="auto"/>
        <w:tabs>
          <w:tab w:leader="none" w:pos="793" w:val="left"/>
        </w:tabs>
        <w:numPr>
          <w:ilvl w:val="0"/>
          <w:numId w:val="110"/>
        </w:numPr>
        <w:rPr>
          <w:rFonts w:ascii="Arial" w:cs="Arial" w:eastAsia="Arial" w:hAnsi="Arial"/>
          <w:sz w:val="13"/>
          <w:szCs w:val="13"/>
          <w:color w:val="auto"/>
        </w:rPr>
      </w:pPr>
      <w:r>
        <w:rPr>
          <w:rFonts w:ascii="Arial" w:cs="Arial" w:eastAsia="Arial" w:hAnsi="Arial"/>
          <w:sz w:val="13"/>
          <w:szCs w:val="13"/>
          <w:color w:val="auto"/>
        </w:rPr>
        <w:t xml:space="preserve">Unless waived by the Administrative Agent, the Borrower shall have paid all reasonable and documented fees, charges and disbursements of counsel to the Administrative Agent (directly to such counsel if requested by the Administrative Agent) to the extent invoiced at least two (2) Business Days prior to the Closing Date,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such additional amounts of such fees, charges and disbursements as shall constitute such counsel’s reasonable estimate of such fees, charges and disbursements incurred or to be incurred by it through the closing proceedings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estimate shall not thereafter preclude a final settling of accounts between the Borrower and the Administrative Agent).</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 xml:space="preserve">Without limiting the generality of the provisions of the last paragraph of </w:t>
      </w:r>
      <w:r>
        <w:rPr>
          <w:rFonts w:ascii="Arial" w:cs="Arial" w:eastAsia="Arial" w:hAnsi="Arial"/>
          <w:sz w:val="14"/>
          <w:szCs w:val="14"/>
          <w:u w:val="single" w:color="auto"/>
          <w:color w:val="auto"/>
        </w:rPr>
        <w:t>Section 9.03</w:t>
      </w:r>
      <w:r>
        <w:rPr>
          <w:rFonts w:ascii="Arial" w:cs="Arial" w:eastAsia="Arial" w:hAnsi="Arial"/>
          <w:sz w:val="14"/>
          <w:szCs w:val="14"/>
          <w:color w:val="auto"/>
        </w:rPr>
        <w:t xml:space="preserve">, for purposes of determining compliance with the conditions specified in this </w:t>
      </w:r>
      <w:r>
        <w:rPr>
          <w:rFonts w:ascii="Arial" w:cs="Arial" w:eastAsia="Arial" w:hAnsi="Arial"/>
          <w:sz w:val="14"/>
          <w:szCs w:val="14"/>
          <w:u w:val="single" w:color="auto"/>
          <w:color w:val="auto"/>
        </w:rPr>
        <w:t>Section 4.01</w:t>
      </w:r>
      <w:r>
        <w:rPr>
          <w:rFonts w:ascii="Arial" w:cs="Arial" w:eastAsia="Arial" w:hAnsi="Arial"/>
          <w:sz w:val="14"/>
          <w:szCs w:val="14"/>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the Administrative Agent or a Lender unless, in the case of a Lender, the Administrative Agent shall have received notice from such Lender prior to the proposed Closing Date specifying its objection thereto.</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4.02</w:t>
      </w:r>
      <w:r>
        <w:rPr>
          <w:sz w:val="20"/>
          <w:szCs w:val="20"/>
          <w:color w:val="auto"/>
        </w:rPr>
        <w:tab/>
      </w:r>
      <w:r>
        <w:rPr>
          <w:rFonts w:ascii="Arial" w:cs="Arial" w:eastAsia="Arial" w:hAnsi="Arial"/>
          <w:sz w:val="11"/>
          <w:szCs w:val="11"/>
          <w:b w:val="1"/>
          <w:bCs w:val="1"/>
          <w:color w:val="auto"/>
        </w:rPr>
        <w:t>Conditions to All Credit Extensions</w:t>
      </w:r>
      <w:r>
        <w:rPr>
          <w:rFonts w:ascii="Arial" w:cs="Arial" w:eastAsia="Arial" w:hAnsi="Arial"/>
          <w:sz w:val="11"/>
          <w:szCs w:val="11"/>
          <w:color w:val="auto"/>
        </w:rPr>
        <w:t>. The obligation of each Lender to honor any Request for Credit Extension (other than a Committed Loan Notice requesting only a conversion of</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Loans to the other Type, or a continuation of Term SOFR Loans) is subject to the following conditions precedent:</w:t>
      </w:r>
    </w:p>
    <w:p>
      <w:pPr>
        <w:spacing w:after="0" w:line="180" w:lineRule="exact"/>
        <w:rPr>
          <w:sz w:val="20"/>
          <w:szCs w:val="20"/>
          <w:color w:val="auto"/>
        </w:rPr>
      </w:pPr>
    </w:p>
    <w:p>
      <w:pPr>
        <w:ind w:right="100" w:firstLine="498"/>
        <w:spacing w:after="0" w:line="251" w:lineRule="auto"/>
        <w:tabs>
          <w:tab w:leader="none" w:pos="78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of the Borrower contained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or any other Loan Document shall be true and correct in all material respects (or, with respect to representations and warranties qualified by materiality,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qualified by materiality, in all respects) as of such earlier date, and except that for purposes of this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the representations and warranties contained in </w:t>
      </w:r>
      <w:r>
        <w:rPr>
          <w:rFonts w:ascii="Arial" w:cs="Arial" w:eastAsia="Arial" w:hAnsi="Arial"/>
          <w:sz w:val="14"/>
          <w:szCs w:val="14"/>
          <w:u w:val="single" w:color="auto"/>
          <w:color w:val="auto"/>
        </w:rPr>
        <w:t>Sections 5.05(a)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shall be deemed to refer to the most recent statements furnished pursuant to </w:t>
      </w:r>
      <w:r>
        <w:rPr>
          <w:rFonts w:ascii="Arial" w:cs="Arial" w:eastAsia="Arial" w:hAnsi="Arial"/>
          <w:sz w:val="14"/>
          <w:szCs w:val="14"/>
          <w:u w:val="single" w:color="auto"/>
          <w:color w:val="auto"/>
        </w:rPr>
        <w:t>Sections 6.01(a)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respectively.</w:t>
      </w:r>
    </w:p>
    <w:p>
      <w:pPr>
        <w:spacing w:after="0" w:line="168" w:lineRule="exact"/>
        <w:rPr>
          <w:rFonts w:ascii="Arial" w:cs="Arial" w:eastAsia="Arial" w:hAnsi="Arial"/>
          <w:sz w:val="14"/>
          <w:szCs w:val="14"/>
          <w:color w:val="auto"/>
        </w:rPr>
      </w:pPr>
    </w:p>
    <w:p>
      <w:pPr>
        <w:ind w:left="800" w:hanging="302"/>
        <w:spacing w:after="0"/>
        <w:tabs>
          <w:tab w:leader="none" w:pos="8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No Default or Event of Default shall exist, or would result from such proposed Credit Extension or from the application of the proceeds thereof.</w:t>
      </w:r>
    </w:p>
    <w:p>
      <w:pPr>
        <w:spacing w:after="0" w:line="189" w:lineRule="exact"/>
        <w:rPr>
          <w:rFonts w:ascii="Arial" w:cs="Arial" w:eastAsia="Arial" w:hAnsi="Arial"/>
          <w:sz w:val="14"/>
          <w:szCs w:val="14"/>
          <w:color w:val="auto"/>
        </w:rPr>
      </w:pPr>
    </w:p>
    <w:p>
      <w:pPr>
        <w:ind w:left="780" w:hanging="282"/>
        <w:spacing w:after="0"/>
        <w:tabs>
          <w:tab w:leader="none" w:pos="7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Administrative Agent and, if applicable, the L/C Issuer or the Swing Line Lender shall have received a Request for Credit Extension in accordance with the requirements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72</w:t>
      </w:r>
    </w:p>
    <w:p>
      <w:pPr>
        <w:sectPr>
          <w:pgSz w:w="11900" w:h="16838" w:orient="portrait"/>
          <w:cols w:equalWidth="0" w:num="1">
            <w:col w:w="11280"/>
          </w:cols>
          <w:pgMar w:left="300" w:top="129"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80" w:firstLine="495"/>
        <w:spacing w:after="0" w:line="404" w:lineRule="auto"/>
        <w:rPr>
          <w:sz w:val="20"/>
          <w:szCs w:val="20"/>
          <w:color w:val="auto"/>
        </w:rPr>
      </w:pPr>
      <w:r>
        <w:rPr>
          <w:rFonts w:ascii="Arial" w:cs="Arial" w:eastAsia="Arial" w:hAnsi="Arial"/>
          <w:sz w:val="11"/>
          <w:szCs w:val="11"/>
          <w:color w:val="auto"/>
        </w:rPr>
        <w:t xml:space="preserve">Each Request for Credit Extension (other than a Committed Loan Notice requesting only a conversion of Loans to the other Type or a continuation of Term SOFR Loans) submitted by the Borrower shall be deemed to be a representation and warranty that the conditions specified in </w:t>
      </w:r>
      <w:r>
        <w:rPr>
          <w:rFonts w:ascii="Arial" w:cs="Arial" w:eastAsia="Arial" w:hAnsi="Arial"/>
          <w:sz w:val="11"/>
          <w:szCs w:val="11"/>
          <w:u w:val="single" w:color="auto"/>
          <w:color w:val="auto"/>
        </w:rPr>
        <w:t>Sections 4.02(a)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have been satisfied on and as of the date of the applicable Credit Extension.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Borrower represents and warrants to the Administrative Agent and the Lenders that:</w:t>
      </w:r>
    </w:p>
    <w:p>
      <w:pPr>
        <w:spacing w:after="0" w:line="186" w:lineRule="exact"/>
        <w:rPr>
          <w:sz w:val="20"/>
          <w:szCs w:val="20"/>
          <w:color w:val="auto"/>
        </w:rPr>
      </w:pPr>
    </w:p>
    <w:p>
      <w:pPr>
        <w:ind w:firstLine="495"/>
        <w:spacing w:after="0" w:line="276" w:lineRule="auto"/>
        <w:rPr>
          <w:sz w:val="20"/>
          <w:szCs w:val="20"/>
          <w:color w:val="auto"/>
        </w:rPr>
      </w:pPr>
      <w:r>
        <w:rPr>
          <w:rFonts w:ascii="Arial" w:cs="Arial" w:eastAsia="Arial" w:hAnsi="Arial"/>
          <w:sz w:val="13"/>
          <w:szCs w:val="13"/>
          <w:b w:val="1"/>
          <w:bCs w:val="1"/>
          <w:color w:val="auto"/>
        </w:rPr>
        <w:t>5.01 Existence, Qualification and Power</w:t>
      </w:r>
      <w:r>
        <w:rPr>
          <w:rFonts w:ascii="Arial" w:cs="Arial" w:eastAsia="Arial" w:hAnsi="Arial"/>
          <w:sz w:val="13"/>
          <w:szCs w:val="13"/>
          <w:color w:val="auto"/>
        </w:rPr>
        <w:t>. Each Loan Party and each of its Subsidiaries (a) is duly organized or formed, validly existing and, as applicable, in good standing under the Laws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3"/>
          <w:szCs w:val="13"/>
          <w:u w:val="single" w:color="auto"/>
          <w:color w:val="auto"/>
        </w:rPr>
        <w:t>clause (b)(i)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to the extent that failure to do so would not reasonably be expected to have a Material Adverse Effect.</w:t>
      </w:r>
    </w:p>
    <w:p>
      <w:pPr>
        <w:spacing w:after="0" w:line="151" w:lineRule="exact"/>
        <w:rPr>
          <w:sz w:val="20"/>
          <w:szCs w:val="20"/>
          <w:color w:val="auto"/>
        </w:rPr>
      </w:pPr>
    </w:p>
    <w:p>
      <w:pPr>
        <w:ind w:right="120" w:firstLine="495"/>
        <w:spacing w:after="0" w:line="276" w:lineRule="auto"/>
        <w:rPr>
          <w:sz w:val="20"/>
          <w:szCs w:val="20"/>
          <w:color w:val="auto"/>
        </w:rPr>
      </w:pPr>
      <w:r>
        <w:rPr>
          <w:rFonts w:ascii="Arial" w:cs="Arial" w:eastAsia="Arial" w:hAnsi="Arial"/>
          <w:sz w:val="13"/>
          <w:szCs w:val="13"/>
          <w:b w:val="1"/>
          <w:bCs w:val="1"/>
          <w:color w:val="auto"/>
        </w:rPr>
        <w:t>5.02 Authorization; No Contravention</w:t>
      </w:r>
      <w:r>
        <w:rPr>
          <w:rFonts w:ascii="Arial" w:cs="Arial" w:eastAsia="Arial" w:hAnsi="Arial"/>
          <w:sz w:val="13"/>
          <w:szCs w:val="13"/>
          <w:color w:val="auto"/>
        </w:rPr>
        <w:t>. The execution, delivery and performance by each Loan Party of each Loan Document to which such Person is or is to be a party have been duly</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except to the extent it could not reasonably be expected to have a Material Adverse Effect or (ii) any order, injunction, writ or decree of any Governmental Authority or any arbitral award to which such Person or its property is subject; or (c) violate any Applicable Law.</w:t>
      </w:r>
    </w:p>
    <w:p>
      <w:pPr>
        <w:spacing w:after="0" w:line="151"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b w:val="1"/>
          <w:bCs w:val="1"/>
          <w:color w:val="auto"/>
        </w:rPr>
        <w:t>5.03 Governmental Authorization; Other Consents</w:t>
      </w:r>
      <w:r>
        <w:rPr>
          <w:rFonts w:ascii="Arial" w:cs="Arial" w:eastAsia="Arial" w:hAnsi="Arial"/>
          <w:sz w:val="14"/>
          <w:szCs w:val="14"/>
          <w:color w:val="auto"/>
        </w:rPr>
        <w:t>. No approval, consent, exemption, authorization, or other action by, or notice to, or filing with, any Governmental Authority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is necessary or required in connection with (a) the execution, delivery or performance by any Loan Party of this Agreement or any other Loan Document, or for the consummation of the Transaction, (b) the grant by any Loan Party of the Liens granted by it pursuant to the Collateral Documents or (c) the perfection or maintenance of the Liens created under the Collateral Documents, in each case, other than (i) authorizations, approvals, consents, actions, exemptions, notices and filings which have been duly obtained, (ii) filings to perfect the Liens created by the Collateral Documents, and (iii) SEC filings to disclose the entry into this Agreement following the Closing Date.</w:t>
      </w:r>
    </w:p>
    <w:p>
      <w:pPr>
        <w:spacing w:after="0" w:line="166" w:lineRule="exact"/>
        <w:rPr>
          <w:sz w:val="20"/>
          <w:szCs w:val="20"/>
          <w:color w:val="auto"/>
        </w:rPr>
      </w:pPr>
    </w:p>
    <w:p>
      <w:pPr>
        <w:ind w:right="120" w:firstLine="495"/>
        <w:spacing w:after="0" w:line="254" w:lineRule="auto"/>
        <w:rPr>
          <w:sz w:val="20"/>
          <w:szCs w:val="20"/>
          <w:color w:val="auto"/>
        </w:rPr>
      </w:pPr>
      <w:r>
        <w:rPr>
          <w:rFonts w:ascii="Arial" w:cs="Arial" w:eastAsia="Arial" w:hAnsi="Arial"/>
          <w:sz w:val="14"/>
          <w:szCs w:val="14"/>
          <w:b w:val="1"/>
          <w:bCs w:val="1"/>
          <w:color w:val="auto"/>
        </w:rPr>
        <w:t>5.04 Binding Effect</w:t>
      </w:r>
      <w:r>
        <w:rPr>
          <w:rFonts w:ascii="Arial" w:cs="Arial" w:eastAsia="Arial" w:hAnsi="Arial"/>
          <w:sz w:val="14"/>
          <w:szCs w:val="14"/>
          <w:color w:val="auto"/>
        </w:rPr>
        <w:t>. This Agreement has been, and each other Loan Document, when delivered hereunder, will have been, duly executed and delivered by each Loan Party that is party</w:t>
      </w:r>
      <w:r>
        <w:rPr>
          <w:rFonts w:ascii="Arial" w:cs="Arial" w:eastAsia="Arial" w:hAnsi="Arial"/>
          <w:sz w:val="14"/>
          <w:szCs w:val="14"/>
          <w:b w:val="1"/>
          <w:bCs w:val="1"/>
          <w:color w:val="auto"/>
        </w:rPr>
        <w:t xml:space="preserve"> </w:t>
      </w:r>
      <w:r>
        <w:rPr>
          <w:rFonts w:ascii="Arial" w:cs="Arial" w:eastAsia="Arial" w:hAnsi="Arial"/>
          <w:sz w:val="14"/>
          <w:szCs w:val="14"/>
          <w:color w:val="auto"/>
        </w:rPr>
        <w:t>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w:t>
      </w:r>
    </w:p>
    <w:p>
      <w:pPr>
        <w:spacing w:after="0" w:line="164" w:lineRule="exact"/>
        <w:rPr>
          <w:sz w:val="20"/>
          <w:szCs w:val="20"/>
          <w:color w:val="auto"/>
        </w:rPr>
      </w:pPr>
    </w:p>
    <w:p>
      <w:pPr>
        <w:ind w:right="80" w:firstLine="495"/>
        <w:spacing w:after="0" w:line="254" w:lineRule="auto"/>
        <w:rPr>
          <w:sz w:val="20"/>
          <w:szCs w:val="20"/>
          <w:color w:val="auto"/>
        </w:rPr>
      </w:pPr>
      <w:r>
        <w:rPr>
          <w:rFonts w:ascii="Arial" w:cs="Arial" w:eastAsia="Arial" w:hAnsi="Arial"/>
          <w:sz w:val="14"/>
          <w:szCs w:val="14"/>
          <w:b w:val="1"/>
          <w:bCs w:val="1"/>
          <w:color w:val="auto"/>
        </w:rPr>
        <w:t>5.05 Financial Statements; No Material Adverse Effect</w:t>
      </w:r>
      <w:r>
        <w:rPr>
          <w:rFonts w:ascii="Arial" w:cs="Arial" w:eastAsia="Arial" w:hAnsi="Arial"/>
          <w:sz w:val="14"/>
          <w:szCs w:val="14"/>
          <w:color w:val="auto"/>
        </w:rPr>
        <w:t>. (a) The Audited Financial Statements (i) were prepared in accordance with GAAP consistently applied throughout the period</w:t>
      </w:r>
      <w:r>
        <w:rPr>
          <w:rFonts w:ascii="Arial" w:cs="Arial" w:eastAsia="Arial" w:hAnsi="Arial"/>
          <w:sz w:val="14"/>
          <w:szCs w:val="14"/>
          <w:b w:val="1"/>
          <w:bCs w:val="1"/>
          <w:color w:val="auto"/>
        </w:rPr>
        <w:t xml:space="preserve"> </w:t>
      </w:r>
      <w:r>
        <w:rPr>
          <w:rFonts w:ascii="Arial" w:cs="Arial" w:eastAsia="Arial" w:hAnsi="Arial"/>
          <w:sz w:val="14"/>
          <w:szCs w:val="14"/>
          <w:color w:val="auto"/>
        </w:rPr>
        <w:t>covered thereby, except as otherwise expressly noted therein; and (ii) fairly present in all material respects the financial condition of the Borrower and its Subsidiaries on a consolidated basis as of the date thereof and their results of operations, cash flows and changes in shareholders’ equity for the period covered thereby in accordance with GAAP consistently applied throughout the period covered thereby, except as otherwise expressly noted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73</w:t>
      </w:r>
    </w:p>
    <w:p>
      <w:pPr>
        <w:sectPr>
          <w:pgSz w:w="11900" w:h="16838" w:orient="portrait"/>
          <w:cols w:equalWidth="0" w:num="1">
            <w:col w:w="11280"/>
          </w:cols>
          <w:pgMar w:left="300" w:top="129"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firstLine="498"/>
        <w:spacing w:after="0" w:line="343" w:lineRule="auto"/>
        <w:tabs>
          <w:tab w:leader="none" w:pos="79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 xml:space="preserve">The unaudited consolidated balance sheet of the Borrower and its Subsidiaries dated March 31, 2022, and the related consolidated statements of operations and comprehensive income, stockholders’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shareholders’ equity for the period covered thereby, subject, in the case of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w:t>
      </w:r>
      <w:r>
        <w:rPr>
          <w:rFonts w:ascii="Arial" w:cs="Arial" w:eastAsia="Arial" w:hAnsi="Arial"/>
          <w:sz w:val="11"/>
          <w:szCs w:val="11"/>
          <w:color w:val="auto"/>
        </w:rPr>
        <w:t>, to the absence of footnotes and to normal year-end audit adjustments.</w:t>
      </w:r>
    </w:p>
    <w:p>
      <w:pPr>
        <w:spacing w:after="0" w:line="122" w:lineRule="exact"/>
        <w:rPr>
          <w:rFonts w:ascii="Arial" w:cs="Arial" w:eastAsia="Arial" w:hAnsi="Arial"/>
          <w:sz w:val="11"/>
          <w:szCs w:val="11"/>
          <w:color w:val="auto"/>
        </w:rPr>
      </w:pPr>
    </w:p>
    <w:p>
      <w:pPr>
        <w:ind w:right="420" w:firstLine="498"/>
        <w:spacing w:after="0" w:line="266" w:lineRule="auto"/>
        <w:tabs>
          <w:tab w:leader="none" w:pos="785"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Since the date of the balance sheet included in the Audited Financial Statements, there has been no event or circumstance, either individually or in the aggregate, that has had or would reasonably be expected to have a Material Adverse Effect.</w:t>
      </w:r>
    </w:p>
    <w:p>
      <w:pPr>
        <w:spacing w:after="0" w:line="158" w:lineRule="exact"/>
        <w:rPr>
          <w:rFonts w:ascii="Arial" w:cs="Arial" w:eastAsia="Arial" w:hAnsi="Arial"/>
          <w:sz w:val="14"/>
          <w:szCs w:val="14"/>
          <w:color w:val="auto"/>
        </w:rPr>
      </w:pPr>
    </w:p>
    <w:p>
      <w:pPr>
        <w:ind w:right="100" w:firstLine="498"/>
        <w:spacing w:after="0" w:line="266" w:lineRule="auto"/>
        <w:tabs>
          <w:tab w:leader="none" w:pos="79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The consolidated forecasted statement of income of the Borrower and its Subsidiaries delivered pursuant to </w:t>
      </w:r>
      <w:r>
        <w:rPr>
          <w:rFonts w:ascii="Arial" w:cs="Arial" w:eastAsia="Arial" w:hAnsi="Arial"/>
          <w:sz w:val="14"/>
          <w:szCs w:val="14"/>
          <w:u w:val="single" w:color="auto"/>
          <w:color w:val="auto"/>
        </w:rPr>
        <w:t>Section 6.01(d)</w:t>
      </w:r>
      <w:r>
        <w:rPr>
          <w:rFonts w:ascii="Arial" w:cs="Arial" w:eastAsia="Arial" w:hAnsi="Arial"/>
          <w:sz w:val="14"/>
          <w:szCs w:val="14"/>
          <w:color w:val="auto"/>
        </w:rPr>
        <w:t xml:space="preserve"> was prepared in good faith on the basis of the assumptions stated therein, which assumptions were believed by the Borrower to be reasonable at the time of delivery thereof.</w:t>
      </w:r>
    </w:p>
    <w:p>
      <w:pPr>
        <w:spacing w:after="0" w:line="155" w:lineRule="exact"/>
        <w:rPr>
          <w:sz w:val="20"/>
          <w:szCs w:val="20"/>
          <w:color w:val="auto"/>
        </w:rPr>
      </w:pPr>
    </w:p>
    <w:p>
      <w:pPr>
        <w:ind w:right="20" w:firstLine="495"/>
        <w:spacing w:after="0" w:line="288" w:lineRule="auto"/>
        <w:rPr>
          <w:sz w:val="20"/>
          <w:szCs w:val="20"/>
          <w:color w:val="auto"/>
        </w:rPr>
      </w:pPr>
      <w:r>
        <w:rPr>
          <w:rFonts w:ascii="Arial" w:cs="Arial" w:eastAsia="Arial" w:hAnsi="Arial"/>
          <w:sz w:val="13"/>
          <w:szCs w:val="13"/>
          <w:b w:val="1"/>
          <w:bCs w:val="1"/>
          <w:color w:val="auto"/>
        </w:rPr>
        <w:t>5.06 Litigation</w:t>
      </w:r>
      <w:r>
        <w:rPr>
          <w:rFonts w:ascii="Arial" w:cs="Arial" w:eastAsia="Arial" w:hAnsi="Arial"/>
          <w:sz w:val="13"/>
          <w:szCs w:val="13"/>
          <w:color w:val="auto"/>
        </w:rPr>
        <w:t>. There are no actions, suits, proceedings, claims or disputes pending or, to the knowledge of the Borrower, threatened in writing or contemplated, at law, in equity, in arbitration</w:t>
      </w:r>
      <w:r>
        <w:rPr>
          <w:rFonts w:ascii="Arial" w:cs="Arial" w:eastAsia="Arial" w:hAnsi="Arial"/>
          <w:sz w:val="13"/>
          <w:szCs w:val="13"/>
          <w:b w:val="1"/>
          <w:bCs w:val="1"/>
          <w:color w:val="auto"/>
        </w:rPr>
        <w:t xml:space="preserve"> </w:t>
      </w:r>
      <w:r>
        <w:rPr>
          <w:rFonts w:ascii="Arial" w:cs="Arial" w:eastAsia="Arial" w:hAnsi="Arial"/>
          <w:sz w:val="13"/>
          <w:szCs w:val="13"/>
          <w:color w:val="auto"/>
        </w:rPr>
        <w:t>or before any Governmental Authority, by or against the Borrower or any of its Subsidiaries or against any of their properties or revenues that (a) involve this Agreement, any other Loan Document or the consummation of the Transaction, or (b) either individually or in the aggregate would reasonably be expected to have a Material Adverse Effect.</w:t>
      </w:r>
    </w:p>
    <w:p>
      <w:pPr>
        <w:spacing w:after="0" w:line="143" w:lineRule="exact"/>
        <w:rPr>
          <w:sz w:val="20"/>
          <w:szCs w:val="20"/>
          <w:color w:val="auto"/>
        </w:rPr>
      </w:pPr>
    </w:p>
    <w:p>
      <w:pPr>
        <w:ind w:right="20" w:firstLine="495"/>
        <w:spacing w:after="0" w:line="259" w:lineRule="auto"/>
        <w:rPr>
          <w:sz w:val="20"/>
          <w:szCs w:val="20"/>
          <w:color w:val="auto"/>
        </w:rPr>
      </w:pPr>
      <w:r>
        <w:rPr>
          <w:rFonts w:ascii="Arial" w:cs="Arial" w:eastAsia="Arial" w:hAnsi="Arial"/>
          <w:sz w:val="14"/>
          <w:szCs w:val="14"/>
          <w:b w:val="1"/>
          <w:bCs w:val="1"/>
          <w:color w:val="auto"/>
        </w:rPr>
        <w:t>5.07 No Default</w:t>
      </w:r>
      <w:r>
        <w:rPr>
          <w:rFonts w:ascii="Arial" w:cs="Arial" w:eastAsia="Arial" w:hAnsi="Arial"/>
          <w:sz w:val="14"/>
          <w:szCs w:val="14"/>
          <w:color w:val="auto"/>
        </w:rPr>
        <w:t>. Neither any Loan Party nor any Subsidiary thereof is in default under or with respect to, or a party to, any Contractual Obligation that would, either individually or in the</w:t>
      </w:r>
      <w:r>
        <w:rPr>
          <w:rFonts w:ascii="Arial" w:cs="Arial" w:eastAsia="Arial" w:hAnsi="Arial"/>
          <w:sz w:val="14"/>
          <w:szCs w:val="14"/>
          <w:b w:val="1"/>
          <w:bCs w:val="1"/>
          <w:color w:val="auto"/>
        </w:rPr>
        <w:t xml:space="preserve"> </w:t>
      </w:r>
      <w:r>
        <w:rPr>
          <w:rFonts w:ascii="Arial" w:cs="Arial" w:eastAsia="Arial" w:hAnsi="Arial"/>
          <w:sz w:val="14"/>
          <w:szCs w:val="14"/>
          <w:color w:val="auto"/>
        </w:rPr>
        <w:t>aggregate, reasonably be expected to have a Material Adverse Effect. No Default has occurred and is continuing or would result from the consummation of the transactions contemplated by this Agreement or any other Loan Document.</w:t>
      </w:r>
    </w:p>
    <w:p>
      <w:pPr>
        <w:spacing w:after="0" w:line="159" w:lineRule="exact"/>
        <w:rPr>
          <w:sz w:val="20"/>
          <w:szCs w:val="20"/>
          <w:color w:val="auto"/>
        </w:rPr>
      </w:pPr>
    </w:p>
    <w:p>
      <w:pPr>
        <w:ind w:right="180" w:firstLine="495"/>
        <w:spacing w:after="0" w:line="311" w:lineRule="auto"/>
        <w:rPr>
          <w:sz w:val="20"/>
          <w:szCs w:val="20"/>
          <w:color w:val="auto"/>
        </w:rPr>
      </w:pPr>
      <w:r>
        <w:rPr>
          <w:rFonts w:ascii="Arial" w:cs="Arial" w:eastAsia="Arial" w:hAnsi="Arial"/>
          <w:sz w:val="13"/>
          <w:szCs w:val="13"/>
          <w:b w:val="1"/>
          <w:bCs w:val="1"/>
          <w:color w:val="auto"/>
        </w:rPr>
        <w:t>5.08 Ownership of Property; Liens; Investments</w:t>
      </w:r>
      <w:r>
        <w:rPr>
          <w:rFonts w:ascii="Arial" w:cs="Arial" w:eastAsia="Arial" w:hAnsi="Arial"/>
          <w:sz w:val="13"/>
          <w:szCs w:val="13"/>
          <w:color w:val="auto"/>
        </w:rPr>
        <w:t>. Each Loan Party and each of its Subsidiaries has good record and marketable title in fee simple to, or valid leasehold interests in, all real</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necessary or used in the ordinary conduct of its business, except as would not, individually or in the aggregate, reasonably be expected to have a Material Adverse Effect.</w:t>
      </w:r>
    </w:p>
    <w:p>
      <w:pPr>
        <w:spacing w:after="0" w:line="11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5.09</w:t>
      </w:r>
      <w:r>
        <w:rPr>
          <w:sz w:val="20"/>
          <w:szCs w:val="20"/>
          <w:color w:val="auto"/>
        </w:rPr>
        <w:tab/>
      </w:r>
      <w:r>
        <w:rPr>
          <w:rFonts w:ascii="Arial" w:cs="Arial" w:eastAsia="Arial" w:hAnsi="Arial"/>
          <w:sz w:val="11"/>
          <w:szCs w:val="11"/>
          <w:b w:val="1"/>
          <w:bCs w:val="1"/>
          <w:color w:val="auto"/>
        </w:rPr>
        <w:t>Environmental Matters</w:t>
      </w:r>
      <w:r>
        <w:rPr>
          <w:rFonts w:ascii="Arial" w:cs="Arial" w:eastAsia="Arial" w:hAnsi="Arial"/>
          <w:sz w:val="11"/>
          <w:szCs w:val="11"/>
          <w:color w:val="auto"/>
        </w:rPr>
        <w:t>.</w:t>
      </w:r>
    </w:p>
    <w:p>
      <w:pPr>
        <w:spacing w:after="0" w:line="173" w:lineRule="exact"/>
        <w:rPr>
          <w:sz w:val="20"/>
          <w:szCs w:val="20"/>
          <w:color w:val="auto"/>
        </w:rPr>
      </w:pPr>
    </w:p>
    <w:p>
      <w:pPr>
        <w:ind w:left="780" w:hanging="282"/>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reasonably be expected to result in any Material Adverse Effect:</w:t>
      </w:r>
    </w:p>
    <w:p>
      <w:pPr>
        <w:spacing w:after="0" w:line="169" w:lineRule="exact"/>
        <w:rPr>
          <w:rFonts w:ascii="Arial" w:cs="Arial" w:eastAsia="Arial" w:hAnsi="Arial"/>
          <w:sz w:val="14"/>
          <w:szCs w:val="14"/>
          <w:color w:val="auto"/>
        </w:rPr>
      </w:pPr>
    </w:p>
    <w:p>
      <w:pPr>
        <w:ind w:left="500" w:right="40" w:firstLine="493"/>
        <w:spacing w:after="0" w:line="286" w:lineRule="auto"/>
        <w:tabs>
          <w:tab w:leader="none" w:pos="1262" w:val="left"/>
        </w:tabs>
        <w:numPr>
          <w:ilvl w:val="1"/>
          <w:numId w:val="113"/>
        </w:numPr>
        <w:rPr>
          <w:rFonts w:ascii="Arial" w:cs="Arial" w:eastAsia="Arial" w:hAnsi="Arial"/>
          <w:sz w:val="11"/>
          <w:szCs w:val="11"/>
          <w:color w:val="auto"/>
        </w:rPr>
      </w:pPr>
      <w:r>
        <w:rPr>
          <w:rFonts w:ascii="Arial" w:cs="Arial" w:eastAsia="Arial" w:hAnsi="Arial"/>
          <w:sz w:val="11"/>
          <w:szCs w:val="11"/>
          <w:color w:val="auto"/>
        </w:rPr>
        <w:t>(i) To the knowledge of the Loan Parties or any of their respective Subsidiaries none of the properties currently or formerly owned, leased or operated by any Loan Party or any of its Subsidiaries is listed or formally proposed for listing on the NPL or on the CERCLIS or any analogous foreign, state or local list or is adjacent to any such property; (ii) there are no, and to the knowledge of the Loan Parties and their Subsidiaries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the best of the knowledge of the Loan Parties, on any property formerly owned, leased or operated by any Loan Party or any of its Subsidiaries; (iii) to the knowledge of the Loan Parties there is not and never has been any asbestos or asbestos-containing material on, at or in any property currently owned, leased or operated by any Loan Party or any of its Subsidiaries other than in compliance with Environmental Laws; (iv) Hazardous Materials have not been Released on, at, under or from any property currently or formerly owned, leased or operated by any Loan Party or any of its Subsidiaries or any property by or on behalf, or otherwise arising from the operations, of any Loan Party or any of its Subsidiaries; and (v) no Loan Party or any of its Subsidiaries has become subject to any Environmental Liability or knows of any facts or circumstances that could reasonably be expected to give rise to any Environmental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74</w:t>
      </w:r>
    </w:p>
    <w:p>
      <w:pPr>
        <w:sectPr>
          <w:pgSz w:w="11900" w:h="16838" w:orient="portrait"/>
          <w:cols w:equalWidth="0" w:num="1">
            <w:col w:w="11280"/>
          </w:cols>
          <w:pgMar w:left="300" w:top="129"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firstLine="493"/>
        <w:spacing w:after="0" w:line="241" w:lineRule="auto"/>
        <w:tabs>
          <w:tab w:leader="none" w:pos="130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(i)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(ii) all Hazardous Materials generated, used, treated, handled or stored at, or transported by any Loan Party or any of its Subsidiaries to or from, any property currently or formerly owned, leased or operated by any Loan Party or any of its Subsidiaries have been disposed of in a manner which could not reasonably expected to result in liability to any Loan Party or any of its Subsidiaries.</w:t>
      </w:r>
    </w:p>
    <w:p>
      <w:pPr>
        <w:spacing w:after="0" w:line="157" w:lineRule="exact"/>
        <w:rPr>
          <w:rFonts w:ascii="Arial" w:cs="Arial" w:eastAsia="Arial" w:hAnsi="Arial"/>
          <w:sz w:val="13"/>
          <w:szCs w:val="13"/>
          <w:color w:val="auto"/>
        </w:rPr>
      </w:pPr>
    </w:p>
    <w:p>
      <w:pPr>
        <w:ind w:left="500" w:right="40" w:firstLine="493"/>
        <w:spacing w:after="0" w:line="222" w:lineRule="auto"/>
        <w:tabs>
          <w:tab w:leader="none" w:pos="1336" w:val="left"/>
        </w:tabs>
        <w:numPr>
          <w:ilvl w:val="1"/>
          <w:numId w:val="114"/>
        </w:numPr>
        <w:rPr>
          <w:rFonts w:ascii="Arial" w:cs="Arial" w:eastAsia="Arial" w:hAnsi="Arial"/>
          <w:sz w:val="14"/>
          <w:szCs w:val="14"/>
          <w:color w:val="auto"/>
        </w:rPr>
      </w:pPr>
      <w:r>
        <w:rPr>
          <w:rFonts w:ascii="Arial" w:cs="Arial" w:eastAsia="Arial" w:hAnsi="Arial"/>
          <w:sz w:val="14"/>
          <w:szCs w:val="14"/>
          <w:color w:val="auto"/>
        </w:rPr>
        <w:t>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new requirements proposed for adoption or implementation under any Environmental Law.</w:t>
      </w:r>
    </w:p>
    <w:p>
      <w:pPr>
        <w:spacing w:after="0" w:line="158" w:lineRule="exact"/>
        <w:rPr>
          <w:rFonts w:ascii="Arial" w:cs="Arial" w:eastAsia="Arial" w:hAnsi="Arial"/>
          <w:sz w:val="14"/>
          <w:szCs w:val="14"/>
          <w:color w:val="auto"/>
        </w:rPr>
      </w:pPr>
    </w:p>
    <w:p>
      <w:pPr>
        <w:ind w:right="140" w:firstLine="498"/>
        <w:spacing w:after="0" w:line="230" w:lineRule="auto"/>
        <w:tabs>
          <w:tab w:leader="none" w:pos="79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would not, individually or in the aggregate, reasonably be expected to have a Material Adverse Effect.</w:t>
      </w:r>
    </w:p>
    <w:p>
      <w:pPr>
        <w:spacing w:after="0" w:line="162" w:lineRule="exact"/>
        <w:rPr>
          <w:sz w:val="20"/>
          <w:szCs w:val="20"/>
          <w:color w:val="auto"/>
        </w:rPr>
      </w:pPr>
    </w:p>
    <w:p>
      <w:pPr>
        <w:jc w:val="both"/>
        <w:ind w:right="20" w:firstLine="495"/>
        <w:spacing w:after="0" w:line="259" w:lineRule="auto"/>
        <w:rPr>
          <w:sz w:val="20"/>
          <w:szCs w:val="20"/>
          <w:color w:val="auto"/>
        </w:rPr>
      </w:pPr>
      <w:r>
        <w:rPr>
          <w:rFonts w:ascii="Arial" w:cs="Arial" w:eastAsia="Arial" w:hAnsi="Arial"/>
          <w:sz w:val="14"/>
          <w:szCs w:val="14"/>
          <w:b w:val="1"/>
          <w:bCs w:val="1"/>
          <w:color w:val="auto"/>
        </w:rPr>
        <w:t>5.10 Insurance</w:t>
      </w:r>
      <w:r>
        <w:rPr>
          <w:rFonts w:ascii="Arial" w:cs="Arial" w:eastAsia="Arial" w:hAnsi="Arial"/>
          <w:sz w:val="14"/>
          <w:szCs w:val="14"/>
          <w:color w:val="auto"/>
        </w:rPr>
        <w:t>. The properties of the Borrower and its Subsidiaries are insured with financially sound and reputable insurance companies not Affiliates of the Borrower, in such amounts,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such deductibles and covering such risks as are customarily carried by companies engaged in similar businesses and owning similar properties in localities where the Borrower or the applicable Subsidiary operates.</w:t>
      </w:r>
    </w:p>
    <w:p>
      <w:pPr>
        <w:spacing w:after="0" w:line="159" w:lineRule="exact"/>
        <w:rPr>
          <w:sz w:val="20"/>
          <w:szCs w:val="20"/>
          <w:color w:val="auto"/>
        </w:rPr>
      </w:pPr>
    </w:p>
    <w:p>
      <w:pPr>
        <w:ind w:right="40" w:firstLine="495"/>
        <w:spacing w:after="0" w:line="254" w:lineRule="auto"/>
        <w:rPr>
          <w:sz w:val="20"/>
          <w:szCs w:val="20"/>
          <w:color w:val="auto"/>
        </w:rPr>
      </w:pPr>
      <w:r>
        <w:rPr>
          <w:rFonts w:ascii="Arial" w:cs="Arial" w:eastAsia="Arial" w:hAnsi="Arial"/>
          <w:sz w:val="14"/>
          <w:szCs w:val="14"/>
          <w:b w:val="1"/>
          <w:bCs w:val="1"/>
          <w:color w:val="auto"/>
        </w:rPr>
        <w:t>5.11 Taxes</w:t>
      </w:r>
      <w:r>
        <w:rPr>
          <w:rFonts w:ascii="Arial" w:cs="Arial" w:eastAsia="Arial" w:hAnsi="Arial"/>
          <w:sz w:val="14"/>
          <w:szCs w:val="14"/>
          <w:color w:val="auto"/>
        </w:rPr>
        <w:t>. The Borrower and each of its Subsidiaries have timely filed all federal, state and other material tax returns and reports required to be filed, and have paid all federal, state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material Taxes (whether or not shown on a tax return), levied or imposed upon it or its properties, income or assets otherwise due and payable, except (a) those which are being contested in good faith by appropriate proceedings diligently conducted and for which adequate reserves have been provided in accordance with GAAP or (b) to the extent that the failure to do so would not be reasonably expected to have a Material Adverse Effect.</w:t>
      </w:r>
    </w:p>
    <w:p>
      <w:pPr>
        <w:spacing w:after="0" w:line="164" w:lineRule="exact"/>
        <w:rPr>
          <w:sz w:val="20"/>
          <w:szCs w:val="20"/>
          <w:color w:val="auto"/>
        </w:rPr>
      </w:pPr>
    </w:p>
    <w:p>
      <w:pPr>
        <w:ind w:right="60" w:firstLine="495"/>
        <w:spacing w:after="0" w:line="276" w:lineRule="auto"/>
        <w:rPr>
          <w:sz w:val="20"/>
          <w:szCs w:val="20"/>
          <w:color w:val="auto"/>
        </w:rPr>
      </w:pPr>
      <w:r>
        <w:rPr>
          <w:rFonts w:ascii="Arial" w:cs="Arial" w:eastAsia="Arial" w:hAnsi="Arial"/>
          <w:sz w:val="13"/>
          <w:szCs w:val="13"/>
          <w:b w:val="1"/>
          <w:bCs w:val="1"/>
          <w:color w:val="auto"/>
        </w:rPr>
        <w:t>5.12 ERISA Compliance</w:t>
      </w:r>
      <w:r>
        <w:rPr>
          <w:rFonts w:ascii="Arial" w:cs="Arial" w:eastAsia="Arial" w:hAnsi="Arial"/>
          <w:sz w:val="13"/>
          <w:szCs w:val="13"/>
          <w:color w:val="auto"/>
        </w:rPr>
        <w:t>. (a) Except as could not reasonably be expected, either individually or in the aggregate, to have a Material Adverse Effect, (i) each Plan is in compliance in all</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respects with the applicable provisions of ERISA, the Code and other federal or state laws, and (ii) each Pension Plan or Multiemployer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 to the knowledge of the Borrower, nothing has occurred that would prevent or cause the loss of such tax-qualified status.</w:t>
      </w:r>
    </w:p>
    <w:p>
      <w:pPr>
        <w:spacing w:after="0" w:line="155" w:lineRule="exact"/>
        <w:rPr>
          <w:sz w:val="20"/>
          <w:szCs w:val="20"/>
          <w:color w:val="auto"/>
        </w:rPr>
      </w:pPr>
    </w:p>
    <w:p>
      <w:pPr>
        <w:jc w:val="both"/>
        <w:ind w:right="140" w:firstLine="498"/>
        <w:spacing w:after="0" w:line="256" w:lineRule="auto"/>
        <w:tabs>
          <w:tab w:leader="none" w:pos="79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There are no pending or, to the knowledge of the Borrower,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75</w:t>
      </w:r>
    </w:p>
    <w:p>
      <w:pPr>
        <w:sectPr>
          <w:pgSz w:w="11900" w:h="16838" w:orient="portrait"/>
          <w:cols w:equalWidth="0" w:num="1">
            <w:col w:w="11280"/>
          </w:cols>
          <w:pgMar w:left="300" w:top="129"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498"/>
        <w:spacing w:after="0" w:line="404" w:lineRule="auto"/>
        <w:tabs>
          <w:tab w:leader="none" w:pos="785" w:val="left"/>
        </w:tabs>
        <w:numPr>
          <w:ilvl w:val="0"/>
          <w:numId w:val="117"/>
        </w:numPr>
        <w:rPr>
          <w:rFonts w:ascii="Arial" w:cs="Arial" w:eastAsia="Arial" w:hAnsi="Arial"/>
          <w:sz w:val="11"/>
          <w:szCs w:val="11"/>
          <w:color w:val="auto"/>
        </w:rPr>
      </w:pPr>
      <w:r>
        <w:rPr>
          <w:rFonts w:ascii="Arial" w:cs="Arial" w:eastAsia="Arial" w:hAnsi="Arial"/>
          <w:sz w:val="11"/>
          <w:szCs w:val="11"/>
          <w:color w:val="auto"/>
        </w:rPr>
        <w:t>No ERISA Event has occurred, and neither the Borrower nor any ERISA Affiliate is aware of any fact, event or circumstance that would reasonably be expected to constitute or result in an ERISA Event with respect to any Pension Plan or Multiemployer Plan that, either individually or in the aggregate, has had or would reasonably be expected to have a Material Adverse Effect.</w:t>
      </w:r>
    </w:p>
    <w:p>
      <w:pPr>
        <w:spacing w:after="0" w:line="89" w:lineRule="exact"/>
        <w:rPr>
          <w:rFonts w:ascii="Arial" w:cs="Arial" w:eastAsia="Arial" w:hAnsi="Arial"/>
          <w:sz w:val="11"/>
          <w:szCs w:val="11"/>
          <w:color w:val="auto"/>
        </w:rPr>
      </w:pPr>
    </w:p>
    <w:p>
      <w:pPr>
        <w:ind w:right="440" w:firstLine="498"/>
        <w:spacing w:after="0" w:line="266" w:lineRule="auto"/>
        <w:tabs>
          <w:tab w:leader="none" w:pos="79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Borrower represents and warrants as of the Closing Date that the Borrower is not and will not be using “plan assets” (within the meaning of 29 CFR § 2510.3-101, as modified by Section 3(42) of ERISA) of one or more Benefit Plans in connection with the Loans, the Letters of Credit or the Commitments.</w:t>
      </w:r>
    </w:p>
    <w:p>
      <w:pPr>
        <w:spacing w:after="0" w:line="158" w:lineRule="exact"/>
        <w:rPr>
          <w:rFonts w:ascii="Arial" w:cs="Arial" w:eastAsia="Arial" w:hAnsi="Arial"/>
          <w:sz w:val="14"/>
          <w:szCs w:val="14"/>
          <w:color w:val="auto"/>
        </w:rPr>
      </w:pPr>
    </w:p>
    <w:p>
      <w:pPr>
        <w:jc w:val="both"/>
        <w:ind w:firstLine="498"/>
        <w:spacing w:after="0" w:line="278" w:lineRule="auto"/>
        <w:tabs>
          <w:tab w:leader="none" w:pos="78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the Borrower or any ERISA Affiliate for a complete withdrawal from such Multiemployer Plan (within the meaning of Section 4203 or Section 4205 of ERISA), when aggregated with such potential liability for a complete withdrawal from all Multiemployer Plans, is zero.</w:t>
      </w:r>
    </w:p>
    <w:p>
      <w:pPr>
        <w:spacing w:after="0" w:line="153" w:lineRule="exact"/>
        <w:rPr>
          <w:rFonts w:ascii="Arial" w:cs="Arial" w:eastAsia="Arial" w:hAnsi="Arial"/>
          <w:sz w:val="13"/>
          <w:szCs w:val="13"/>
          <w:color w:val="auto"/>
        </w:rPr>
      </w:pPr>
    </w:p>
    <w:p>
      <w:pPr>
        <w:ind w:firstLine="498"/>
        <w:spacing w:after="0" w:line="272" w:lineRule="auto"/>
        <w:tabs>
          <w:tab w:leader="none" w:pos="77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employee benefit plan maintained or contributed to by any Loan Party or any Subsidiary of any Loan Party with respect to employees employed outside the United States that is not subject to United States law, other than any governmental arrangement (a “</w:t>
      </w:r>
      <w:r>
        <w:rPr>
          <w:rFonts w:ascii="Arial" w:cs="Arial" w:eastAsia="Arial" w:hAnsi="Arial"/>
          <w:sz w:val="13"/>
          <w:szCs w:val="13"/>
          <w:u w:val="single" w:color="auto"/>
          <w:color w:val="auto"/>
        </w:rPr>
        <w:t>Foreign Plan</w:t>
      </w:r>
      <w:r>
        <w:rPr>
          <w:rFonts w:ascii="Arial" w:cs="Arial" w:eastAsia="Arial" w:hAnsi="Arial"/>
          <w:sz w:val="13"/>
          <w:szCs w:val="13"/>
          <w:color w:val="auto"/>
        </w:rPr>
        <w:t>”) has been maintained in compliance with its terms and with the requirements of any and all applicable requirements of Law and has been maintained, where required, in good standing with applicable regulatory authorities, except to the extent that the failure so to comply would not reasonably be expected, either individually or in the aggregate, to have a Material Adverse Effect. The present value of the accrued benefit liabilities (whether or not vested) under each Foreign Plan that is funded, determined as of the end of the most recently ended fiscal year of the Borrower or Subsidiary, as applicable, on the basis of actuarial assumptions, each of which is reasonable, did not exceed the current value of the property of such Foreign Plan by a material amount, and for each Foreign Plan that is not funded, the obligations of such Foreign Plan are properly accrued.</w:t>
      </w:r>
    </w:p>
    <w:p>
      <w:pPr>
        <w:spacing w:after="0" w:line="155" w:lineRule="exact"/>
        <w:rPr>
          <w:sz w:val="20"/>
          <w:szCs w:val="20"/>
          <w:color w:val="auto"/>
        </w:rPr>
      </w:pPr>
    </w:p>
    <w:p>
      <w:pPr>
        <w:ind w:right="20" w:firstLine="495"/>
        <w:spacing w:after="0" w:line="249" w:lineRule="auto"/>
        <w:rPr>
          <w:sz w:val="20"/>
          <w:szCs w:val="20"/>
          <w:color w:val="auto"/>
        </w:rPr>
      </w:pPr>
      <w:r>
        <w:rPr>
          <w:rFonts w:ascii="Arial" w:cs="Arial" w:eastAsia="Arial" w:hAnsi="Arial"/>
          <w:sz w:val="14"/>
          <w:szCs w:val="14"/>
          <w:b w:val="1"/>
          <w:bCs w:val="1"/>
          <w:color w:val="auto"/>
        </w:rPr>
        <w:t>5.13 Subsidiaries; Equity Interests; Loan Parties</w:t>
      </w:r>
      <w:r>
        <w:rPr>
          <w:rFonts w:ascii="Arial" w:cs="Arial" w:eastAsia="Arial" w:hAnsi="Arial"/>
          <w:sz w:val="14"/>
          <w:szCs w:val="14"/>
          <w:color w:val="auto"/>
        </w:rPr>
        <w:t>. As of the Closing Date, the Borrower has no Subsidiaries other than those specifically disclosed in Part (a)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5.13</w:t>
      </w:r>
      <w:r>
        <w:rPr>
          <w:rFonts w:ascii="Arial" w:cs="Arial" w:eastAsia="Arial" w:hAnsi="Arial"/>
          <w:sz w:val="14"/>
          <w:szCs w:val="14"/>
          <w:color w:val="auto"/>
        </w:rPr>
        <w:t>, and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outstanding Equity Interests in such Subsidiaries have been validly issued, are fully paid and non-assessable and are owned by the Borrower or a Subsidiary in the amounts specified on Part (a) of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5.13</w:t>
      </w:r>
      <w:r>
        <w:rPr>
          <w:rFonts w:ascii="Arial" w:cs="Arial" w:eastAsia="Arial" w:hAnsi="Arial"/>
          <w:sz w:val="14"/>
          <w:szCs w:val="14"/>
          <w:color w:val="auto"/>
        </w:rPr>
        <w:t xml:space="preserve"> free and clear of all Liens except those created under the Collateral Documents or otherwise permitted hereunder. As of the Closing Date, the Borrower has no equity investments in any other corporation or entity other than those specifically disclosed in Part (b) of </w:t>
      </w:r>
      <w:r>
        <w:rPr>
          <w:rFonts w:ascii="Arial" w:cs="Arial" w:eastAsia="Arial" w:hAnsi="Arial"/>
          <w:sz w:val="14"/>
          <w:szCs w:val="14"/>
          <w:u w:val="single" w:color="auto"/>
          <w:color w:val="auto"/>
        </w:rPr>
        <w:t>Schedule 5.13</w:t>
      </w:r>
      <w:r>
        <w:rPr>
          <w:rFonts w:ascii="Arial" w:cs="Arial" w:eastAsia="Arial" w:hAnsi="Arial"/>
          <w:sz w:val="14"/>
          <w:szCs w:val="14"/>
          <w:color w:val="auto"/>
        </w:rPr>
        <w:t xml:space="preserve">. Set forth on Part (d) of </w:t>
      </w:r>
      <w:r>
        <w:rPr>
          <w:rFonts w:ascii="Arial" w:cs="Arial" w:eastAsia="Arial" w:hAnsi="Arial"/>
          <w:sz w:val="14"/>
          <w:szCs w:val="14"/>
          <w:u w:val="single" w:color="auto"/>
          <w:color w:val="auto"/>
        </w:rPr>
        <w:t>Schedule 5.13</w:t>
      </w:r>
      <w:r>
        <w:rPr>
          <w:rFonts w:ascii="Arial" w:cs="Arial" w:eastAsia="Arial" w:hAnsi="Arial"/>
          <w:sz w:val="14"/>
          <w:szCs w:val="14"/>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As of the Closing Date, the copy of the charter (or similar organizational document) of each Loan Party and each amendment thereto provided pursuant to </w:t>
      </w:r>
      <w:r>
        <w:rPr>
          <w:rFonts w:ascii="Arial" w:cs="Arial" w:eastAsia="Arial" w:hAnsi="Arial"/>
          <w:sz w:val="14"/>
          <w:szCs w:val="14"/>
          <w:u w:val="single" w:color="auto"/>
          <w:color w:val="auto"/>
        </w:rPr>
        <w:t>Section 4.01(a)(vi)</w:t>
      </w:r>
      <w:r>
        <w:rPr>
          <w:rFonts w:ascii="Arial" w:cs="Arial" w:eastAsia="Arial" w:hAnsi="Arial"/>
          <w:sz w:val="14"/>
          <w:szCs w:val="14"/>
          <w:color w:val="auto"/>
        </w:rPr>
        <w:t xml:space="preserve"> is a true and correct copy of each such document, each of which is valid and in full force and effect.</w:t>
      </w:r>
    </w:p>
    <w:p>
      <w:pPr>
        <w:spacing w:after="0" w:line="17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5.14</w:t>
      </w:r>
      <w:r>
        <w:rPr>
          <w:sz w:val="20"/>
          <w:szCs w:val="20"/>
          <w:color w:val="auto"/>
        </w:rPr>
        <w:tab/>
      </w:r>
      <w:r>
        <w:rPr>
          <w:rFonts w:ascii="Arial" w:cs="Arial" w:eastAsia="Arial" w:hAnsi="Arial"/>
          <w:sz w:val="11"/>
          <w:szCs w:val="11"/>
          <w:b w:val="1"/>
          <w:bCs w:val="1"/>
          <w:color w:val="auto"/>
        </w:rPr>
        <w:t>Margin Regulations; Investment Company Act</w:t>
      </w:r>
      <w:r>
        <w:rPr>
          <w:rFonts w:ascii="Arial" w:cs="Arial" w:eastAsia="Arial" w:hAnsi="Arial"/>
          <w:sz w:val="11"/>
          <w:szCs w:val="11"/>
          <w:color w:val="auto"/>
        </w:rPr>
        <w:t>.</w:t>
      </w:r>
    </w:p>
    <w:p>
      <w:pPr>
        <w:spacing w:after="0" w:line="194" w:lineRule="exact"/>
        <w:rPr>
          <w:sz w:val="20"/>
          <w:szCs w:val="20"/>
          <w:color w:val="auto"/>
        </w:rPr>
      </w:pPr>
    </w:p>
    <w:p>
      <w:pPr>
        <w:ind w:right="200" w:firstLine="498"/>
        <w:spacing w:after="0" w:line="266" w:lineRule="auto"/>
        <w:tabs>
          <w:tab w:leader="none" w:pos="782"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Borrower is not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158" w:lineRule="exact"/>
        <w:rPr>
          <w:rFonts w:ascii="Arial" w:cs="Arial" w:eastAsia="Arial" w:hAnsi="Arial"/>
          <w:sz w:val="14"/>
          <w:szCs w:val="14"/>
          <w:color w:val="auto"/>
        </w:rPr>
      </w:pPr>
    </w:p>
    <w:p>
      <w:pPr>
        <w:ind w:left="800" w:hanging="302"/>
        <w:spacing w:after="0"/>
        <w:tabs>
          <w:tab w:leader="none" w:pos="8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None of the Borrower, any Person Controlling the Borrower, or any Subsidiary is required to be registered as an “investment company”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76</w:t>
      </w:r>
    </w:p>
    <w:p>
      <w:pPr>
        <w:sectPr>
          <w:pgSz w:w="11900" w:h="16838" w:orient="portrait"/>
          <w:cols w:equalWidth="0" w:num="1">
            <w:col w:w="11280"/>
          </w:cols>
          <w:pgMar w:left="300" w:top="129"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495"/>
        <w:spacing w:after="0" w:line="329" w:lineRule="auto"/>
        <w:rPr>
          <w:sz w:val="20"/>
          <w:szCs w:val="20"/>
          <w:color w:val="auto"/>
        </w:rPr>
      </w:pPr>
      <w:r>
        <w:rPr>
          <w:rFonts w:ascii="Arial" w:cs="Arial" w:eastAsia="Arial" w:hAnsi="Arial"/>
          <w:sz w:val="11"/>
          <w:szCs w:val="11"/>
          <w:b w:val="1"/>
          <w:bCs w:val="1"/>
          <w:color w:val="auto"/>
        </w:rPr>
        <w:t>5.15 Disclosure</w:t>
      </w:r>
      <w:r>
        <w:rPr>
          <w:rFonts w:ascii="Arial" w:cs="Arial" w:eastAsia="Arial" w:hAnsi="Arial"/>
          <w:sz w:val="11"/>
          <w:szCs w:val="11"/>
          <w:color w:val="auto"/>
        </w:rPr>
        <w:t>. No report, financial statement, certificate or other information furnished (whether in writing or orally) by or on behalf of any Loan Party to the Administrative Agent or any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Lender in connection with the transactions contemplated hereby and the negotiation of this Agreement or delivered hereunder or under any other Loan Document, at the Closing Date or at the time furnished (in the case of all other reports, financial statements, certificates or other information), contains any material misstatement of fact or omits to state any material fact necessary to make the statements therein (taken as a whole together with all documents previously delivered to the Administrative Agent or any Lender or published by the Borrower with the SEC and after taking into account all updates thereto), in the light of the circumstances under which they were made, not misleading;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respect to projected financial information, the Borrower represents only that such information was prepared in good faith based upon assumptions believed to be reasonable at the time; it being understood that such forecasts are as to future events and are not to be viewed as facts, that no assurance can be given that any particular forecast will be realized and that actual results during the period or periods covered by any such forecasts may differ significantly from the projected results.</w:t>
      </w:r>
    </w:p>
    <w:p>
      <w:pPr>
        <w:spacing w:after="0" w:line="127" w:lineRule="exact"/>
        <w:rPr>
          <w:sz w:val="20"/>
          <w:szCs w:val="20"/>
          <w:color w:val="auto"/>
        </w:rPr>
      </w:pPr>
    </w:p>
    <w:p>
      <w:pPr>
        <w:ind w:right="140" w:firstLine="495"/>
        <w:spacing w:after="0" w:line="254" w:lineRule="auto"/>
        <w:rPr>
          <w:sz w:val="20"/>
          <w:szCs w:val="20"/>
          <w:color w:val="auto"/>
        </w:rPr>
      </w:pPr>
      <w:r>
        <w:rPr>
          <w:rFonts w:ascii="Arial" w:cs="Arial" w:eastAsia="Arial" w:hAnsi="Arial"/>
          <w:sz w:val="14"/>
          <w:szCs w:val="14"/>
          <w:b w:val="1"/>
          <w:bCs w:val="1"/>
          <w:color w:val="auto"/>
        </w:rPr>
        <w:t>5.16 Compliance with Laws</w:t>
      </w:r>
      <w:r>
        <w:rPr>
          <w:rFonts w:ascii="Arial" w:cs="Arial" w:eastAsia="Arial" w:hAnsi="Arial"/>
          <w:sz w:val="14"/>
          <w:szCs w:val="14"/>
          <w:color w:val="auto"/>
        </w:rPr>
        <w:t>. Each Loan Party and each Subsidiary thereof is in compliance in all material respects with the requirements of all Applicable Laws (including,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limitation, the Controlled Substances Act)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4" w:lineRule="exact"/>
        <w:rPr>
          <w:sz w:val="20"/>
          <w:szCs w:val="20"/>
          <w:color w:val="auto"/>
        </w:rPr>
      </w:pPr>
    </w:p>
    <w:p>
      <w:pPr>
        <w:ind w:firstLine="495"/>
        <w:spacing w:after="0" w:line="249" w:lineRule="auto"/>
        <w:rPr>
          <w:sz w:val="20"/>
          <w:szCs w:val="20"/>
          <w:color w:val="auto"/>
        </w:rPr>
      </w:pPr>
      <w:r>
        <w:rPr>
          <w:rFonts w:ascii="Arial" w:cs="Arial" w:eastAsia="Arial" w:hAnsi="Arial"/>
          <w:sz w:val="14"/>
          <w:szCs w:val="14"/>
          <w:b w:val="1"/>
          <w:bCs w:val="1"/>
          <w:color w:val="auto"/>
        </w:rPr>
        <w:t xml:space="preserve">5.17 Intellectual Property; Licenses, Etc. </w:t>
      </w:r>
      <w:r>
        <w:rPr>
          <w:rFonts w:ascii="Arial" w:cs="Arial" w:eastAsia="Arial" w:hAnsi="Arial"/>
          <w:sz w:val="14"/>
          <w:szCs w:val="14"/>
          <w:color w:val="auto"/>
        </w:rPr>
        <w:t>Except as would not reasonably be expected to have a Material Adverse Effect, the Borrower and each of its Subsidiaries own, or possess the right</w:t>
      </w:r>
      <w:r>
        <w:rPr>
          <w:rFonts w:ascii="Arial" w:cs="Arial" w:eastAsia="Arial" w:hAnsi="Arial"/>
          <w:sz w:val="14"/>
          <w:szCs w:val="14"/>
          <w:b w:val="1"/>
          <w:bCs w:val="1"/>
          <w:color w:val="auto"/>
        </w:rPr>
        <w:t xml:space="preserve"> </w:t>
      </w:r>
      <w:r>
        <w:rPr>
          <w:rFonts w:ascii="Arial" w:cs="Arial" w:eastAsia="Arial" w:hAnsi="Arial"/>
          <w:sz w:val="14"/>
          <w:szCs w:val="14"/>
          <w:color w:val="auto"/>
        </w:rPr>
        <w:t>to use, all of the Trademarks, Copyrights, Patents, trade secrets, know-how and other Intellectual Property rights (collectively, “</w:t>
      </w:r>
      <w:r>
        <w:rPr>
          <w:rFonts w:ascii="Arial" w:cs="Arial" w:eastAsia="Arial" w:hAnsi="Arial"/>
          <w:sz w:val="14"/>
          <w:szCs w:val="14"/>
          <w:u w:val="single" w:color="auto"/>
          <w:color w:val="auto"/>
        </w:rPr>
        <w:t>IP Rights</w:t>
      </w:r>
      <w:r>
        <w:rPr>
          <w:rFonts w:ascii="Arial" w:cs="Arial" w:eastAsia="Arial" w:hAnsi="Arial"/>
          <w:sz w:val="14"/>
          <w:szCs w:val="14"/>
          <w:color w:val="auto"/>
        </w:rPr>
        <w:t>”) that are reasonably necessary for the operation of their respective businesses as currently conducted, without conflict with the rights of any other Person. Except as would not reasonably be expected to have a Material Adverse Effect, to the knowledge of the Borrower, the conduct of the business of Borrower and its Subsidiaries does not infringe, misappropriate or otherwise violate any IP Rights of any other Person. No claim or litigation regarding any of the foregoing is pending or, to the knowledge of the Borrower, threatened in writing, which, either individually or in the aggregate, would reasonably be expected to have a Material Adverse Effect. To the knowledge of the Borrower, there has been no unauthorized use, access, interruption, modification, corruption or malfunction of any information technology assets or systems (or any information or transactions stored or contained therein or transmitted thereby) owned or used by the Borrower or any of its Subsidiaries, which, either individually or in the aggregate, would reasonably be expected to have a Material Adverse Effect.</w:t>
      </w:r>
    </w:p>
    <w:p>
      <w:pPr>
        <w:spacing w:after="0" w:line="17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5.18</w:t>
      </w:r>
      <w:r>
        <w:rPr>
          <w:sz w:val="20"/>
          <w:szCs w:val="20"/>
          <w:color w:val="auto"/>
        </w:rPr>
        <w:tab/>
      </w:r>
      <w:r>
        <w:rPr>
          <w:rFonts w:ascii="Arial" w:cs="Arial" w:eastAsia="Arial" w:hAnsi="Arial"/>
          <w:sz w:val="11"/>
          <w:szCs w:val="11"/>
          <w:b w:val="1"/>
          <w:bCs w:val="1"/>
          <w:color w:val="auto"/>
        </w:rPr>
        <w:t>Solvency</w:t>
      </w:r>
      <w:r>
        <w:rPr>
          <w:rFonts w:ascii="Arial" w:cs="Arial" w:eastAsia="Arial" w:hAnsi="Arial"/>
          <w:sz w:val="11"/>
          <w:szCs w:val="11"/>
          <w:color w:val="auto"/>
        </w:rPr>
        <w:t>. The Borrower, together with its Subsidiaries on a consolidated basis, is Solvent.</w:t>
      </w:r>
    </w:p>
    <w:p>
      <w:pPr>
        <w:spacing w:after="0" w:line="190" w:lineRule="exact"/>
        <w:rPr>
          <w:sz w:val="20"/>
          <w:szCs w:val="20"/>
          <w:color w:val="auto"/>
        </w:rPr>
      </w:pPr>
    </w:p>
    <w:p>
      <w:pPr>
        <w:ind w:right="80" w:firstLine="495"/>
        <w:spacing w:after="0" w:line="259" w:lineRule="auto"/>
        <w:rPr>
          <w:sz w:val="20"/>
          <w:szCs w:val="20"/>
          <w:color w:val="auto"/>
        </w:rPr>
      </w:pPr>
      <w:r>
        <w:rPr>
          <w:rFonts w:ascii="Arial" w:cs="Arial" w:eastAsia="Arial" w:hAnsi="Arial"/>
          <w:sz w:val="14"/>
          <w:szCs w:val="14"/>
          <w:b w:val="1"/>
          <w:bCs w:val="1"/>
          <w:color w:val="auto"/>
        </w:rPr>
        <w:t>5.19 Casualty, Etc</w:t>
      </w:r>
      <w:r>
        <w:rPr>
          <w:rFonts w:ascii="Arial" w:cs="Arial" w:eastAsia="Arial" w:hAnsi="Arial"/>
          <w:sz w:val="14"/>
          <w:szCs w:val="14"/>
          <w:color w:val="auto"/>
        </w:rPr>
        <w:t>. Neither the businesses nor the properties of any Loan Party or any of its Subsidiaries are affected by any fire, explosion, accident, strike, lockout or other labor dispute,</w:t>
      </w:r>
      <w:r>
        <w:rPr>
          <w:rFonts w:ascii="Arial" w:cs="Arial" w:eastAsia="Arial" w:hAnsi="Arial"/>
          <w:sz w:val="14"/>
          <w:szCs w:val="14"/>
          <w:b w:val="1"/>
          <w:bCs w:val="1"/>
          <w:color w:val="auto"/>
        </w:rPr>
        <w:t xml:space="preserve"> </w:t>
      </w:r>
      <w:r>
        <w:rPr>
          <w:rFonts w:ascii="Arial" w:cs="Arial" w:eastAsia="Arial" w:hAnsi="Arial"/>
          <w:sz w:val="14"/>
          <w:szCs w:val="14"/>
          <w:color w:val="auto"/>
        </w:rPr>
        <w:t>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59" w:lineRule="exact"/>
        <w:rPr>
          <w:sz w:val="20"/>
          <w:szCs w:val="20"/>
          <w:color w:val="auto"/>
        </w:rPr>
      </w:pPr>
    </w:p>
    <w:p>
      <w:pPr>
        <w:ind w:right="340" w:firstLine="495"/>
        <w:spacing w:after="0" w:line="272" w:lineRule="auto"/>
        <w:rPr>
          <w:sz w:val="20"/>
          <w:szCs w:val="20"/>
          <w:color w:val="auto"/>
        </w:rPr>
      </w:pPr>
      <w:r>
        <w:rPr>
          <w:rFonts w:ascii="Arial" w:cs="Arial" w:eastAsia="Arial" w:hAnsi="Arial"/>
          <w:sz w:val="14"/>
          <w:szCs w:val="14"/>
          <w:b w:val="1"/>
          <w:bCs w:val="1"/>
          <w:color w:val="auto"/>
        </w:rPr>
        <w:t xml:space="preserve">5.20 Labor Matters. </w:t>
      </w:r>
      <w:r>
        <w:rPr>
          <w:rFonts w:ascii="Arial" w:cs="Arial" w:eastAsia="Arial" w:hAnsi="Arial"/>
          <w:sz w:val="14"/>
          <w:szCs w:val="14"/>
          <w:color w:val="auto"/>
        </w:rPr>
        <w:t>There are no collective bargaining agreements or Multiemployer Plans covering the employees of the Borrower or any of its Subsidiaries as of the Closing Date and</w:t>
      </w:r>
      <w:r>
        <w:rPr>
          <w:rFonts w:ascii="Arial" w:cs="Arial" w:eastAsia="Arial" w:hAnsi="Arial"/>
          <w:sz w:val="14"/>
          <w:szCs w:val="14"/>
          <w:b w:val="1"/>
          <w:bCs w:val="1"/>
          <w:color w:val="auto"/>
        </w:rPr>
        <w:t xml:space="preserve"> </w:t>
      </w:r>
      <w:r>
        <w:rPr>
          <w:rFonts w:ascii="Arial" w:cs="Arial" w:eastAsia="Arial" w:hAnsi="Arial"/>
          <w:sz w:val="14"/>
          <w:szCs w:val="14"/>
          <w:color w:val="auto"/>
        </w:rPr>
        <w:t>neither the Borrower nor any Subsidiary has suffered any strikes, walkouts, work stoppages or other material labor difficulty within the last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77</w:t>
      </w:r>
    </w:p>
    <w:p>
      <w:pPr>
        <w:sectPr>
          <w:pgSz w:w="11900" w:h="16838" w:orient="portrait"/>
          <w:cols w:equalWidth="0" w:num="1">
            <w:col w:w="11280"/>
          </w:cols>
          <w:pgMar w:left="300" w:top="129"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b w:val="1"/>
          <w:bCs w:val="1"/>
          <w:color w:val="auto"/>
        </w:rPr>
        <w:t>5.21 OFAC</w:t>
      </w:r>
      <w:r>
        <w:rPr>
          <w:rFonts w:ascii="Arial" w:cs="Arial" w:eastAsia="Arial" w:hAnsi="Arial"/>
          <w:sz w:val="14"/>
          <w:szCs w:val="14"/>
          <w:color w:val="auto"/>
        </w:rPr>
        <w:t>. Neither the Borrower, nor any of its Subsidiaries, nor, to the knowledge of the Borrower and its Subsidiaries, any director, officer, employee, agent, affiliate or representative</w:t>
      </w:r>
      <w:r>
        <w:rPr>
          <w:rFonts w:ascii="Arial" w:cs="Arial" w:eastAsia="Arial" w:hAnsi="Arial"/>
          <w:sz w:val="14"/>
          <w:szCs w:val="14"/>
          <w:b w:val="1"/>
          <w:bCs w:val="1"/>
          <w:color w:val="auto"/>
        </w:rPr>
        <w:t xml:space="preserve"> </w:t>
      </w:r>
      <w:r>
        <w:rPr>
          <w:rFonts w:ascii="Arial" w:cs="Arial" w:eastAsia="Arial" w:hAnsi="Arial"/>
          <w:sz w:val="14"/>
          <w:szCs w:val="14"/>
          <w:color w:val="auto"/>
        </w:rPr>
        <w:t>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or any similar list enforced by any other relevant sanctions authority or (c)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66" w:lineRule="exact"/>
        <w:rPr>
          <w:sz w:val="20"/>
          <w:szCs w:val="20"/>
          <w:color w:val="auto"/>
        </w:rPr>
      </w:pPr>
    </w:p>
    <w:p>
      <w:pPr>
        <w:ind w:right="60" w:firstLine="495"/>
        <w:spacing w:after="0" w:line="259" w:lineRule="auto"/>
        <w:rPr>
          <w:sz w:val="20"/>
          <w:szCs w:val="20"/>
          <w:color w:val="auto"/>
        </w:rPr>
      </w:pPr>
      <w:r>
        <w:rPr>
          <w:rFonts w:ascii="Arial" w:cs="Arial" w:eastAsia="Arial" w:hAnsi="Arial"/>
          <w:sz w:val="14"/>
          <w:szCs w:val="14"/>
          <w:b w:val="1"/>
          <w:bCs w:val="1"/>
          <w:color w:val="auto"/>
        </w:rPr>
        <w:t>5.22 Anti-Corruption Laws</w:t>
      </w:r>
      <w:r>
        <w:rPr>
          <w:rFonts w:ascii="Arial" w:cs="Arial" w:eastAsia="Arial" w:hAnsi="Arial"/>
          <w:sz w:val="14"/>
          <w:szCs w:val="14"/>
          <w:color w:val="auto"/>
        </w:rPr>
        <w:t>. The Borrower and its Subsidiaries have conducted their businesses in compliance in all material respects with the United States Foreign Corrupt Practices Act of</w:t>
      </w:r>
      <w:r>
        <w:rPr>
          <w:rFonts w:ascii="Arial" w:cs="Arial" w:eastAsia="Arial" w:hAnsi="Arial"/>
          <w:sz w:val="14"/>
          <w:szCs w:val="14"/>
          <w:b w:val="1"/>
          <w:bCs w:val="1"/>
          <w:color w:val="auto"/>
        </w:rPr>
        <w:t xml:space="preserve"> </w:t>
      </w:r>
      <w:r>
        <w:rPr>
          <w:rFonts w:ascii="Arial" w:cs="Arial" w:eastAsia="Arial" w:hAnsi="Arial"/>
          <w:sz w:val="14"/>
          <w:szCs w:val="14"/>
          <w:color w:val="auto"/>
        </w:rPr>
        <w:t>1977, the UK Bribery Act 2010, and other applicable anti-corruption legislation in other jurisdictions and have instituted and maintained policies and procedures designed to promote and achieve compliance with such laws.</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5.23</w:t>
      </w:r>
      <w:r>
        <w:rPr>
          <w:sz w:val="20"/>
          <w:szCs w:val="20"/>
          <w:color w:val="auto"/>
        </w:rPr>
        <w:tab/>
      </w:r>
      <w:r>
        <w:rPr>
          <w:rFonts w:ascii="Arial" w:cs="Arial" w:eastAsia="Arial" w:hAnsi="Arial"/>
          <w:sz w:val="11"/>
          <w:szCs w:val="11"/>
          <w:b w:val="1"/>
          <w:bCs w:val="1"/>
          <w:color w:val="auto"/>
        </w:rPr>
        <w:t>Not an Affected Financial Institution</w:t>
      </w:r>
      <w:r>
        <w:rPr>
          <w:rFonts w:ascii="Arial" w:cs="Arial" w:eastAsia="Arial" w:hAnsi="Arial"/>
          <w:sz w:val="11"/>
          <w:szCs w:val="11"/>
          <w:color w:val="auto"/>
        </w:rPr>
        <w:t>. Neither the Borrower nor any Guarantor is an Affected Financial Institution.</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5.24</w:t>
      </w:r>
      <w:r>
        <w:rPr>
          <w:sz w:val="20"/>
          <w:szCs w:val="20"/>
          <w:color w:val="auto"/>
        </w:rPr>
        <w:tab/>
      </w:r>
      <w:r>
        <w:rPr>
          <w:rFonts w:ascii="Arial" w:cs="Arial" w:eastAsia="Arial" w:hAnsi="Arial"/>
          <w:sz w:val="11"/>
          <w:szCs w:val="11"/>
          <w:b w:val="1"/>
          <w:bCs w:val="1"/>
          <w:color w:val="auto"/>
        </w:rPr>
        <w:t>Beneficial Ownership Certification</w:t>
      </w:r>
      <w:r>
        <w:rPr>
          <w:rFonts w:ascii="Arial" w:cs="Arial" w:eastAsia="Arial" w:hAnsi="Arial"/>
          <w:sz w:val="11"/>
          <w:szCs w:val="11"/>
          <w:color w:val="auto"/>
        </w:rPr>
        <w:t>. As of the Closing Date, the information included in the Beneficial Ownership Certification, if applicable, is true and correct in all respects.</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5.25</w:t>
      </w:r>
      <w:r>
        <w:rPr>
          <w:sz w:val="20"/>
          <w:szCs w:val="20"/>
          <w:color w:val="auto"/>
        </w:rPr>
        <w:tab/>
      </w:r>
      <w:r>
        <w:rPr>
          <w:rFonts w:ascii="Arial" w:cs="Arial" w:eastAsia="Arial" w:hAnsi="Arial"/>
          <w:sz w:val="11"/>
          <w:szCs w:val="11"/>
          <w:b w:val="1"/>
          <w:bCs w:val="1"/>
          <w:color w:val="auto"/>
        </w:rPr>
        <w:t>Covered Entities</w:t>
      </w:r>
      <w:r>
        <w:rPr>
          <w:rFonts w:ascii="Arial" w:cs="Arial" w:eastAsia="Arial" w:hAnsi="Arial"/>
          <w:sz w:val="11"/>
          <w:szCs w:val="11"/>
          <w:color w:val="auto"/>
        </w:rPr>
        <w:t>. No Loan Party is a Covered Entity.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AFFIRMATIVE COVENANTS</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So long as any Lender shall have any Commitment hereunder, any Loan or other Obligation hereunder shall remain unpaid or unsatisfied, or any Letter of Credit shall remain outstanding, the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Borrower shall, and shall (except in the case of the covenants set forth in </w:t>
      </w:r>
      <w:r>
        <w:rPr>
          <w:rFonts w:ascii="Arial" w:cs="Arial" w:eastAsia="Arial" w:hAnsi="Arial"/>
          <w:sz w:val="14"/>
          <w:szCs w:val="14"/>
          <w:u w:val="single" w:color="auto"/>
          <w:color w:val="auto"/>
        </w:rPr>
        <w:t>Sections 6.01</w:t>
      </w:r>
      <w:r>
        <w:rPr>
          <w:rFonts w:ascii="Arial" w:cs="Arial" w:eastAsia="Arial" w:hAnsi="Arial"/>
          <w:sz w:val="14"/>
          <w:szCs w:val="14"/>
          <w:color w:val="auto"/>
        </w:rPr>
        <w:t xml:space="preserve">, </w:t>
      </w:r>
      <w:r>
        <w:rPr>
          <w:rFonts w:ascii="Arial" w:cs="Arial" w:eastAsia="Arial" w:hAnsi="Arial"/>
          <w:sz w:val="14"/>
          <w:szCs w:val="14"/>
          <w:u w:val="single" w:color="auto"/>
          <w:color w:val="auto"/>
        </w:rPr>
        <w:t>6.02</w:t>
      </w:r>
      <w:r>
        <w:rPr>
          <w:rFonts w:ascii="Arial" w:cs="Arial" w:eastAsia="Arial" w:hAnsi="Arial"/>
          <w:sz w:val="14"/>
          <w:szCs w:val="14"/>
          <w:color w:val="auto"/>
        </w:rPr>
        <w:t xml:space="preserve">, </w:t>
      </w:r>
      <w:r>
        <w:rPr>
          <w:rFonts w:ascii="Arial" w:cs="Arial" w:eastAsia="Arial" w:hAnsi="Arial"/>
          <w:sz w:val="14"/>
          <w:szCs w:val="14"/>
          <w:u w:val="single" w:color="auto"/>
          <w:color w:val="auto"/>
        </w:rPr>
        <w:t>6.03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6.11</w:t>
      </w:r>
      <w:r>
        <w:rPr>
          <w:rFonts w:ascii="Arial" w:cs="Arial" w:eastAsia="Arial" w:hAnsi="Arial"/>
          <w:sz w:val="14"/>
          <w:szCs w:val="14"/>
          <w:color w:val="auto"/>
        </w:rPr>
        <w:t>) cause each Subsidiary to:</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6.01</w:t>
      </w:r>
      <w:r>
        <w:rPr>
          <w:sz w:val="20"/>
          <w:szCs w:val="20"/>
          <w:color w:val="auto"/>
        </w:rPr>
        <w:tab/>
      </w:r>
      <w:r>
        <w:rPr>
          <w:rFonts w:ascii="Arial" w:cs="Arial" w:eastAsia="Arial" w:hAnsi="Arial"/>
          <w:sz w:val="11"/>
          <w:szCs w:val="11"/>
          <w:b w:val="1"/>
          <w:bCs w:val="1"/>
          <w:color w:val="auto"/>
        </w:rPr>
        <w:t>Financial Statements</w:t>
      </w:r>
      <w:r>
        <w:rPr>
          <w:rFonts w:ascii="Arial" w:cs="Arial" w:eastAsia="Arial" w:hAnsi="Arial"/>
          <w:sz w:val="11"/>
          <w:szCs w:val="11"/>
          <w:color w:val="auto"/>
        </w:rPr>
        <w:t>. Deliver to the Administrative Agent for distribution to each Lender:</w:t>
      </w:r>
    </w:p>
    <w:p>
      <w:pPr>
        <w:spacing w:after="0" w:line="194" w:lineRule="exact"/>
        <w:rPr>
          <w:sz w:val="20"/>
          <w:szCs w:val="20"/>
          <w:color w:val="auto"/>
        </w:rPr>
      </w:pPr>
    </w:p>
    <w:p>
      <w:pPr>
        <w:ind w:left="500" w:right="20" w:firstLine="493"/>
        <w:spacing w:after="0" w:line="167" w:lineRule="exact"/>
        <w:tabs>
          <w:tab w:leader="none" w:pos="1285" w:val="left"/>
        </w:tabs>
        <w:numPr>
          <w:ilvl w:val="0"/>
          <w:numId w:val="119"/>
        </w:numPr>
        <w:rPr>
          <w:rFonts w:ascii="Arial" w:cs="Arial" w:eastAsia="Arial" w:hAnsi="Arial"/>
          <w:sz w:val="11"/>
          <w:szCs w:val="11"/>
          <w:color w:val="auto"/>
        </w:rPr>
      </w:pPr>
      <w:r>
        <w:rPr>
          <w:rFonts w:ascii="Arial" w:cs="Arial" w:eastAsia="Arial" w:hAnsi="Arial"/>
          <w:sz w:val="11"/>
          <w:szCs w:val="11"/>
          <w:color w:val="auto"/>
        </w:rPr>
        <w:t>as soon as available, but in any event within 90 days after the end of each fiscal year of the Borrower, a consolidated balance sheet of the Borrower and its Subsidiaries as at the end of such fiscal year, and the related consolidated statements of operations and comprehensive income,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any such qualification or exception that is expressly solely with respect to, or expressly solely resulting from, the Maturity Date to the extent scheduled to occur within one (1) year from the time such opinion is delivered) (it being understood that the delivery by Borrower of an Annual Report on Form 10</w:t>
      </w:r>
      <w:r>
        <w:rPr>
          <w:rFonts w:ascii="MS PGothic" w:cs="MS PGothic" w:eastAsia="MS PGothic" w:hAnsi="MS PGothic"/>
          <w:sz w:val="11"/>
          <w:szCs w:val="11"/>
          <w:color w:val="auto"/>
        </w:rPr>
        <w:t>‑</w:t>
      </w:r>
      <w:r>
        <w:rPr>
          <w:rFonts w:ascii="Arial" w:cs="Arial" w:eastAsia="Arial" w:hAnsi="Arial"/>
          <w:sz w:val="11"/>
          <w:szCs w:val="11"/>
          <w:color w:val="auto"/>
        </w:rPr>
        <w:t xml:space="preserve">K shall satisfy the requirements of this </w:t>
      </w:r>
      <w:r>
        <w:rPr>
          <w:rFonts w:ascii="Arial" w:cs="Arial" w:eastAsia="Arial" w:hAnsi="Arial"/>
          <w:sz w:val="11"/>
          <w:szCs w:val="11"/>
          <w:u w:val="single" w:color="auto"/>
          <w:color w:val="auto"/>
        </w:rPr>
        <w:t>Section 6.01(a))</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78</w:t>
      </w:r>
    </w:p>
    <w:p>
      <w:pPr>
        <w:sectPr>
          <w:pgSz w:w="11900" w:h="16838" w:orient="portrait"/>
          <w:cols w:equalWidth="0" w:num="1">
            <w:col w:w="11280"/>
          </w:cols>
          <w:pgMar w:left="300" w:top="129"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firstLine="493"/>
        <w:spacing w:after="0" w:line="271" w:lineRule="auto"/>
        <w:tabs>
          <w:tab w:leader="none" w:pos="129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 xml:space="preserve">as soon as available, but in any event within 45 days after the end of each of the first three fiscal quarters of each fiscal year of the Borrower, a consolidated balance sheet of the Borrower and its Subsidiaries as at the end of such fiscal quarter, the related consolidated statements of operations and comprehensive income and changes in stockholders’ equity for such fiscal quarter and for the portion of the Borrower’s fiscal year then ended, and cash flows for the portion of the Borrower’s fiscal year then ended, setting forth in each case in comparative form the figures for the corresponding fiscal quarter of the previous fiscal year and the corresponding portion of the previous fiscal year, all in reasonable detail, certified by the chief executive officer, chief financial officer, vice president of finance,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(it being understood that the delivery by Borrower of a Quarterly Report on Form 10-Q shall satisfy the requirements of this </w:t>
      </w:r>
      <w:r>
        <w:rPr>
          <w:rFonts w:ascii="Arial" w:cs="Arial" w:eastAsia="Arial" w:hAnsi="Arial"/>
          <w:sz w:val="13"/>
          <w:szCs w:val="13"/>
          <w:u w:val="single" w:color="auto"/>
          <w:color w:val="auto"/>
        </w:rPr>
        <w:t>Section 6.01(b)</w:t>
      </w:r>
      <w:r>
        <w:rPr>
          <w:rFonts w:ascii="Arial" w:cs="Arial" w:eastAsia="Arial" w:hAnsi="Arial"/>
          <w:sz w:val="13"/>
          <w:szCs w:val="13"/>
          <w:color w:val="auto"/>
        </w:rPr>
        <w:t>);</w:t>
      </w:r>
    </w:p>
    <w:p>
      <w:pPr>
        <w:spacing w:after="0" w:line="159" w:lineRule="exact"/>
        <w:rPr>
          <w:rFonts w:ascii="Arial" w:cs="Arial" w:eastAsia="Arial" w:hAnsi="Arial"/>
          <w:sz w:val="13"/>
          <w:szCs w:val="13"/>
          <w:color w:val="auto"/>
        </w:rPr>
      </w:pPr>
    </w:p>
    <w:p>
      <w:pPr>
        <w:ind w:left="1280" w:hanging="287"/>
        <w:spacing w:after="0"/>
        <w:tabs>
          <w:tab w:leader="none" w:pos="12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[reserved]; and</w:t>
      </w:r>
    </w:p>
    <w:p>
      <w:pPr>
        <w:spacing w:after="0" w:line="189" w:lineRule="exact"/>
        <w:rPr>
          <w:rFonts w:ascii="Arial" w:cs="Arial" w:eastAsia="Arial" w:hAnsi="Arial"/>
          <w:sz w:val="14"/>
          <w:szCs w:val="14"/>
          <w:color w:val="auto"/>
        </w:rPr>
      </w:pPr>
    </w:p>
    <w:p>
      <w:pPr>
        <w:ind w:left="500" w:right="140" w:firstLine="493"/>
        <w:spacing w:after="0" w:line="256" w:lineRule="auto"/>
        <w:tabs>
          <w:tab w:leader="none" w:pos="1293"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as soon as available, but in any event within 60 days after the end of each fiscal year of the Borrower, an annual business plan and budget of the Borrower and its Subsidiaries on a consolidated basis, including forecasts prepared by management of the Borrower, of a consolidated statement of income of the Borrower and its Subsidiaries on a quarterly basis for the immediately following fiscal year, in form and detail reasonably satisfactory to Administrative Agent.</w:t>
      </w:r>
    </w:p>
    <w:p>
      <w:pPr>
        <w:spacing w:after="0" w:line="166" w:lineRule="exact"/>
        <w:rPr>
          <w:sz w:val="20"/>
          <w:szCs w:val="20"/>
          <w:color w:val="auto"/>
        </w:rPr>
      </w:pPr>
    </w:p>
    <w:p>
      <w:pPr>
        <w:ind w:right="280"/>
        <w:spacing w:after="0" w:line="305" w:lineRule="auto"/>
        <w:rPr>
          <w:sz w:val="20"/>
          <w:szCs w:val="20"/>
          <w:color w:val="auto"/>
        </w:rPr>
      </w:pPr>
      <w:r>
        <w:rPr>
          <w:rFonts w:ascii="Arial" w:cs="Arial" w:eastAsia="Arial" w:hAnsi="Arial"/>
          <w:sz w:val="13"/>
          <w:szCs w:val="13"/>
          <w:color w:val="auto"/>
        </w:rPr>
        <w:t xml:space="preserve">As to any information contained in materials furnished pursuant to </w:t>
      </w:r>
      <w:r>
        <w:rPr>
          <w:rFonts w:ascii="Arial" w:cs="Arial" w:eastAsia="Arial" w:hAnsi="Arial"/>
          <w:sz w:val="13"/>
          <w:szCs w:val="13"/>
          <w:u w:val="single" w:color="auto"/>
          <w:color w:val="auto"/>
        </w:rPr>
        <w:t>Section 6.02(d)</w:t>
      </w:r>
      <w:r>
        <w:rPr>
          <w:rFonts w:ascii="Arial" w:cs="Arial" w:eastAsia="Arial" w:hAnsi="Arial"/>
          <w:sz w:val="13"/>
          <w:szCs w:val="13"/>
          <w:color w:val="auto"/>
        </w:rPr>
        <w:t xml:space="preserve">, the Borrower shall not be separately required to furnish such information under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but the foregoing shall not be in derogation of the obligation of the Borrower to furnish the information and materials described in </w:t>
      </w:r>
      <w:r>
        <w:rPr>
          <w:rFonts w:ascii="Arial" w:cs="Arial" w:eastAsia="Arial" w:hAnsi="Arial"/>
          <w:sz w:val="13"/>
          <w:szCs w:val="13"/>
          <w:u w:val="single" w:color="auto"/>
          <w:color w:val="auto"/>
        </w:rPr>
        <w:t>Sections 6.01(a)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at the times specified therein.</w:t>
      </w:r>
    </w:p>
    <w:p>
      <w:pPr>
        <w:spacing w:after="0" w:line="13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6.02</w:t>
      </w:r>
      <w:r>
        <w:rPr>
          <w:sz w:val="20"/>
          <w:szCs w:val="20"/>
          <w:color w:val="auto"/>
        </w:rPr>
        <w:tab/>
      </w:r>
      <w:r>
        <w:rPr>
          <w:rFonts w:ascii="Arial" w:cs="Arial" w:eastAsia="Arial" w:hAnsi="Arial"/>
          <w:sz w:val="11"/>
          <w:szCs w:val="11"/>
          <w:b w:val="1"/>
          <w:bCs w:val="1"/>
          <w:color w:val="auto"/>
        </w:rPr>
        <w:t>Certificates; Other Information</w:t>
      </w:r>
      <w:r>
        <w:rPr>
          <w:rFonts w:ascii="Arial" w:cs="Arial" w:eastAsia="Arial" w:hAnsi="Arial"/>
          <w:sz w:val="11"/>
          <w:szCs w:val="11"/>
          <w:color w:val="auto"/>
        </w:rPr>
        <w:t>. Deliver to the Administrative Agent for distribution to each Lender:</w:t>
      </w:r>
    </w:p>
    <w:p>
      <w:pPr>
        <w:spacing w:after="0" w:line="194" w:lineRule="exact"/>
        <w:rPr>
          <w:sz w:val="20"/>
          <w:szCs w:val="20"/>
          <w:color w:val="auto"/>
        </w:rPr>
      </w:pPr>
    </w:p>
    <w:p>
      <w:pPr>
        <w:ind w:left="1280" w:hanging="287"/>
        <w:spacing w:after="0"/>
        <w:tabs>
          <w:tab w:leader="none" w:pos="12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[reserved]</w:t>
      </w:r>
    </w:p>
    <w:p>
      <w:pPr>
        <w:spacing w:after="0" w:line="189" w:lineRule="exact"/>
        <w:rPr>
          <w:rFonts w:ascii="Arial" w:cs="Arial" w:eastAsia="Arial" w:hAnsi="Arial"/>
          <w:sz w:val="14"/>
          <w:szCs w:val="14"/>
          <w:color w:val="auto"/>
        </w:rPr>
      </w:pPr>
    </w:p>
    <w:p>
      <w:pPr>
        <w:ind w:left="500" w:right="40" w:firstLine="493"/>
        <w:spacing w:after="0" w:line="256" w:lineRule="auto"/>
        <w:tabs>
          <w:tab w:leader="none" w:pos="1293"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xml:space="preserve">concurrently with the delivery of the financial statements referred to in </w:t>
      </w:r>
      <w:r>
        <w:rPr>
          <w:rFonts w:ascii="Arial" w:cs="Arial" w:eastAsia="Arial" w:hAnsi="Arial"/>
          <w:sz w:val="14"/>
          <w:szCs w:val="14"/>
          <w:u w:val="single" w:color="auto"/>
          <w:color w:val="auto"/>
        </w:rPr>
        <w:t>Sections 6.01(a)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a duly completed Compliance Certificate signed by the chief executive officer, chief financial officer, vice president of finance,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165" w:lineRule="exact"/>
        <w:rPr>
          <w:rFonts w:ascii="Arial" w:cs="Arial" w:eastAsia="Arial" w:hAnsi="Arial"/>
          <w:sz w:val="14"/>
          <w:szCs w:val="14"/>
          <w:color w:val="auto"/>
        </w:rPr>
      </w:pPr>
    </w:p>
    <w:p>
      <w:pPr>
        <w:ind w:left="500" w:right="100" w:firstLine="493"/>
        <w:spacing w:after="0" w:line="256" w:lineRule="auto"/>
        <w:tabs>
          <w:tab w:leader="none" w:pos="128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65" w:lineRule="exact"/>
        <w:rPr>
          <w:rFonts w:ascii="Arial" w:cs="Arial" w:eastAsia="Arial" w:hAnsi="Arial"/>
          <w:sz w:val="14"/>
          <w:szCs w:val="14"/>
          <w:color w:val="auto"/>
        </w:rPr>
      </w:pPr>
    </w:p>
    <w:p>
      <w:pPr>
        <w:ind w:left="500" w:right="240" w:firstLine="493"/>
        <w:spacing w:after="0" w:line="358" w:lineRule="auto"/>
        <w:tabs>
          <w:tab w:leader="none" w:pos="1293" w:val="left"/>
        </w:tabs>
        <w:numPr>
          <w:ilvl w:val="0"/>
          <w:numId w:val="121"/>
        </w:numPr>
        <w:rPr>
          <w:rFonts w:ascii="Arial" w:cs="Arial" w:eastAsia="Arial" w:hAnsi="Arial"/>
          <w:sz w:val="11"/>
          <w:szCs w:val="11"/>
          <w:color w:val="auto"/>
        </w:rPr>
      </w:pPr>
      <w:r>
        <w:rPr>
          <w:rFonts w:ascii="Arial" w:cs="Arial" w:eastAsia="Arial" w:hAnsi="Arial"/>
          <w:sz w:val="11"/>
          <w:szCs w:val="11"/>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14" w:lineRule="exact"/>
        <w:rPr>
          <w:rFonts w:ascii="Arial" w:cs="Arial" w:eastAsia="Arial" w:hAnsi="Arial"/>
          <w:sz w:val="11"/>
          <w:szCs w:val="11"/>
          <w:color w:val="auto"/>
        </w:rPr>
      </w:pPr>
    </w:p>
    <w:p>
      <w:pPr>
        <w:ind w:left="500" w:firstLine="493"/>
        <w:spacing w:after="0" w:line="256" w:lineRule="auto"/>
        <w:tabs>
          <w:tab w:leader="none" w:pos="128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xml:space="preserve">promptly after any request by the Administrative Agent or any Lender, copies of any statement or report furnished to any holder of debt securities of any Loan Party or of any of its Subsidiaries pursuant to the terms of any indenture, loan or credit or similar agreement and not otherwise required to be furnished to the Lenders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or any other clause of this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79</w:t>
      </w:r>
    </w:p>
    <w:p>
      <w:pPr>
        <w:sectPr>
          <w:pgSz w:w="11900" w:h="16838" w:orient="portrait"/>
          <w:cols w:equalWidth="0" w:num="1">
            <w:col w:w="11280"/>
          </w:cols>
          <w:pgMar w:left="300" w:top="129"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420" w:firstLine="493"/>
        <w:spacing w:after="0" w:line="256" w:lineRule="auto"/>
        <w:tabs>
          <w:tab w:leader="none" w:pos="77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commencing on the first Business Day of the beginning of the Liquidity Reporting Period and on the first Business Day of each calendar month thereafter through the date the Convertible Notes (including Indebtedness issued under </w:t>
      </w:r>
      <w:r>
        <w:rPr>
          <w:rFonts w:ascii="Arial" w:cs="Arial" w:eastAsia="Arial" w:hAnsi="Arial"/>
          <w:sz w:val="14"/>
          <w:szCs w:val="14"/>
          <w:u w:val="single" w:color="auto"/>
          <w:color w:val="auto"/>
        </w:rPr>
        <w:t>Section 7.02(b)</w:t>
      </w:r>
      <w:r>
        <w:rPr>
          <w:rFonts w:ascii="Arial" w:cs="Arial" w:eastAsia="Arial" w:hAnsi="Arial"/>
          <w:sz w:val="14"/>
          <w:szCs w:val="14"/>
          <w:color w:val="auto"/>
        </w:rPr>
        <w:t>) are paid in full, a report in form and detail reasonably satisfactory to Administrative Agent that sets forth a current summary of the Borrower’s Liquidity;</w:t>
      </w:r>
    </w:p>
    <w:p>
      <w:pPr>
        <w:spacing w:after="0" w:line="165" w:lineRule="exact"/>
        <w:rPr>
          <w:rFonts w:ascii="Arial" w:cs="Arial" w:eastAsia="Arial" w:hAnsi="Arial"/>
          <w:sz w:val="14"/>
          <w:szCs w:val="14"/>
          <w:color w:val="auto"/>
        </w:rPr>
      </w:pPr>
    </w:p>
    <w:p>
      <w:pPr>
        <w:ind w:right="20" w:firstLine="493"/>
        <w:spacing w:after="0" w:line="358" w:lineRule="auto"/>
        <w:tabs>
          <w:tab w:leader="none" w:pos="793" w:val="left"/>
        </w:tabs>
        <w:numPr>
          <w:ilvl w:val="0"/>
          <w:numId w:val="122"/>
        </w:numPr>
        <w:rPr>
          <w:rFonts w:ascii="Arial" w:cs="Arial" w:eastAsia="Arial" w:hAnsi="Arial"/>
          <w:sz w:val="11"/>
          <w:szCs w:val="11"/>
          <w:color w:val="auto"/>
        </w:rPr>
      </w:pPr>
      <w:r>
        <w:rPr>
          <w:rFonts w:ascii="Arial" w:cs="Arial" w:eastAsia="Arial" w:hAnsi="Arial"/>
          <w:sz w:val="11"/>
          <w:szCs w:val="11"/>
          <w:color w:val="auto"/>
        </w:rPr>
        <w:t>promptly after receipt thereof by any Loan Party or any Subsidiary thereof, copies of any significant notice or other correspondence received from the SEC (or comparable agency in any applicable non-U.S. jurisdiction) concerning any investigation or possible investigation or other similar inquiry by such agency regarding financial or other operational results of any Loan Party or any Subsidiary thereof, other than comment letters received with respect to the Borrower’s public filings, that is or would reasonably be expected to be material to the Loan Parties;</w:t>
      </w:r>
    </w:p>
    <w:p>
      <w:pPr>
        <w:spacing w:after="0" w:line="114" w:lineRule="exact"/>
        <w:rPr>
          <w:rFonts w:ascii="Arial" w:cs="Arial" w:eastAsia="Arial" w:hAnsi="Arial"/>
          <w:sz w:val="11"/>
          <w:szCs w:val="11"/>
          <w:color w:val="auto"/>
        </w:rPr>
      </w:pPr>
    </w:p>
    <w:p>
      <w:pPr>
        <w:ind w:right="580" w:firstLine="493"/>
        <w:spacing w:after="0" w:line="305" w:lineRule="auto"/>
        <w:tabs>
          <w:tab w:leader="none" w:pos="79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Act and the Beneficial Ownership Regulation;</w:t>
      </w:r>
    </w:p>
    <w:p>
      <w:pPr>
        <w:spacing w:after="0" w:line="135" w:lineRule="exact"/>
        <w:rPr>
          <w:rFonts w:ascii="Arial" w:cs="Arial" w:eastAsia="Arial" w:hAnsi="Arial"/>
          <w:sz w:val="13"/>
          <w:szCs w:val="13"/>
          <w:color w:val="auto"/>
        </w:rPr>
      </w:pPr>
    </w:p>
    <w:p>
      <w:pPr>
        <w:ind w:right="100" w:firstLine="493"/>
        <w:spacing w:after="0" w:line="343" w:lineRule="auto"/>
        <w:tabs>
          <w:tab w:leader="none" w:pos="76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promptly after receipt thereof by any Loan Party or any Subsidiary thereof, copies of all notices, requests and other documents (including amendments, waivers and other modifications) so received under or pursuant to any instrument, indenture, loan or credit or similar agreement regarding or related to any breach or default by any party thereto or any other event, in each case, that would materially impair the value of the interests or the rights of any Loan Party or otherwise have a Material Adverse Effect and, from time to time upon request by the Administrative Agent, such information and reports regarding such instruments, indentures and loan and credit and similar agreements as the Administrative Agent may reasonably request;</w:t>
      </w:r>
    </w:p>
    <w:p>
      <w:pPr>
        <w:spacing w:after="0" w:line="122" w:lineRule="exact"/>
        <w:rPr>
          <w:rFonts w:ascii="Arial" w:cs="Arial" w:eastAsia="Arial" w:hAnsi="Arial"/>
          <w:sz w:val="11"/>
          <w:szCs w:val="11"/>
          <w:color w:val="auto"/>
        </w:rPr>
      </w:pPr>
    </w:p>
    <w:p>
      <w:pPr>
        <w:ind w:right="560" w:firstLine="493"/>
        <w:spacing w:after="0" w:line="266" w:lineRule="auto"/>
        <w:tabs>
          <w:tab w:leader="none" w:pos="76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promptly after the assertion or occurrence thereof, notice of any action or proceeding against or of any noncompliance by any Loan Party or any of its Subsidiaries with any Environmental Law or Environmental Permit that in each case would reasonably be expected to have a Material Adverse Effect;</w:t>
      </w:r>
    </w:p>
    <w:p>
      <w:pPr>
        <w:spacing w:after="0" w:line="158" w:lineRule="exact"/>
        <w:rPr>
          <w:rFonts w:ascii="Arial" w:cs="Arial" w:eastAsia="Arial" w:hAnsi="Arial"/>
          <w:sz w:val="14"/>
          <w:szCs w:val="14"/>
          <w:color w:val="auto"/>
        </w:rPr>
      </w:pPr>
    </w:p>
    <w:p>
      <w:pPr>
        <w:ind w:firstLine="493"/>
        <w:spacing w:after="0" w:line="335" w:lineRule="auto"/>
        <w:tabs>
          <w:tab w:leader="none" w:pos="793"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concurrently with the delivery of the financial statements referred to in </w:t>
      </w:r>
      <w:r>
        <w:rPr>
          <w:rFonts w:ascii="Arial" w:cs="Arial" w:eastAsia="Arial" w:hAnsi="Arial"/>
          <w:sz w:val="11"/>
          <w:szCs w:val="11"/>
          <w:u w:val="single" w:color="auto"/>
          <w:color w:val="auto"/>
        </w:rPr>
        <w:t>Sections 6.01(a)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(i) a report supplementing </w:t>
      </w:r>
      <w:r>
        <w:rPr>
          <w:rFonts w:ascii="Arial" w:cs="Arial" w:eastAsia="Arial" w:hAnsi="Arial"/>
          <w:sz w:val="11"/>
          <w:szCs w:val="11"/>
          <w:u w:val="single" w:color="auto"/>
          <w:color w:val="auto"/>
        </w:rPr>
        <w:t>Schedules 11(a)</w:t>
      </w:r>
      <w:r>
        <w:rPr>
          <w:rFonts w:ascii="Arial" w:cs="Arial" w:eastAsia="Arial" w:hAnsi="Arial"/>
          <w:sz w:val="11"/>
          <w:szCs w:val="11"/>
          <w:color w:val="auto"/>
        </w:rPr>
        <w:t xml:space="preserve">, </w:t>
      </w:r>
      <w:r>
        <w:rPr>
          <w:rFonts w:ascii="Arial" w:cs="Arial" w:eastAsia="Arial" w:hAnsi="Arial"/>
          <w:sz w:val="11"/>
          <w:szCs w:val="11"/>
          <w:u w:val="single" w:color="auto"/>
          <w:color w:val="auto"/>
        </w:rPr>
        <w:t>11(b)</w:t>
      </w:r>
      <w:r>
        <w:rPr>
          <w:rFonts w:ascii="Arial" w:cs="Arial" w:eastAsia="Arial" w:hAnsi="Arial"/>
          <w:sz w:val="11"/>
          <w:szCs w:val="11"/>
          <w:color w:val="auto"/>
        </w:rPr>
        <w:t xml:space="preserve">, </w:t>
      </w:r>
      <w:r>
        <w:rPr>
          <w:rFonts w:ascii="Arial" w:cs="Arial" w:eastAsia="Arial" w:hAnsi="Arial"/>
          <w:sz w:val="11"/>
          <w:szCs w:val="11"/>
          <w:u w:val="single" w:color="auto"/>
          <w:color w:val="auto"/>
        </w:rPr>
        <w:t>11(c)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11(d)</w:t>
      </w:r>
      <w:r>
        <w:rPr>
          <w:rFonts w:ascii="Arial" w:cs="Arial" w:eastAsia="Arial" w:hAnsi="Arial"/>
          <w:sz w:val="11"/>
          <w:szCs w:val="11"/>
          <w:color w:val="auto"/>
        </w:rPr>
        <w:t xml:space="preserve"> of the Perfection Certificate, setting forth (A) a list of registration numbers for all Patents, Trademarks and Copyrights awarded to the Borrower or any Subsidiary thereof during such fiscal year and (B) a list of all Patent applications, Trademark applications and Copyright applications submitted by the Borrower or any Subsidiary thereof during such fiscal year and the status of each such application; and (ii) a report supplementing </w:t>
      </w:r>
      <w:r>
        <w:rPr>
          <w:rFonts w:ascii="Arial" w:cs="Arial" w:eastAsia="Arial" w:hAnsi="Arial"/>
          <w:sz w:val="11"/>
          <w:szCs w:val="11"/>
          <w:u w:val="single" w:color="auto"/>
          <w:color w:val="auto"/>
        </w:rPr>
        <w:t>Schedules 5.13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7.03</w:t>
      </w:r>
      <w:r>
        <w:rPr>
          <w:rFonts w:ascii="Arial" w:cs="Arial" w:eastAsia="Arial" w:hAnsi="Arial"/>
          <w:sz w:val="11"/>
          <w:szCs w:val="11"/>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27" w:lineRule="exact"/>
        <w:rPr>
          <w:rFonts w:ascii="Arial" w:cs="Arial" w:eastAsia="Arial" w:hAnsi="Arial"/>
          <w:sz w:val="11"/>
          <w:szCs w:val="11"/>
          <w:color w:val="auto"/>
        </w:rPr>
      </w:pPr>
    </w:p>
    <w:p>
      <w:pPr>
        <w:ind w:right="220" w:firstLine="493"/>
        <w:spacing w:after="0" w:line="266" w:lineRule="auto"/>
        <w:tabs>
          <w:tab w:leader="none" w:pos="76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80</w:t>
      </w:r>
    </w:p>
    <w:p>
      <w:pPr>
        <w:sectPr>
          <w:pgSz w:w="11900" w:h="16838" w:orient="portrait"/>
          <w:cols w:equalWidth="0" w:num="1">
            <w:col w:w="10780"/>
          </w:cols>
          <w:pgMar w:left="800" w:top="129"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95"/>
        <w:spacing w:after="0" w:line="250" w:lineRule="auto"/>
        <w:rPr>
          <w:sz w:val="20"/>
          <w:szCs w:val="20"/>
          <w:color w:val="auto"/>
        </w:rPr>
      </w:pPr>
      <w:r>
        <w:rPr>
          <w:rFonts w:ascii="Arial" w:cs="Arial" w:eastAsia="Arial" w:hAnsi="Arial"/>
          <w:sz w:val="14"/>
          <w:szCs w:val="14"/>
          <w:color w:val="auto"/>
        </w:rPr>
        <w:t xml:space="preserve">Documents required to be delivered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6.02(d)</w:t>
      </w:r>
      <w:r>
        <w:rPr>
          <w:rFonts w:ascii="Arial" w:cs="Arial" w:eastAsia="Arial" w:hAnsi="Arial"/>
          <w:sz w:val="14"/>
          <w:szCs w:val="14"/>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4"/>
          <w:szCs w:val="14"/>
          <w:u w:val="single" w:color="auto"/>
          <w:color w:val="auto"/>
        </w:rPr>
        <w:t>Schedule 11.02</w:t>
      </w:r>
      <w:r>
        <w:rPr>
          <w:rFonts w:ascii="Arial" w:cs="Arial" w:eastAsia="Arial" w:hAnsi="Arial"/>
          <w:sz w:val="14"/>
          <w:szCs w:val="14"/>
          <w:color w:val="auto"/>
        </w:rPr>
        <w:t xml:space="preserve"> or at http://www.sec.gov;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shall notify the Administrative Agent (by telecopier or electronic mail) of the posting of any such documents and, if requested, provide to the Administrative Agent by electronic mail electronic versions (</w:t>
      </w:r>
      <w:r>
        <w:rPr>
          <w:rFonts w:ascii="Arial" w:cs="Arial" w:eastAsia="Arial" w:hAnsi="Arial"/>
          <w:sz w:val="14"/>
          <w:szCs w:val="14"/>
          <w:u w:val="single" w:color="auto"/>
          <w:color w:val="auto"/>
        </w:rPr>
        <w:t>i.e.</w:t>
      </w:r>
      <w:r>
        <w:rPr>
          <w:rFonts w:ascii="Arial" w:cs="Arial" w:eastAsia="Arial" w:hAnsi="Arial"/>
          <w:sz w:val="14"/>
          <w:szCs w:val="14"/>
          <w:color w:val="auto"/>
        </w:rPr>
        <w:t>, soft copies) of such documents.</w:t>
      </w:r>
    </w:p>
    <w:p>
      <w:pPr>
        <w:spacing w:after="0" w:line="170" w:lineRule="exact"/>
        <w:rPr>
          <w:sz w:val="20"/>
          <w:szCs w:val="20"/>
          <w:color w:val="auto"/>
        </w:rPr>
      </w:pPr>
    </w:p>
    <w:p>
      <w:pPr>
        <w:ind w:firstLine="495"/>
        <w:spacing w:after="0" w:line="268" w:lineRule="auto"/>
        <w:rPr>
          <w:sz w:val="20"/>
          <w:szCs w:val="20"/>
          <w:color w:val="auto"/>
        </w:rPr>
      </w:pPr>
      <w:r>
        <w:rPr>
          <w:rFonts w:ascii="Arial" w:cs="Arial" w:eastAsia="Arial" w:hAnsi="Arial"/>
          <w:sz w:val="13"/>
          <w:szCs w:val="13"/>
          <w:color w:val="auto"/>
        </w:rPr>
        <w:t>The Borrower hereby acknowledges that (a) the Administrative Agent may, but shall not be obligated to, make available to the Lenders and the L/C Issuer materials and/or information provided by or on behalf of the Borrower hereunder (collectively, “</w:t>
      </w:r>
      <w:r>
        <w:rPr>
          <w:rFonts w:ascii="Arial" w:cs="Arial" w:eastAsia="Arial" w:hAnsi="Arial"/>
          <w:sz w:val="13"/>
          <w:szCs w:val="13"/>
          <w:u w:val="single" w:color="auto"/>
          <w:color w:val="auto"/>
        </w:rPr>
        <w:t>Borrower Materials</w:t>
      </w:r>
      <w:r>
        <w:rPr>
          <w:rFonts w:ascii="Arial" w:cs="Arial" w:eastAsia="Arial" w:hAnsi="Arial"/>
          <w:sz w:val="13"/>
          <w:szCs w:val="13"/>
          <w:color w:val="auto"/>
        </w:rPr>
        <w:t>”) by posting the Borrower Materials on IntraLinks, Syndtrak, ClearPar, or a substantially similar electronic transmission system (the “</w:t>
      </w:r>
      <w:r>
        <w:rPr>
          <w:rFonts w:ascii="Arial" w:cs="Arial" w:eastAsia="Arial" w:hAnsi="Arial"/>
          <w:sz w:val="13"/>
          <w:szCs w:val="13"/>
          <w:u w:val="single" w:color="auto"/>
          <w:color w:val="auto"/>
        </w:rPr>
        <w:t>Platform</w:t>
      </w:r>
      <w:r>
        <w:rPr>
          <w:rFonts w:ascii="Arial" w:cs="Arial" w:eastAsia="Arial" w:hAnsi="Arial"/>
          <w:sz w:val="13"/>
          <w:szCs w:val="13"/>
          <w:color w:val="auto"/>
        </w:rPr>
        <w:t>”) and (b) certain of the Lenders (each, a “</w:t>
      </w:r>
      <w:r>
        <w:rPr>
          <w:rFonts w:ascii="Arial" w:cs="Arial" w:eastAsia="Arial" w:hAnsi="Arial"/>
          <w:sz w:val="13"/>
          <w:szCs w:val="13"/>
          <w:u w:val="single" w:color="auto"/>
          <w:color w:val="auto"/>
        </w:rPr>
        <w:t>Public Lender</w:t>
      </w:r>
      <w:r>
        <w:rPr>
          <w:rFonts w:ascii="Arial" w:cs="Arial" w:eastAsia="Arial" w:hAnsi="Arial"/>
          <w:sz w:val="13"/>
          <w:szCs w:val="13"/>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to the extent such Borrower Materials constitute Information, they shall be treated as set forth in </w:t>
      </w:r>
      <w:r>
        <w:rPr>
          <w:rFonts w:ascii="Arial" w:cs="Arial" w:eastAsia="Arial" w:hAnsi="Arial"/>
          <w:sz w:val="13"/>
          <w:szCs w:val="13"/>
          <w:u w:val="single" w:color="auto"/>
          <w:color w:val="auto"/>
        </w:rPr>
        <w:t>Section 11.07</w:t>
      </w:r>
      <w:r>
        <w:rPr>
          <w:rFonts w:ascii="Arial" w:cs="Arial" w:eastAsia="Arial" w:hAnsi="Arial"/>
          <w:sz w:val="13"/>
          <w:szCs w:val="13"/>
          <w:color w:val="auto"/>
        </w:rPr>
        <w:t>);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w:t>
      </w:r>
    </w:p>
    <w:p>
      <w:pPr>
        <w:spacing w:after="0" w:line="16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6.03</w:t>
      </w:r>
      <w:r>
        <w:rPr>
          <w:sz w:val="20"/>
          <w:szCs w:val="20"/>
          <w:color w:val="auto"/>
        </w:rPr>
        <w:tab/>
      </w:r>
      <w:r>
        <w:rPr>
          <w:rFonts w:ascii="Arial" w:cs="Arial" w:eastAsia="Arial" w:hAnsi="Arial"/>
          <w:sz w:val="11"/>
          <w:szCs w:val="11"/>
          <w:b w:val="1"/>
          <w:bCs w:val="1"/>
          <w:color w:val="auto"/>
        </w:rPr>
        <w:t>Notices</w:t>
      </w:r>
      <w:r>
        <w:rPr>
          <w:rFonts w:ascii="Arial" w:cs="Arial" w:eastAsia="Arial" w:hAnsi="Arial"/>
          <w:sz w:val="11"/>
          <w:szCs w:val="11"/>
          <w:color w:val="auto"/>
        </w:rPr>
        <w:t>. Promptly notify the Administrative Agent for distribution to each Lender after a Responsible Officer of the Borrower first learns of or acquires knowledge with respect to:</w:t>
      </w:r>
    </w:p>
    <w:p>
      <w:pPr>
        <w:spacing w:after="0" w:line="194" w:lineRule="exact"/>
        <w:rPr>
          <w:sz w:val="20"/>
          <w:szCs w:val="20"/>
          <w:color w:val="auto"/>
        </w:rPr>
      </w:pPr>
    </w:p>
    <w:p>
      <w:pPr>
        <w:ind w:left="1280" w:hanging="287"/>
        <w:spacing w:after="0"/>
        <w:tabs>
          <w:tab w:leader="none" w:pos="12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of the occurrence of any Default;</w:t>
      </w:r>
    </w:p>
    <w:p>
      <w:pPr>
        <w:spacing w:after="0" w:line="189" w:lineRule="exact"/>
        <w:rPr>
          <w:rFonts w:ascii="Arial" w:cs="Arial" w:eastAsia="Arial" w:hAnsi="Arial"/>
          <w:sz w:val="14"/>
          <w:szCs w:val="14"/>
          <w:color w:val="auto"/>
        </w:rPr>
      </w:pPr>
    </w:p>
    <w:p>
      <w:pPr>
        <w:ind w:left="500" w:right="160" w:firstLine="493"/>
        <w:spacing w:after="0" w:line="335" w:lineRule="auto"/>
        <w:tabs>
          <w:tab w:leader="none" w:pos="1293" w:val="left"/>
        </w:tabs>
        <w:numPr>
          <w:ilvl w:val="0"/>
          <w:numId w:val="123"/>
        </w:numPr>
        <w:rPr>
          <w:rFonts w:ascii="Arial" w:cs="Arial" w:eastAsia="Arial" w:hAnsi="Arial"/>
          <w:sz w:val="11"/>
          <w:szCs w:val="11"/>
          <w:color w:val="auto"/>
        </w:rPr>
      </w:pPr>
      <w:r>
        <w:rPr>
          <w:rFonts w:ascii="Arial" w:cs="Arial" w:eastAsia="Arial" w:hAnsi="Arial"/>
          <w:sz w:val="11"/>
          <w:szCs w:val="11"/>
          <w:color w:val="auto"/>
        </w:rPr>
        <w:t>of any matter that has resulted or would reasonably be expected to result in a Material Adverse Effect, including (i) receipt by the Borrower or its Subsidiaries of any notice of a material breach or non-performance of, or any default under, a Material Contract asserting a default by such Person where such alleged default would permit such counterparty to terminate such Material Contract; (ii) the filing or commencement of any action, suit, dispute, litigation, investigation, proceeding or suspension involving any Loan Party or any Subsidiary or any of their respective properties and any Governmental Authority; or (iii) the commencement of, or any material development in, any litigation or proceeding affecting the Borrower or any Subsidiary, including pursuant to any applicable Environmental Laws, in each case that has resulted or would reasonably be expected to result in a Material Adverse Effect;</w:t>
      </w:r>
    </w:p>
    <w:p>
      <w:pPr>
        <w:spacing w:after="0" w:line="127" w:lineRule="exact"/>
        <w:rPr>
          <w:rFonts w:ascii="Arial" w:cs="Arial" w:eastAsia="Arial" w:hAnsi="Arial"/>
          <w:sz w:val="11"/>
          <w:szCs w:val="11"/>
          <w:color w:val="auto"/>
        </w:rPr>
      </w:pPr>
    </w:p>
    <w:p>
      <w:pPr>
        <w:ind w:left="1280" w:hanging="287"/>
        <w:spacing w:after="0"/>
        <w:tabs>
          <w:tab w:leader="none" w:pos="12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of the occurrence of any ERISA Event that, either individually or together with any other ERISA Events, would reasonably be expected to have a Material Adverse Effect; and</w:t>
      </w:r>
    </w:p>
    <w:p>
      <w:pPr>
        <w:spacing w:after="0" w:line="201" w:lineRule="exact"/>
        <w:rPr>
          <w:rFonts w:ascii="Arial" w:cs="Arial" w:eastAsia="Arial" w:hAnsi="Arial"/>
          <w:sz w:val="13"/>
          <w:szCs w:val="13"/>
          <w:color w:val="auto"/>
        </w:rPr>
      </w:pPr>
    </w:p>
    <w:p>
      <w:pPr>
        <w:ind w:left="1300" w:hanging="307"/>
        <w:spacing w:after="0"/>
        <w:tabs>
          <w:tab w:leader="none" w:pos="13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[reserved];</w:t>
      </w:r>
    </w:p>
    <w:p>
      <w:pPr>
        <w:spacing w:after="0" w:line="189" w:lineRule="exact"/>
        <w:rPr>
          <w:rFonts w:ascii="Arial" w:cs="Arial" w:eastAsia="Arial" w:hAnsi="Arial"/>
          <w:sz w:val="14"/>
          <w:szCs w:val="14"/>
          <w:color w:val="auto"/>
        </w:rPr>
      </w:pPr>
    </w:p>
    <w:p>
      <w:pPr>
        <w:ind w:left="1280" w:hanging="287"/>
        <w:spacing w:after="0"/>
        <w:tabs>
          <w:tab w:leader="none" w:pos="12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of any change in the information provided in the Beneficial Ownership Certification that would result in a change to the list of beneficial owners identified in such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w:t>
      </w:r>
    </w:p>
    <w:p>
      <w:pPr>
        <w:sectPr>
          <w:pgSz w:w="11900" w:h="16838" w:orient="portrait"/>
          <w:cols w:equalWidth="0" w:num="1">
            <w:col w:w="11280"/>
          </w:cols>
          <w:pgMar w:left="300" w:top="129" w:right="3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5"/>
        <w:spacing w:after="0" w:line="256" w:lineRule="auto"/>
        <w:rPr>
          <w:sz w:val="20"/>
          <w:szCs w:val="20"/>
          <w:color w:val="auto"/>
        </w:rPr>
      </w:pPr>
      <w:r>
        <w:rPr>
          <w:rFonts w:ascii="Arial" w:cs="Arial" w:eastAsia="Arial" w:hAnsi="Arial"/>
          <w:sz w:val="14"/>
          <w:szCs w:val="14"/>
          <w:color w:val="auto"/>
        </w:rPr>
        <w:t xml:space="preserve">Each notice pursuant to </w:t>
      </w:r>
      <w:r>
        <w:rPr>
          <w:rFonts w:ascii="Arial" w:cs="Arial" w:eastAsia="Arial" w:hAnsi="Arial"/>
          <w:sz w:val="14"/>
          <w:szCs w:val="14"/>
          <w:u w:val="single" w:color="auto"/>
          <w:color w:val="auto"/>
        </w:rPr>
        <w:t>Section 6.03</w:t>
      </w:r>
      <w:r>
        <w:rPr>
          <w:rFonts w:ascii="Arial" w:cs="Arial" w:eastAsia="Arial" w:hAnsi="Arial"/>
          <w:sz w:val="14"/>
          <w:szCs w:val="14"/>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4"/>
          <w:szCs w:val="14"/>
          <w:u w:val="single" w:color="auto"/>
          <w:color w:val="auto"/>
        </w:rPr>
        <w:t>Section 6.03(a)</w:t>
      </w:r>
      <w:r>
        <w:rPr>
          <w:rFonts w:ascii="Arial" w:cs="Arial" w:eastAsia="Arial" w:hAnsi="Arial"/>
          <w:sz w:val="14"/>
          <w:szCs w:val="14"/>
          <w:color w:val="auto"/>
        </w:rPr>
        <w:t xml:space="preserve"> shall describe with particularity any and all provisions of this Agreement and any other Loan Document that have been breached.</w:t>
      </w:r>
    </w:p>
    <w:p>
      <w:pPr>
        <w:spacing w:after="0" w:line="166" w:lineRule="exact"/>
        <w:rPr>
          <w:sz w:val="20"/>
          <w:szCs w:val="20"/>
          <w:color w:val="auto"/>
        </w:rPr>
      </w:pPr>
    </w:p>
    <w:p>
      <w:pPr>
        <w:ind w:right="60" w:firstLine="495"/>
        <w:spacing w:after="0" w:line="271" w:lineRule="auto"/>
        <w:rPr>
          <w:sz w:val="20"/>
          <w:szCs w:val="20"/>
          <w:color w:val="auto"/>
        </w:rPr>
      </w:pPr>
      <w:r>
        <w:rPr>
          <w:rFonts w:ascii="Arial" w:cs="Arial" w:eastAsia="Arial" w:hAnsi="Arial"/>
          <w:sz w:val="13"/>
          <w:szCs w:val="13"/>
          <w:color w:val="auto"/>
        </w:rPr>
        <w:t xml:space="preserve">Notwithstanding the foregoing requirements of </w:t>
      </w:r>
      <w:r>
        <w:rPr>
          <w:rFonts w:ascii="Arial" w:cs="Arial" w:eastAsia="Arial" w:hAnsi="Arial"/>
          <w:sz w:val="13"/>
          <w:szCs w:val="13"/>
          <w:u w:val="single" w:color="auto"/>
          <w:color w:val="auto"/>
        </w:rPr>
        <w:t>Sections 6.01</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6.03</w:t>
      </w:r>
      <w:r>
        <w:rPr>
          <w:rFonts w:ascii="Arial" w:cs="Arial" w:eastAsia="Arial" w:hAnsi="Arial"/>
          <w:sz w:val="13"/>
          <w:szCs w:val="13"/>
          <w:color w:val="auto"/>
        </w:rPr>
        <w:t xml:space="preserve">, to the extent any information or document required to be delivered thereunder (i) may not be disclosed under Applicable Law or any binding agreement with a third party (so long as such agreement is not entered into in contemplation of this Agreement) (it being understood and agreed that in the case of any prohibition under any binding agreement, the Borrower shall use commercially reasonable efforts to obtain any waivers necessary to enable the disclosure, inspection, examination, or discussion of such document information or other matter), (ii) is subject to attorney-client or similar privilege, or (iii) constitutes trade secrets or proprietary information which would reasonably be expected to be lost or forfeited if disclosed to the Administrative Agent or any Lender, the Loan Parties shall not be required to disclose or deliver such information or document, and the failure to so disclose or deliver such information or document shall not constitute a Default or Event of Default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 shall, to the extent permitted by Applicable Law, notify the Administrative Agent that such information or document has been withheld pursuant to this paragraph.</w:t>
      </w:r>
    </w:p>
    <w:p>
      <w:pPr>
        <w:spacing w:after="0" w:line="155" w:lineRule="exact"/>
        <w:rPr>
          <w:sz w:val="20"/>
          <w:szCs w:val="20"/>
          <w:color w:val="auto"/>
        </w:rPr>
      </w:pPr>
    </w:p>
    <w:p>
      <w:pPr>
        <w:ind w:right="180" w:firstLine="495"/>
        <w:spacing w:after="0" w:line="251" w:lineRule="auto"/>
        <w:rPr>
          <w:sz w:val="20"/>
          <w:szCs w:val="20"/>
          <w:color w:val="auto"/>
        </w:rPr>
      </w:pPr>
      <w:r>
        <w:rPr>
          <w:rFonts w:ascii="Arial" w:cs="Arial" w:eastAsia="Arial" w:hAnsi="Arial"/>
          <w:sz w:val="14"/>
          <w:szCs w:val="14"/>
          <w:b w:val="1"/>
          <w:bCs w:val="1"/>
          <w:color w:val="auto"/>
        </w:rPr>
        <w:t>6.04 Payment of Obligations; File Tax Returns</w:t>
      </w:r>
      <w:r>
        <w:rPr>
          <w:rFonts w:ascii="Arial" w:cs="Arial" w:eastAsia="Arial" w:hAnsi="Arial"/>
          <w:sz w:val="14"/>
          <w:szCs w:val="14"/>
          <w:color w:val="auto"/>
        </w:rPr>
        <w:t>. (a) Pay and discharge as the same shall become due and payable (i) all material Tax liabilities, assessments and governmental charges or</w:t>
      </w:r>
      <w:r>
        <w:rPr>
          <w:rFonts w:ascii="Arial" w:cs="Arial" w:eastAsia="Arial" w:hAnsi="Arial"/>
          <w:sz w:val="14"/>
          <w:szCs w:val="14"/>
          <w:b w:val="1"/>
          <w:bCs w:val="1"/>
          <w:color w:val="auto"/>
        </w:rPr>
        <w:t xml:space="preserve"> </w:t>
      </w:r>
      <w:r>
        <w:rPr>
          <w:rFonts w:ascii="Arial" w:cs="Arial" w:eastAsia="Arial" w:hAnsi="Arial"/>
          <w:sz w:val="14"/>
          <w:szCs w:val="14"/>
          <w:color w:val="auto"/>
        </w:rPr>
        <w:t>levies upon it or its properties or assets, unless the same are being contested in good faith by appropriate proceedings diligently conducted and adequate reserves in accordance with GAAP are being maintained by the Borrower or such Subsidiary; (ii) all material lawful claims which, if unpaid, would by law become a Lien upon its property; and (iii) all Indebtedness having an aggregate outstanding principal amount of more than the Threshold Amount, as and when due and payable, but subject to any subordination provisions contained in any instrument or agreement evidencing such Indebtedness and any applicable grace or cure periods; and (b) timely file all material tax returns required to be filed, except in the case of this clause (b) to the extent that failure to do so would not reasonably be expected to have a Material Adverse Effect.</w:t>
      </w:r>
    </w:p>
    <w:p>
      <w:pPr>
        <w:spacing w:after="0" w:line="166" w:lineRule="exact"/>
        <w:rPr>
          <w:sz w:val="20"/>
          <w:szCs w:val="20"/>
          <w:color w:val="auto"/>
        </w:rPr>
      </w:pPr>
    </w:p>
    <w:p>
      <w:pPr>
        <w:ind w:right="20" w:firstLine="495"/>
        <w:spacing w:after="0" w:line="259" w:lineRule="auto"/>
        <w:rPr>
          <w:sz w:val="20"/>
          <w:szCs w:val="20"/>
          <w:color w:val="auto"/>
        </w:rPr>
      </w:pPr>
      <w:r>
        <w:rPr>
          <w:rFonts w:ascii="Arial" w:cs="Arial" w:eastAsia="Arial" w:hAnsi="Arial"/>
          <w:sz w:val="14"/>
          <w:szCs w:val="14"/>
          <w:b w:val="1"/>
          <w:bCs w:val="1"/>
          <w:color w:val="auto"/>
        </w:rPr>
        <w:t>6.05 Preservation of Existence, Etc</w:t>
      </w:r>
      <w:r>
        <w:rPr>
          <w:rFonts w:ascii="Arial" w:cs="Arial" w:eastAsia="Arial" w:hAnsi="Arial"/>
          <w:sz w:val="14"/>
          <w:szCs w:val="14"/>
          <w:color w:val="auto"/>
        </w:rPr>
        <w:t>. (a) Preserve, renew and maintain in full force and effect its legal existence and good standing under the Laws of the jurisdiction of its organization except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 a transaction permitted by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7.05</w:t>
      </w:r>
      <w:r>
        <w:rPr>
          <w:rFonts w:ascii="Arial" w:cs="Arial" w:eastAsia="Arial" w:hAnsi="Arial"/>
          <w:sz w:val="14"/>
          <w:szCs w:val="14"/>
          <w:color w:val="auto"/>
        </w:rPr>
        <w:t xml:space="preserve"> and (b) take all reasonable action to maintain all rights, privileges, permits, licenses and franchises necessary or desirable in the normal conduct of its business, except to the extent that failure to do so would not reasonably be expected to have a Material Adverse Effect.</w:t>
      </w:r>
    </w:p>
    <w:p>
      <w:pPr>
        <w:spacing w:after="0" w:line="159" w:lineRule="exact"/>
        <w:rPr>
          <w:sz w:val="20"/>
          <w:szCs w:val="20"/>
          <w:color w:val="auto"/>
        </w:rPr>
      </w:pPr>
    </w:p>
    <w:p>
      <w:pPr>
        <w:jc w:val="both"/>
        <w:ind w:right="20" w:firstLine="495"/>
        <w:spacing w:after="0" w:line="259" w:lineRule="auto"/>
        <w:rPr>
          <w:sz w:val="20"/>
          <w:szCs w:val="20"/>
          <w:color w:val="auto"/>
        </w:rPr>
      </w:pPr>
      <w:r>
        <w:rPr>
          <w:rFonts w:ascii="Arial" w:cs="Arial" w:eastAsia="Arial" w:hAnsi="Arial"/>
          <w:sz w:val="14"/>
          <w:szCs w:val="14"/>
          <w:b w:val="1"/>
          <w:bCs w:val="1"/>
          <w:color w:val="auto"/>
        </w:rPr>
        <w:t>6.06 Maintenance of Properties</w:t>
      </w:r>
      <w:r>
        <w:rPr>
          <w:rFonts w:ascii="Arial" w:cs="Arial" w:eastAsia="Arial" w:hAnsi="Arial"/>
          <w:sz w:val="14"/>
          <w:szCs w:val="14"/>
          <w:color w:val="auto"/>
        </w:rPr>
        <w:t>. (a) Maintain, preserve and protect all of its material properties and equipment necessary in the operation of its business in good working order and condition,</w:t>
      </w:r>
      <w:r>
        <w:rPr>
          <w:rFonts w:ascii="Arial" w:cs="Arial" w:eastAsia="Arial" w:hAnsi="Arial"/>
          <w:sz w:val="14"/>
          <w:szCs w:val="14"/>
          <w:b w:val="1"/>
          <w:bCs w:val="1"/>
          <w:color w:val="auto"/>
        </w:rPr>
        <w:t xml:space="preserve"> </w:t>
      </w:r>
      <w:r>
        <w:rPr>
          <w:rFonts w:ascii="Arial" w:cs="Arial" w:eastAsia="Arial" w:hAnsi="Arial"/>
          <w:sz w:val="14"/>
          <w:szCs w:val="14"/>
          <w:color w:val="auto"/>
        </w:rPr>
        <w:t>ordinary wear and tear excepted; and (b) make all necessary repairs thereto and renewals and replacements thereof in each case except where the failure to do so would not reasonably be expected to have a Material Adverse Effect.</w:t>
      </w:r>
    </w:p>
    <w:p>
      <w:pPr>
        <w:spacing w:after="0" w:line="159"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b w:val="1"/>
          <w:bCs w:val="1"/>
          <w:color w:val="auto"/>
        </w:rPr>
        <w:t>6.07 Maintenance of Insurance</w:t>
      </w:r>
      <w:r>
        <w:rPr>
          <w:rFonts w:ascii="Arial" w:cs="Arial" w:eastAsia="Arial" w:hAnsi="Arial"/>
          <w:sz w:val="14"/>
          <w:szCs w:val="14"/>
          <w:color w:val="auto"/>
        </w:rPr>
        <w:t>. (a) Maintain with financially sound and reputable insurance companies not Affiliates of the Borrower, insurance with respect to its properties and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against loss or damage of the kinds customarily insured against by Persons engaged in the same or similar business, of such types and in such amounts as are customarily carried under similar circumstances by such other Persons and all such insurance shall (i) provide for not less than 30 days’ prior notice to the Administrative Agent of termination, lapse or cancellation of such insurance, (ii) name the Administrative Agent as additional insured on behalf of the Secured Parties (in the case of liability insurance) or loss payee (in the case of property insurance), as applicable, and (iii) if reasonably requested by the Administrative Agent, include a breach of warranty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82</w:t>
      </w:r>
    </w:p>
    <w:p>
      <w:pPr>
        <w:sectPr>
          <w:pgSz w:w="11900" w:h="16838" w:orient="portrait"/>
          <w:cols w:equalWidth="0" w:num="1">
            <w:col w:w="11280"/>
          </w:cols>
          <w:pgMar w:left="300" w:top="129" w:right="3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251" w:lineRule="auto"/>
        <w:tabs>
          <w:tab w:leader="none" w:pos="1293" w:val="left"/>
        </w:tabs>
        <w:numPr>
          <w:ilvl w:val="1"/>
          <w:numId w:val="124"/>
        </w:numPr>
        <w:rPr>
          <w:rFonts w:ascii="Arial" w:cs="Arial" w:eastAsia="Arial" w:hAnsi="Arial"/>
          <w:sz w:val="14"/>
          <w:szCs w:val="14"/>
          <w:color w:val="auto"/>
        </w:rPr>
      </w:pPr>
      <w:r>
        <w:rPr>
          <w:rFonts w:ascii="Arial" w:cs="Arial" w:eastAsia="Arial" w:hAnsi="Arial"/>
          <w:sz w:val="14"/>
          <w:szCs w:val="14"/>
          <w:color w:val="auto"/>
        </w:rPr>
        <w:t>If any portion of any real property of the Borrower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68" w:lineRule="exact"/>
        <w:rPr>
          <w:rFonts w:ascii="Arial" w:cs="Arial" w:eastAsia="Arial" w:hAnsi="Arial"/>
          <w:sz w:val="14"/>
          <w:szCs w:val="14"/>
          <w:color w:val="auto"/>
        </w:rPr>
      </w:pPr>
    </w:p>
    <w:p>
      <w:pPr>
        <w:ind w:left="500" w:right="180" w:firstLine="493"/>
        <w:spacing w:after="0" w:line="319" w:lineRule="auto"/>
        <w:tabs>
          <w:tab w:leader="none" w:pos="1285" w:val="left"/>
        </w:tabs>
        <w:numPr>
          <w:ilvl w:val="1"/>
          <w:numId w:val="124"/>
        </w:numPr>
        <w:rPr>
          <w:rFonts w:ascii="Arial" w:cs="Arial" w:eastAsia="Arial" w:hAnsi="Arial"/>
          <w:sz w:val="11"/>
          <w:szCs w:val="11"/>
          <w:color w:val="auto"/>
        </w:rPr>
      </w:pPr>
      <w:r>
        <w:rPr>
          <w:rFonts w:ascii="Arial" w:cs="Arial" w:eastAsia="Arial" w:hAnsi="Arial"/>
          <w:sz w:val="11"/>
          <w:szCs w:val="11"/>
          <w:u w:val="single" w:color="auto"/>
          <w:color w:val="auto"/>
        </w:rPr>
        <w:t>Evidence of Insurance.</w:t>
      </w:r>
      <w:r>
        <w:rPr>
          <w:rFonts w:ascii="Arial" w:cs="Arial" w:eastAsia="Arial" w:hAnsi="Arial"/>
          <w:sz w:val="11"/>
          <w:szCs w:val="11"/>
          <w:color w:val="auto"/>
        </w:rPr>
        <w:t xml:space="preserve"> Cause the Administrative Agent to be named as lenders’ loss payable, loss payee or mortgagee, as its interest may appear, and/or additional insured with respect of any such insurance providing liability coverage or coverage in respect of any Collateral,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w:t>
      </w:r>
    </w:p>
    <w:p>
      <w:pPr>
        <w:ind w:left="500" w:right="40" w:hanging="2"/>
        <w:spacing w:after="0" w:line="269" w:lineRule="auto"/>
        <w:tabs>
          <w:tab w:leader="none" w:pos="76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days prior written notice before any such policy or policies shall be altered or cancelled (or ten (10) days prior notice in the case of cancellation due to the nonpayment of premiums). Annually, upon expiration of current insurance coverage, the Loan Parties shall provide, or cause to be provided, to the Administrative Agent, such evidence of insurance as required by the Administrative Agent, including, but not limited to: (i) certified copies of such insurance policies, (ii) evidence of such insurance policies (including, without limitation and as applicable, ACORD Form 28 certificates (or similar form of insurance certificate), and ACORD Form 25 certificates (or similar form of insurance certificate)), (iii) declaration pages for each insurance policy and (iv) lender’s loss payable endorsement if the Administrative Agent for the benefit of the Secured Parties is not on the declarations page for such policy. As requested by the Administrative Agent, the Loan Parties agree to deliver to the Administrative Agent an Authorization to Share Insurance Information.</w:t>
      </w:r>
    </w:p>
    <w:p>
      <w:pPr>
        <w:spacing w:after="0" w:line="157" w:lineRule="exact"/>
        <w:rPr>
          <w:sz w:val="20"/>
          <w:szCs w:val="20"/>
          <w:color w:val="auto"/>
        </w:rPr>
      </w:pPr>
    </w:p>
    <w:p>
      <w:pPr>
        <w:ind w:right="40" w:firstLine="495"/>
        <w:spacing w:after="0" w:line="288" w:lineRule="auto"/>
        <w:rPr>
          <w:sz w:val="20"/>
          <w:szCs w:val="20"/>
          <w:color w:val="auto"/>
        </w:rPr>
      </w:pPr>
      <w:r>
        <w:rPr>
          <w:rFonts w:ascii="Arial" w:cs="Arial" w:eastAsia="Arial" w:hAnsi="Arial"/>
          <w:sz w:val="13"/>
          <w:szCs w:val="13"/>
          <w:b w:val="1"/>
          <w:bCs w:val="1"/>
          <w:color w:val="auto"/>
        </w:rPr>
        <w:t>6.08 Compliance with Laws</w:t>
      </w:r>
      <w:r>
        <w:rPr>
          <w:rFonts w:ascii="Arial" w:cs="Arial" w:eastAsia="Arial" w:hAnsi="Arial"/>
          <w:sz w:val="13"/>
          <w:szCs w:val="13"/>
          <w:color w:val="auto"/>
        </w:rPr>
        <w:t>. Comply in all material respects with the requirements of all Applicable Laws (including, without limitation, the Controlled Substances Act) and all orders, writs,</w:t>
      </w:r>
      <w:r>
        <w:rPr>
          <w:rFonts w:ascii="Arial" w:cs="Arial" w:eastAsia="Arial" w:hAnsi="Arial"/>
          <w:sz w:val="13"/>
          <w:szCs w:val="13"/>
          <w:b w:val="1"/>
          <w:bCs w:val="1"/>
          <w:color w:val="auto"/>
        </w:rPr>
        <w:t xml:space="preserve"> </w:t>
      </w:r>
      <w:r>
        <w:rPr>
          <w:rFonts w:ascii="Arial" w:cs="Arial" w:eastAsia="Arial" w:hAnsi="Arial"/>
          <w:sz w:val="13"/>
          <w:szCs w:val="13"/>
          <w:color w:val="auto"/>
        </w:rPr>
        <w:t>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43" w:lineRule="exact"/>
        <w:rPr>
          <w:sz w:val="20"/>
          <w:szCs w:val="20"/>
          <w:color w:val="auto"/>
        </w:rPr>
      </w:pPr>
    </w:p>
    <w:p>
      <w:pPr>
        <w:ind w:right="100" w:firstLine="495"/>
        <w:spacing w:after="0" w:line="288" w:lineRule="auto"/>
        <w:rPr>
          <w:sz w:val="20"/>
          <w:szCs w:val="20"/>
          <w:color w:val="auto"/>
        </w:rPr>
      </w:pPr>
      <w:r>
        <w:rPr>
          <w:rFonts w:ascii="Arial" w:cs="Arial" w:eastAsia="Arial" w:hAnsi="Arial"/>
          <w:sz w:val="13"/>
          <w:szCs w:val="13"/>
          <w:b w:val="1"/>
          <w:bCs w:val="1"/>
          <w:color w:val="auto"/>
        </w:rPr>
        <w:t>6.09 Books and Records</w:t>
      </w:r>
      <w:r>
        <w:rPr>
          <w:rFonts w:ascii="Arial" w:cs="Arial" w:eastAsia="Arial" w:hAnsi="Arial"/>
          <w:sz w:val="13"/>
          <w:szCs w:val="13"/>
          <w:color w:val="auto"/>
        </w:rPr>
        <w:t>. (a) Maintain proper books of record and account, in which full, true and correct entries in conformity with GAAP consistently applied shall be made of all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and matters involving the assets and business of the Borrower or such Subsidiary, as the case may be, in all material respects; and (b) maintain such books of record and account in material conformity with all applicable requirements of any Governmental Authority having regulatory jurisdiction over the Borrower or such Subsidiary,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83</w:t>
      </w:r>
    </w:p>
    <w:p>
      <w:pPr>
        <w:sectPr>
          <w:pgSz w:w="11900" w:h="16838" w:orient="portrait"/>
          <w:cols w:equalWidth="0" w:num="1">
            <w:col w:w="11280"/>
          </w:cols>
          <w:pgMar w:left="300" w:top="129" w:right="3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firstLine="495"/>
        <w:spacing w:after="0" w:line="316" w:lineRule="auto"/>
        <w:rPr>
          <w:sz w:val="20"/>
          <w:szCs w:val="20"/>
          <w:color w:val="auto"/>
        </w:rPr>
      </w:pPr>
      <w:r>
        <w:rPr>
          <w:rFonts w:ascii="Arial" w:cs="Arial" w:eastAsia="Arial" w:hAnsi="Arial"/>
          <w:sz w:val="11"/>
          <w:szCs w:val="11"/>
          <w:b w:val="1"/>
          <w:bCs w:val="1"/>
          <w:color w:val="auto"/>
        </w:rPr>
        <w:t>6.10 Inspection Rights</w:t>
      </w:r>
      <w:r>
        <w:rPr>
          <w:rFonts w:ascii="Arial" w:cs="Arial" w:eastAsia="Arial" w:hAnsi="Arial"/>
          <w:sz w:val="11"/>
          <w:szCs w:val="11"/>
          <w:color w:val="auto"/>
        </w:rPr>
        <w:t>. Permit representatives and independent contractors of the Administrative Agent and each Lender to visit and inspect any of its properties, to examine its corporate,</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and operating records, and make copies thereof or abstracts therefrom, and to discuss its affairs, finances and accounts with its directors, officers, and independent public accountants (so long as a representative of the Borrower is provided a reasonable opportunity to participate in any such discussion), all at the expense of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unless an Event of Default has occurred and is continuing, only one such visit per fiscal year shall be at the Borrower’s expense) and at such reasonable times during normal business hours and as often as may be reasonably desired, upon reasonable advance notice to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when an Event of Default exists and is continuing, the Administrative Agent or any Lender (or any of their respective representatives or independent contractors) may do any of the foregoing at the expense of the Borrower at any time during normal business hours and without advance notice. Notwithstanding anything to the contrary contained herein or any other provision of the Loan Documents, no Loan Party nor any of its Subsidiaries will be required to disclose or permit the inspection of any document, information or other matter</w:t>
      </w:r>
    </w:p>
    <w:p>
      <w:pPr>
        <w:spacing w:after="0" w:line="3" w:lineRule="exact"/>
        <w:rPr>
          <w:sz w:val="20"/>
          <w:szCs w:val="20"/>
          <w:color w:val="auto"/>
        </w:rPr>
      </w:pPr>
    </w:p>
    <w:p>
      <w:pPr>
        <w:ind w:right="240" w:firstLine="3"/>
        <w:spacing w:after="0" w:line="269" w:lineRule="auto"/>
        <w:tabs>
          <w:tab w:leader="none" w:pos="16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in respect of which disclosure to any Lender (or their respective representatives or contractors) is prohibited by any Applicable Law or any binding agreement with a third party (so long as such agreement is not entered into in contemplation of this Agreement) (it being understood and agreed that in the case of any prohibition under any binding agreement, the Borrower shall use commercially reasonable efforts to obtain any waivers necessary to enable the disclosure, inspection, examination, or discussion of such document, information or other matter), (ii) that is subject to attorney-client or similar privilege, which would reasonably be expected to be lost or forfeited if disclosed to the Administrative Agent or any Lender (it being understood and agreed that the Borrower shall notify the Administrative Agent as to the scope of the information that is not being provided because of such attorney-client or similar privilege) or (iii) constitutes trade secrets or proprietary information which would reasonably be expected to be lost or forfeited if disclosed to the Administrative Agent or any Lender.</w:t>
      </w:r>
    </w:p>
    <w:p>
      <w:pPr>
        <w:spacing w:after="0" w:line="15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6.11</w:t>
      </w:r>
      <w:r>
        <w:rPr>
          <w:sz w:val="20"/>
          <w:szCs w:val="20"/>
          <w:color w:val="auto"/>
        </w:rPr>
        <w:tab/>
      </w:r>
      <w:r>
        <w:rPr>
          <w:rFonts w:ascii="Arial" w:cs="Arial" w:eastAsia="Arial" w:hAnsi="Arial"/>
          <w:sz w:val="11"/>
          <w:szCs w:val="11"/>
          <w:b w:val="1"/>
          <w:bCs w:val="1"/>
          <w:color w:val="auto"/>
        </w:rPr>
        <w:t>Use of Proceeds</w:t>
      </w:r>
      <w:r>
        <w:rPr>
          <w:rFonts w:ascii="Arial" w:cs="Arial" w:eastAsia="Arial" w:hAnsi="Arial"/>
          <w:sz w:val="11"/>
          <w:szCs w:val="11"/>
          <w:color w:val="auto"/>
        </w:rPr>
        <w:t>. Use the proceeds of the Credit Extensions for general corporate purposes not in contravention of any Law or of any Loan Document.</w:t>
      </w:r>
    </w:p>
    <w:p>
      <w:pPr>
        <w:spacing w:after="0" w:line="190" w:lineRule="exact"/>
        <w:rPr>
          <w:sz w:val="20"/>
          <w:szCs w:val="20"/>
          <w:color w:val="auto"/>
        </w:rPr>
      </w:pPr>
    </w:p>
    <w:p>
      <w:pPr>
        <w:ind w:right="240" w:firstLine="495"/>
        <w:spacing w:after="0" w:line="259" w:lineRule="auto"/>
        <w:rPr>
          <w:sz w:val="20"/>
          <w:szCs w:val="20"/>
          <w:color w:val="auto"/>
        </w:rPr>
      </w:pPr>
      <w:r>
        <w:rPr>
          <w:rFonts w:ascii="Arial" w:cs="Arial" w:eastAsia="Arial" w:hAnsi="Arial"/>
          <w:sz w:val="14"/>
          <w:szCs w:val="14"/>
          <w:b w:val="1"/>
          <w:bCs w:val="1"/>
          <w:color w:val="auto"/>
        </w:rPr>
        <w:t>6.12 Covenant to Guarantee Obligations and Give Security</w:t>
      </w:r>
      <w:r>
        <w:rPr>
          <w:rFonts w:ascii="Arial" w:cs="Arial" w:eastAsia="Arial" w:hAnsi="Arial"/>
          <w:sz w:val="14"/>
          <w:szCs w:val="14"/>
          <w:color w:val="auto"/>
        </w:rPr>
        <w:t>. (a) Upon the formation or acquisition of any new direct or indirect Subsidiary (other than any, Immaterial Subsidiary or any</w:t>
      </w:r>
      <w:r>
        <w:rPr>
          <w:rFonts w:ascii="Arial" w:cs="Arial" w:eastAsia="Arial" w:hAnsi="Arial"/>
          <w:sz w:val="14"/>
          <w:szCs w:val="14"/>
          <w:b w:val="1"/>
          <w:bCs w:val="1"/>
          <w:color w:val="auto"/>
        </w:rPr>
        <w:t xml:space="preserve"> </w:t>
      </w:r>
      <w:r>
        <w:rPr>
          <w:rFonts w:ascii="Arial" w:cs="Arial" w:eastAsia="Arial" w:hAnsi="Arial"/>
          <w:sz w:val="14"/>
          <w:szCs w:val="14"/>
          <w:color w:val="auto"/>
        </w:rPr>
        <w:t>CFC or Subsidiary that is held directly or indirectly by a CFC or a Subsidiary the principal purpose of which is holding equity interest in one or more CFCs) by any Loan Party (including, without limitation, upon the formation of any Subsidiary that is a Division Successor), then the Borrower shall, at the Borrower’s expense:</w:t>
      </w:r>
    </w:p>
    <w:p>
      <w:pPr>
        <w:spacing w:after="0" w:line="163" w:lineRule="exact"/>
        <w:rPr>
          <w:sz w:val="20"/>
          <w:szCs w:val="20"/>
          <w:color w:val="auto"/>
        </w:rPr>
      </w:pPr>
    </w:p>
    <w:p>
      <w:pPr>
        <w:jc w:val="both"/>
        <w:ind w:left="500" w:right="240" w:firstLine="493"/>
        <w:spacing w:after="0" w:line="256" w:lineRule="auto"/>
        <w:tabs>
          <w:tab w:leader="none" w:pos="126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xml:space="preserve">within 30 Business Days after such formation or acquisition, cause such Subsidiary, and cause each direct and indirect parent of such Subsidiary (if it has not already done so), to duly execute and deliver to the Administrative Agent a guaranty or guaranty supplement, substantially in the form of </w:t>
      </w:r>
      <w:r>
        <w:rPr>
          <w:rFonts w:ascii="Arial" w:cs="Arial" w:eastAsia="Arial" w:hAnsi="Arial"/>
          <w:sz w:val="14"/>
          <w:szCs w:val="14"/>
          <w:u w:val="single" w:color="auto"/>
          <w:color w:val="auto"/>
        </w:rPr>
        <w:t>Exhibit P</w:t>
      </w:r>
      <w:r>
        <w:rPr>
          <w:rFonts w:ascii="Arial" w:cs="Arial" w:eastAsia="Arial" w:hAnsi="Arial"/>
          <w:sz w:val="14"/>
          <w:szCs w:val="14"/>
          <w:color w:val="auto"/>
        </w:rPr>
        <w:t>, guaranteeing the other Loan Parties’ obligations under the Loan Documents;</w:t>
      </w:r>
    </w:p>
    <w:p>
      <w:pPr>
        <w:spacing w:after="0" w:line="165" w:lineRule="exact"/>
        <w:rPr>
          <w:rFonts w:ascii="Arial" w:cs="Arial" w:eastAsia="Arial" w:hAnsi="Arial"/>
          <w:sz w:val="14"/>
          <w:szCs w:val="14"/>
          <w:color w:val="auto"/>
        </w:rPr>
      </w:pPr>
    </w:p>
    <w:p>
      <w:pPr>
        <w:ind w:left="1300" w:hanging="307"/>
        <w:spacing w:after="0"/>
        <w:tabs>
          <w:tab w:leader="none" w:pos="130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within 30 Business Days after such formation or acquisition, furnish to the Administrative Agent a description of the real and personal properties of such Subsidiary in reasonable</w:t>
      </w:r>
    </w:p>
    <w:p>
      <w:pPr>
        <w:spacing w:after="0" w:line="48" w:lineRule="exact"/>
        <w:rPr>
          <w:rFonts w:ascii="Arial" w:cs="Arial" w:eastAsia="Arial" w:hAnsi="Arial"/>
          <w:sz w:val="11"/>
          <w:szCs w:val="11"/>
          <w:color w:val="auto"/>
        </w:rPr>
      </w:pPr>
    </w:p>
    <w:p>
      <w:pPr>
        <w:ind w:left="500"/>
        <w:spacing w:after="0"/>
        <w:rPr>
          <w:rFonts w:ascii="Arial" w:cs="Arial" w:eastAsia="Arial" w:hAnsi="Arial"/>
          <w:sz w:val="11"/>
          <w:szCs w:val="11"/>
          <w:color w:val="auto"/>
        </w:rPr>
      </w:pPr>
      <w:r>
        <w:rPr>
          <w:rFonts w:ascii="Arial" w:cs="Arial" w:eastAsia="Arial" w:hAnsi="Arial"/>
          <w:sz w:val="14"/>
          <w:szCs w:val="14"/>
          <w:color w:val="auto"/>
        </w:rPr>
        <w:t>detail;</w:t>
      </w:r>
    </w:p>
    <w:p>
      <w:pPr>
        <w:spacing w:after="0" w:line="180" w:lineRule="exact"/>
        <w:rPr>
          <w:rFonts w:ascii="Arial" w:cs="Arial" w:eastAsia="Arial" w:hAnsi="Arial"/>
          <w:sz w:val="11"/>
          <w:szCs w:val="11"/>
          <w:color w:val="auto"/>
        </w:rPr>
      </w:pPr>
    </w:p>
    <w:p>
      <w:pPr>
        <w:jc w:val="both"/>
        <w:ind w:left="500" w:right="180" w:firstLine="493"/>
        <w:spacing w:after="0" w:line="319" w:lineRule="auto"/>
        <w:tabs>
          <w:tab w:leader="none" w:pos="1339" w:val="left"/>
        </w:tabs>
        <w:numPr>
          <w:ilvl w:val="0"/>
          <w:numId w:val="127"/>
        </w:numPr>
        <w:rPr>
          <w:rFonts w:ascii="Arial" w:cs="Arial" w:eastAsia="Arial" w:hAnsi="Arial"/>
          <w:sz w:val="11"/>
          <w:szCs w:val="11"/>
          <w:color w:val="auto"/>
        </w:rPr>
      </w:pPr>
      <w:r>
        <w:rPr>
          <w:rFonts w:ascii="Arial" w:cs="Arial" w:eastAsia="Arial" w:hAnsi="Arial"/>
          <w:sz w:val="11"/>
          <w:szCs w:val="11"/>
          <w:color w:val="auto"/>
        </w:rPr>
        <w:t xml:space="preserve">within 60 Business Days after such formation or acquisition, cause such Subsidiary and each direct and indirect parent of such Subsidiary (if it has not already done so) to duly execute and deliver to the Administrative Agent Security Agreement Supplements, Perfection Certificate, Intellectual Property Security Agreements and other security and pledge agreements (including delivery of all certificates, if any, representing the Equity Interests in and of such Subsidiary, and other instruments of the type specified in </w:t>
      </w:r>
      <w:r>
        <w:rPr>
          <w:rFonts w:ascii="Arial" w:cs="Arial" w:eastAsia="Arial" w:hAnsi="Arial"/>
          <w:sz w:val="11"/>
          <w:szCs w:val="11"/>
          <w:u w:val="single" w:color="auto"/>
          <w:color w:val="auto"/>
        </w:rPr>
        <w:t>Section 4.01(a)(iii)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4.01(a)(iv)</w:t>
      </w:r>
    </w:p>
    <w:p>
      <w:pPr>
        <w:ind w:left="500" w:right="60"/>
        <w:spacing w:after="0" w:line="251" w:lineRule="auto"/>
        <w:rPr>
          <w:rFonts w:ascii="Arial" w:cs="Arial" w:eastAsia="Arial" w:hAnsi="Arial"/>
          <w:sz w:val="11"/>
          <w:szCs w:val="11"/>
          <w:color w:val="auto"/>
        </w:rPr>
      </w:pPr>
      <w:r>
        <w:rPr>
          <w:rFonts w:ascii="Arial" w:cs="Arial" w:eastAsia="Arial" w:hAnsi="Arial"/>
          <w:sz w:val="14"/>
          <w:szCs w:val="14"/>
          <w:u w:val="single" w:color="auto"/>
          <w:color w:val="auto"/>
        </w:rPr>
        <w:t>(G)</w:t>
      </w:r>
      <w:r>
        <w:rPr>
          <w:rFonts w:ascii="Arial" w:cs="Arial" w:eastAsia="Arial" w:hAnsi="Arial"/>
          <w:sz w:val="14"/>
          <w:szCs w:val="14"/>
          <w:color w:val="auto"/>
        </w:rPr>
        <w:t>), securing payment of all the Obligations of such Subsidiary or such parent, as the case may be, under the Loan Documents and constituting Liens on all such interests and personal properties, other than Excluded Property (as such term is defined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84</w:t>
      </w:r>
    </w:p>
    <w:p>
      <w:pPr>
        <w:sectPr>
          <w:pgSz w:w="11900" w:h="16838" w:orient="portrait"/>
          <w:cols w:equalWidth="0" w:num="1">
            <w:col w:w="11280"/>
          </w:cols>
          <w:pgMar w:left="300" w:top="129" w:right="3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20" w:firstLine="493"/>
        <w:spacing w:after="0" w:line="335" w:lineRule="auto"/>
        <w:tabs>
          <w:tab w:leader="none" w:pos="1331" w:val="left"/>
        </w:tabs>
        <w:numPr>
          <w:ilvl w:val="1"/>
          <w:numId w:val="128"/>
        </w:numPr>
        <w:rPr>
          <w:rFonts w:ascii="Arial" w:cs="Arial" w:eastAsia="Arial" w:hAnsi="Arial"/>
          <w:sz w:val="11"/>
          <w:szCs w:val="11"/>
          <w:color w:val="auto"/>
        </w:rPr>
      </w:pPr>
      <w:r>
        <w:rPr>
          <w:rFonts w:ascii="Arial" w:cs="Arial" w:eastAsia="Arial" w:hAnsi="Arial"/>
          <w:sz w:val="11"/>
          <w:szCs w:val="11"/>
          <w:color w:val="auto"/>
        </w:rPr>
        <w:t xml:space="preserve">within 60 days after such formation or acquisition, cause such Subsidiary and each direct and indirect parent of such Subsidiary (if it has not already done so) to take whatever reasonable action (including the filing of Uniform Commercial Code financing statements, the giving of notices and the endorsement of notices on title documents) may be necessary or advisable in the opinion of the Administrative Agent to vest in the Administrative Agent (or in any representative of the Administrative Agent designated by it) valid and subsisting Liens on the properties purported to be subject to the Security Agreement Supplements, Intellectual Property Security Agreements, and security and pledge agreements delivered pursuant to this </w:t>
      </w:r>
      <w:r>
        <w:rPr>
          <w:rFonts w:ascii="Arial" w:cs="Arial" w:eastAsia="Arial" w:hAnsi="Arial"/>
          <w:sz w:val="11"/>
          <w:szCs w:val="11"/>
          <w:u w:val="single" w:color="auto"/>
          <w:color w:val="auto"/>
        </w:rPr>
        <w:t>Section 6.12</w:t>
      </w:r>
      <w:r>
        <w:rPr>
          <w:rFonts w:ascii="Arial" w:cs="Arial" w:eastAsia="Arial" w:hAnsi="Arial"/>
          <w:sz w:val="11"/>
          <w:szCs w:val="11"/>
          <w:color w:val="auto"/>
        </w:rPr>
        <w:t xml:space="preserve">, enforceable against all third parties in accordance with their terms,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filings or other actions shall be required in any jurisdiction outside the United States;</w:t>
      </w:r>
    </w:p>
    <w:p>
      <w:pPr>
        <w:spacing w:after="0" w:line="127" w:lineRule="exact"/>
        <w:rPr>
          <w:rFonts w:ascii="Arial" w:cs="Arial" w:eastAsia="Arial" w:hAnsi="Arial"/>
          <w:sz w:val="11"/>
          <w:szCs w:val="11"/>
          <w:color w:val="auto"/>
        </w:rPr>
      </w:pPr>
    </w:p>
    <w:p>
      <w:pPr>
        <w:ind w:left="1300" w:hanging="307"/>
        <w:spacing w:after="0"/>
        <w:tabs>
          <w:tab w:leader="none" w:pos="130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[reserved]; and</w:t>
      </w:r>
    </w:p>
    <w:p>
      <w:pPr>
        <w:spacing w:after="0" w:line="189" w:lineRule="exact"/>
        <w:rPr>
          <w:rFonts w:ascii="Arial" w:cs="Arial" w:eastAsia="Arial" w:hAnsi="Arial"/>
          <w:sz w:val="14"/>
          <w:szCs w:val="14"/>
          <w:color w:val="auto"/>
        </w:rPr>
      </w:pPr>
    </w:p>
    <w:p>
      <w:pPr>
        <w:ind w:left="500" w:right="40" w:firstLine="493"/>
        <w:spacing w:after="0" w:line="256" w:lineRule="auto"/>
        <w:tabs>
          <w:tab w:leader="none" w:pos="1331" w:val="left"/>
        </w:tabs>
        <w:numPr>
          <w:ilvl w:val="1"/>
          <w:numId w:val="128"/>
        </w:numPr>
        <w:rPr>
          <w:rFonts w:ascii="Arial" w:cs="Arial" w:eastAsia="Arial" w:hAnsi="Arial"/>
          <w:sz w:val="14"/>
          <w:szCs w:val="14"/>
          <w:color w:val="auto"/>
        </w:rPr>
      </w:pPr>
      <w:r>
        <w:rPr>
          <w:rFonts w:ascii="Arial" w:cs="Arial" w:eastAsia="Arial" w:hAnsi="Arial"/>
          <w:sz w:val="14"/>
          <w:szCs w:val="14"/>
          <w:color w:val="auto"/>
        </w:rPr>
        <w:t xml:space="preserve">within 60 days after such formation or acquisition, deliver to the Administrative Agent, upon the reasonable request of the Administrative Agent in its sole discretion, a signed copy of a favorable opinion, addressed to the Administrative Agent and the other Secured Parties, of counsel for the Loan Parties reasonably acceptable to the Administrative Agent as to the matters contained in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(iv)</w:t>
      </w:r>
      <w:r>
        <w:rPr>
          <w:rFonts w:ascii="Arial" w:cs="Arial" w:eastAsia="Arial" w:hAnsi="Arial"/>
          <w:sz w:val="14"/>
          <w:szCs w:val="14"/>
          <w:color w:val="auto"/>
        </w:rPr>
        <w:t xml:space="preserve"> above.</w:t>
      </w:r>
    </w:p>
    <w:p>
      <w:pPr>
        <w:spacing w:after="0" w:line="165" w:lineRule="exact"/>
        <w:rPr>
          <w:rFonts w:ascii="Arial" w:cs="Arial" w:eastAsia="Arial" w:hAnsi="Arial"/>
          <w:sz w:val="14"/>
          <w:szCs w:val="14"/>
          <w:color w:val="auto"/>
        </w:rPr>
      </w:pPr>
    </w:p>
    <w:p>
      <w:pPr>
        <w:ind w:right="180" w:firstLine="498"/>
        <w:spacing w:after="0" w:line="256" w:lineRule="auto"/>
        <w:tabs>
          <w:tab w:leader="none" w:pos="79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Upon the acquisition of any property by any Loan Party (including, without limitation, any acquisition pursuant to a Division), if such property is of a type intended to constitute Collateral under the Loan Documents and which, in the reasonable judgment of the Administrative Agent, shall not already be subject to a perfected security interest in favor of the Administrative Agent for the benefit of the Secured Parties, then the Borrower shall, at the Borrower’s expense:</w:t>
      </w:r>
    </w:p>
    <w:p>
      <w:pPr>
        <w:spacing w:after="0" w:line="165" w:lineRule="exact"/>
        <w:rPr>
          <w:rFonts w:ascii="Arial" w:cs="Arial" w:eastAsia="Arial" w:hAnsi="Arial"/>
          <w:sz w:val="14"/>
          <w:szCs w:val="14"/>
          <w:color w:val="auto"/>
        </w:rPr>
      </w:pPr>
    </w:p>
    <w:p>
      <w:pPr>
        <w:ind w:left="1260" w:hanging="267"/>
        <w:spacing w:after="0"/>
        <w:tabs>
          <w:tab w:leader="none" w:pos="126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within 30 Business Days after such acquisition, furnish to the Administrative Agent a description of the property so acquired;</w:t>
      </w:r>
    </w:p>
    <w:p>
      <w:pPr>
        <w:spacing w:after="0" w:line="189" w:lineRule="exact"/>
        <w:rPr>
          <w:rFonts w:ascii="Arial" w:cs="Arial" w:eastAsia="Arial" w:hAnsi="Arial"/>
          <w:sz w:val="14"/>
          <w:szCs w:val="14"/>
          <w:color w:val="auto"/>
        </w:rPr>
      </w:pPr>
    </w:p>
    <w:p>
      <w:pPr>
        <w:ind w:left="500" w:right="140" w:firstLine="493"/>
        <w:spacing w:after="0" w:line="256" w:lineRule="auto"/>
        <w:tabs>
          <w:tab w:leader="none" w:pos="130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within 30 Business Days after such acquisition, cause the applicable Loan Party to duly execute and deliver to the Administrative Agent Security Agreement Supplements, Intellectual Property Security Agreement supplements, and other security and pledge agreements reasonably required by the Administrative Agent, securing payment of all the Obligations of the applicable Loan Party under the Loan Documents and constituting Liens on all such properties;</w:t>
      </w:r>
    </w:p>
    <w:p>
      <w:pPr>
        <w:spacing w:after="0" w:line="165" w:lineRule="exact"/>
        <w:rPr>
          <w:rFonts w:ascii="Arial" w:cs="Arial" w:eastAsia="Arial" w:hAnsi="Arial"/>
          <w:sz w:val="14"/>
          <w:szCs w:val="14"/>
          <w:color w:val="auto"/>
        </w:rPr>
      </w:pPr>
    </w:p>
    <w:p>
      <w:pPr>
        <w:ind w:left="500" w:right="20" w:firstLine="493"/>
        <w:spacing w:after="0" w:line="252" w:lineRule="auto"/>
        <w:tabs>
          <w:tab w:leader="none" w:pos="1339" w:val="left"/>
        </w:tabs>
        <w:numPr>
          <w:ilvl w:val="1"/>
          <w:numId w:val="129"/>
        </w:numPr>
        <w:rPr>
          <w:rFonts w:ascii="Arial" w:cs="Arial" w:eastAsia="Arial" w:hAnsi="Arial"/>
          <w:sz w:val="14"/>
          <w:szCs w:val="14"/>
          <w:color w:val="auto"/>
        </w:rPr>
      </w:pPr>
      <w:r>
        <w:rPr>
          <w:rFonts w:ascii="Arial" w:cs="Arial" w:eastAsia="Arial" w:hAnsi="Arial"/>
          <w:sz w:val="14"/>
          <w:szCs w:val="14"/>
          <w:color w:val="auto"/>
        </w:rPr>
        <w:t xml:space="preserve">within 30 days after such acquisition, cause the applicable Loan Party to take whatever action (including the filing of Uniform Commercial Code financing statements, the giving of notices and the endorsement of notices on title documents) may be necessary or advisable in the opinion of the Administrative Agent to vest in the Administrative Agent (or in any representative of the Administrative Agent designated by it) valid and subsisting Liens on such property, enforceable against all third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filings or other actions shall be required in any jurisdiction outside the United States;</w:t>
      </w:r>
    </w:p>
    <w:p>
      <w:pPr>
        <w:spacing w:after="0" w:line="169" w:lineRule="exact"/>
        <w:rPr>
          <w:rFonts w:ascii="Arial" w:cs="Arial" w:eastAsia="Arial" w:hAnsi="Arial"/>
          <w:sz w:val="14"/>
          <w:szCs w:val="14"/>
          <w:color w:val="auto"/>
        </w:rPr>
      </w:pPr>
    </w:p>
    <w:p>
      <w:pPr>
        <w:ind w:left="1320" w:hanging="327"/>
        <w:spacing w:after="0"/>
        <w:tabs>
          <w:tab w:leader="none" w:pos="13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[reserved]; and</w:t>
      </w:r>
    </w:p>
    <w:p>
      <w:pPr>
        <w:spacing w:after="0" w:line="189" w:lineRule="exact"/>
        <w:rPr>
          <w:rFonts w:ascii="Arial" w:cs="Arial" w:eastAsia="Arial" w:hAnsi="Arial"/>
          <w:sz w:val="14"/>
          <w:szCs w:val="14"/>
          <w:color w:val="auto"/>
        </w:rPr>
      </w:pPr>
    </w:p>
    <w:p>
      <w:pPr>
        <w:ind w:left="500" w:firstLine="493"/>
        <w:spacing w:after="0" w:line="256" w:lineRule="auto"/>
        <w:tabs>
          <w:tab w:leader="none" w:pos="1293" w:val="left"/>
        </w:tabs>
        <w:numPr>
          <w:ilvl w:val="1"/>
          <w:numId w:val="129"/>
        </w:numPr>
        <w:rPr>
          <w:rFonts w:ascii="Arial" w:cs="Arial" w:eastAsia="Arial" w:hAnsi="Arial"/>
          <w:sz w:val="14"/>
          <w:szCs w:val="14"/>
          <w:color w:val="auto"/>
        </w:rPr>
      </w:pPr>
      <w:r>
        <w:rPr>
          <w:rFonts w:ascii="Arial" w:cs="Arial" w:eastAsia="Arial" w:hAnsi="Arial"/>
          <w:sz w:val="14"/>
          <w:szCs w:val="14"/>
          <w:color w:val="auto"/>
        </w:rPr>
        <w:t xml:space="preserve">within 60 days after such acquisition, deliver to the Administrative Agent, upon the reasonable request of the Administrative Agent in its sole discretion, a signed copy of a favorable opinion, addressed to the Administrative Agent and the other Secured Parties, of counsel for the Loan Parties reasonably acceptable to the Administrative Agent as to the matters contained in </w:t>
      </w:r>
      <w:r>
        <w:rPr>
          <w:rFonts w:ascii="Arial" w:cs="Arial" w:eastAsia="Arial" w:hAnsi="Arial"/>
          <w:sz w:val="14"/>
          <w:szCs w:val="14"/>
          <w:u w:val="single" w:color="auto"/>
          <w:color w:val="auto"/>
        </w:rPr>
        <w:t>clauses (ii)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above.</w:t>
      </w:r>
    </w:p>
    <w:p>
      <w:pPr>
        <w:spacing w:after="0" w:line="165" w:lineRule="exact"/>
        <w:rPr>
          <w:rFonts w:ascii="Arial" w:cs="Arial" w:eastAsia="Arial" w:hAnsi="Arial"/>
          <w:sz w:val="14"/>
          <w:szCs w:val="14"/>
          <w:color w:val="auto"/>
        </w:rPr>
      </w:pPr>
    </w:p>
    <w:p>
      <w:pPr>
        <w:ind w:left="780" w:hanging="282"/>
        <w:spacing w:after="0"/>
        <w:tabs>
          <w:tab w:leader="none" w:pos="7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[reserved].</w:t>
      </w:r>
    </w:p>
    <w:p>
      <w:pPr>
        <w:spacing w:after="0" w:line="189" w:lineRule="exact"/>
        <w:rPr>
          <w:rFonts w:ascii="Arial" w:cs="Arial" w:eastAsia="Arial" w:hAnsi="Arial"/>
          <w:sz w:val="14"/>
          <w:szCs w:val="14"/>
          <w:color w:val="auto"/>
        </w:rPr>
      </w:pPr>
    </w:p>
    <w:p>
      <w:pPr>
        <w:ind w:right="320" w:firstLine="498"/>
        <w:spacing w:after="0" w:line="284" w:lineRule="auto"/>
        <w:tabs>
          <w:tab w:leader="none" w:pos="78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At any time upon the reasonable request of the Administrative Agent, promptly execute and deliver any and all further instruments and documents and take all such other action as the Administrative Agent may reasonably request in obtaining the full benefits of, or (as applicable) in perfecting and preserving the Liens of, such guaranties, Security Agreement Supplements and other security and pledge agreements,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filings or other actions shall be required in any jurisdiction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85</w:t>
      </w:r>
    </w:p>
    <w:p>
      <w:pPr>
        <w:sectPr>
          <w:pgSz w:w="11900" w:h="16838" w:orient="portrait"/>
          <w:cols w:equalWidth="0" w:num="1">
            <w:col w:w="11280"/>
          </w:cols>
          <w:pgMar w:left="300" w:top="129" w:right="3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495"/>
        <w:spacing w:after="0" w:line="280" w:lineRule="auto"/>
        <w:rPr>
          <w:sz w:val="20"/>
          <w:szCs w:val="20"/>
          <w:color w:val="auto"/>
        </w:rPr>
      </w:pPr>
      <w:r>
        <w:rPr>
          <w:rFonts w:ascii="Arial" w:cs="Arial" w:eastAsia="Arial" w:hAnsi="Arial"/>
          <w:sz w:val="13"/>
          <w:szCs w:val="13"/>
          <w:b w:val="1"/>
          <w:bCs w:val="1"/>
          <w:color w:val="auto"/>
        </w:rPr>
        <w:t>6.13 Compliance with Environmental Laws</w:t>
      </w:r>
      <w:r>
        <w:rPr>
          <w:rFonts w:ascii="Arial" w:cs="Arial" w:eastAsia="Arial" w:hAnsi="Arial"/>
          <w:sz w:val="13"/>
          <w:szCs w:val="13"/>
          <w:color w:val="auto"/>
        </w:rPr>
        <w:t>. Comply, and cause all lessees and other Persons operating or occupying its properties to comply, in all material respects, with all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Environmental Laws and Environmental Permits; obtain and renew all Environmental Permits necessary for its operations and properties; and conduct any investigation, study, sampling and testing, cleanup, removal, remedial or other action required under applicable Environmental Laws to address all Hazardous Materials at, on, under or emanating from any of properties owned, leased or operated by it in accordance with all Environmental Laws, except, in each case, where failure to do so would not reasonably be expected to result in a Material Adverse Effect.</w:t>
      </w:r>
    </w:p>
    <w:p>
      <w:pPr>
        <w:spacing w:after="0" w:line="14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6.14</w:t>
      </w:r>
      <w:r>
        <w:rPr>
          <w:sz w:val="20"/>
          <w:szCs w:val="20"/>
          <w:color w:val="auto"/>
        </w:rPr>
        <w:tab/>
      </w:r>
      <w:r>
        <w:rPr>
          <w:rFonts w:ascii="Arial" w:cs="Arial" w:eastAsia="Arial" w:hAnsi="Arial"/>
          <w:sz w:val="11"/>
          <w:szCs w:val="11"/>
          <w:b w:val="1"/>
          <w:bCs w:val="1"/>
          <w:color w:val="auto"/>
        </w:rPr>
        <w:t>[Reserved].</w:t>
      </w:r>
    </w:p>
    <w:p>
      <w:pPr>
        <w:spacing w:after="0" w:line="190" w:lineRule="exact"/>
        <w:rPr>
          <w:sz w:val="20"/>
          <w:szCs w:val="20"/>
          <w:color w:val="auto"/>
        </w:rPr>
      </w:pPr>
    </w:p>
    <w:p>
      <w:pPr>
        <w:ind w:right="60" w:firstLine="495"/>
        <w:spacing w:after="0" w:line="329" w:lineRule="auto"/>
        <w:rPr>
          <w:sz w:val="20"/>
          <w:szCs w:val="20"/>
          <w:color w:val="auto"/>
        </w:rPr>
      </w:pPr>
      <w:r>
        <w:rPr>
          <w:rFonts w:ascii="Arial" w:cs="Arial" w:eastAsia="Arial" w:hAnsi="Arial"/>
          <w:sz w:val="11"/>
          <w:szCs w:val="11"/>
          <w:b w:val="1"/>
          <w:bCs w:val="1"/>
          <w:color w:val="auto"/>
        </w:rPr>
        <w:t>6.15 Further Assurances</w:t>
      </w:r>
      <w:r>
        <w:rPr>
          <w:rFonts w:ascii="Arial" w:cs="Arial" w:eastAsia="Arial" w:hAnsi="Arial"/>
          <w:sz w:val="11"/>
          <w:szCs w:val="11"/>
          <w:color w:val="auto"/>
        </w:rPr>
        <w:t>. Promptly upon request by the Administrative Agent, or any Lender through the Administrative Agent, (a) correct any material defect or error that may be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filings or other action shall be required in any jurisdiction outside the United States.</w:t>
      </w:r>
    </w:p>
    <w:p>
      <w:pPr>
        <w:spacing w:after="0" w:line="292" w:lineRule="exact"/>
        <w:rPr>
          <w:sz w:val="20"/>
          <w:szCs w:val="20"/>
          <w:color w:val="auto"/>
        </w:rPr>
      </w:pPr>
    </w:p>
    <w:p>
      <w:pPr>
        <w:ind w:right="40" w:firstLine="495"/>
        <w:spacing w:after="0" w:line="280" w:lineRule="auto"/>
        <w:rPr>
          <w:sz w:val="20"/>
          <w:szCs w:val="20"/>
          <w:color w:val="auto"/>
        </w:rPr>
      </w:pPr>
      <w:r>
        <w:rPr>
          <w:rFonts w:ascii="Arial" w:cs="Arial" w:eastAsia="Arial" w:hAnsi="Arial"/>
          <w:sz w:val="13"/>
          <w:szCs w:val="13"/>
          <w:b w:val="1"/>
          <w:bCs w:val="1"/>
          <w:color w:val="auto"/>
        </w:rPr>
        <w:t>6.16 Compliance with Terms of Leaseholds</w:t>
      </w:r>
      <w:r>
        <w:rPr>
          <w:rFonts w:ascii="Arial" w:cs="Arial" w:eastAsia="Arial" w:hAnsi="Arial"/>
          <w:sz w:val="13"/>
          <w:szCs w:val="13"/>
          <w:color w:val="auto"/>
        </w:rPr>
        <w:t>. Make all payments and otherwise perform all obligations in respect of all leases of real property to which the Borrower or any of its Subsidiaries</w:t>
      </w:r>
      <w:r>
        <w:rPr>
          <w:rFonts w:ascii="Arial" w:cs="Arial" w:eastAsia="Arial" w:hAnsi="Arial"/>
          <w:sz w:val="13"/>
          <w:szCs w:val="13"/>
          <w:b w:val="1"/>
          <w:bCs w:val="1"/>
          <w:color w:val="auto"/>
        </w:rPr>
        <w:t xml:space="preserve"> </w:t>
      </w:r>
      <w:r>
        <w:rPr>
          <w:rFonts w:ascii="Arial" w:cs="Arial" w:eastAsia="Arial" w:hAnsi="Arial"/>
          <w:sz w:val="13"/>
          <w:szCs w:val="13"/>
          <w:color w:val="auto"/>
        </w:rPr>
        <w:t>is a party, keep such leases in full force and effect and not allow such leases to lapse or be terminated or any rights to renew such leases to be forfeited or cancelled, notify the Administrative Agent of any default by any party with respect to such leases and cooperate with the Administrative Agent in all respects to cure any such default, and cause each of its Subsidiaries to do so, except, in any case, where the failure to do so, either individually or in the aggregate, would not be reasonably likely to have a Material Adverse Effect.</w:t>
      </w:r>
    </w:p>
    <w:p>
      <w:pPr>
        <w:spacing w:after="0" w:line="14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6.17</w:t>
      </w:r>
      <w:r>
        <w:rPr>
          <w:sz w:val="20"/>
          <w:szCs w:val="20"/>
          <w:color w:val="auto"/>
        </w:rPr>
        <w:tab/>
      </w:r>
      <w:r>
        <w:rPr>
          <w:rFonts w:ascii="Arial" w:cs="Arial" w:eastAsia="Arial" w:hAnsi="Arial"/>
          <w:sz w:val="11"/>
          <w:szCs w:val="11"/>
          <w:b w:val="1"/>
          <w:bCs w:val="1"/>
          <w:color w:val="auto"/>
        </w:rPr>
        <w:t>[Reserved].</w:t>
      </w:r>
    </w:p>
    <w:p>
      <w:pPr>
        <w:spacing w:after="0" w:line="190" w:lineRule="exact"/>
        <w:rPr>
          <w:sz w:val="20"/>
          <w:szCs w:val="20"/>
          <w:color w:val="auto"/>
        </w:rPr>
      </w:pPr>
    </w:p>
    <w:p>
      <w:pPr>
        <w:ind w:right="40" w:firstLine="495"/>
        <w:spacing w:after="0" w:line="332" w:lineRule="auto"/>
        <w:rPr>
          <w:sz w:val="20"/>
          <w:szCs w:val="20"/>
          <w:color w:val="auto"/>
        </w:rPr>
      </w:pPr>
      <w:r>
        <w:rPr>
          <w:rFonts w:ascii="Arial" w:cs="Arial" w:eastAsia="Arial" w:hAnsi="Arial"/>
          <w:sz w:val="11"/>
          <w:szCs w:val="11"/>
          <w:b w:val="1"/>
          <w:bCs w:val="1"/>
          <w:color w:val="auto"/>
        </w:rPr>
        <w:t>6.18 Information Regarding Collateral</w:t>
      </w:r>
      <w:r>
        <w:rPr>
          <w:rFonts w:ascii="Arial" w:cs="Arial" w:eastAsia="Arial" w:hAnsi="Arial"/>
          <w:sz w:val="11"/>
          <w:szCs w:val="11"/>
          <w:color w:val="auto"/>
        </w:rPr>
        <w:t>. (a) Not effect any change (i) in any Loan Party’s legal name, (ii) in the location of any Loan Party’s chief executive office, (iii) in any Loan Party’s</w:t>
      </w:r>
      <w:r>
        <w:rPr>
          <w:rFonts w:ascii="Arial" w:cs="Arial" w:eastAsia="Arial" w:hAnsi="Arial"/>
          <w:sz w:val="11"/>
          <w:szCs w:val="11"/>
          <w:b w:val="1"/>
          <w:bCs w:val="1"/>
          <w:color w:val="auto"/>
        </w:rPr>
        <w:t xml:space="preserve"> </w:t>
      </w:r>
      <w:r>
        <w:rPr>
          <w:rFonts w:ascii="Arial" w:cs="Arial" w:eastAsia="Arial" w:hAnsi="Arial"/>
          <w:sz w:val="11"/>
          <w:szCs w:val="11"/>
          <w:color w:val="auto"/>
        </w:rPr>
        <w:t>identity or organizational structure, (iv) in any Loan Party’s Federal Taxpayer Identification Number or organizational identification number, if any, or (v) in any Loan Party’s jurisdiction of organization (in each case, including by merging with or into any other entity, reorganizing, dissolving, liquidating, reorganizing or organizing in any other jurisdiction), until (A) it shall have given the Administrative Agent not less than 5 days’ prior written notice (in the form of certificate signed by a Responsible Officer), or such lesser notice period agreed to by the Administrative Agent, of its intention so to do, clearly describing such change and providing such other information in connection therewith as the Administrative Agent may reasonably request and (B) it shall have taken all action reasonably satisfactory to the Administrative Agent to maintain the perfection and priority of the security interest of the Administrative Agent for the benefit of the Secured Parties in the Collateral, if applicable. Each Loan Party agrees to promptly provide the Administrative Agent with certified Organization Documents reflecting any of the changes described in the preceding sentence.</w:t>
      </w:r>
    </w:p>
    <w:p>
      <w:pPr>
        <w:spacing w:after="0" w:line="295" w:lineRule="exact"/>
        <w:rPr>
          <w:sz w:val="20"/>
          <w:szCs w:val="20"/>
          <w:color w:val="auto"/>
        </w:rPr>
      </w:pPr>
    </w:p>
    <w:p>
      <w:pPr>
        <w:ind w:left="1300" w:hanging="307"/>
        <w:spacing w:after="0"/>
        <w:tabs>
          <w:tab w:leader="none" w:pos="13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Concurrently with the delivery of financial statements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deliver to the Administrative Agent a Perfection Certificate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86</w:t>
      </w:r>
    </w:p>
    <w:p>
      <w:pPr>
        <w:sectPr>
          <w:pgSz w:w="11900" w:h="16838" w:orient="portrait"/>
          <w:cols w:equalWidth="0" w:num="1">
            <w:col w:w="11280"/>
          </w:cols>
          <w:pgMar w:left="300" w:top="129" w:right="3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95"/>
        <w:spacing w:after="0" w:line="259" w:lineRule="auto"/>
        <w:rPr>
          <w:sz w:val="20"/>
          <w:szCs w:val="20"/>
          <w:color w:val="auto"/>
        </w:rPr>
      </w:pPr>
      <w:r>
        <w:rPr>
          <w:rFonts w:ascii="Arial" w:cs="Arial" w:eastAsia="Arial" w:hAnsi="Arial"/>
          <w:sz w:val="14"/>
          <w:szCs w:val="14"/>
          <w:b w:val="1"/>
          <w:bCs w:val="1"/>
          <w:color w:val="auto"/>
        </w:rPr>
        <w:t>6.19 Material Contracts</w:t>
      </w:r>
      <w:r>
        <w:rPr>
          <w:rFonts w:ascii="Arial" w:cs="Arial" w:eastAsia="Arial" w:hAnsi="Arial"/>
          <w:sz w:val="14"/>
          <w:szCs w:val="14"/>
          <w:color w:val="auto"/>
        </w:rPr>
        <w:t>. (x) Perform and observe all the terms and provisions of each Material Contract to be performed or observed by it, (y) not take any action which would cause each</w:t>
      </w:r>
      <w:r>
        <w:rPr>
          <w:rFonts w:ascii="Arial" w:cs="Arial" w:eastAsia="Arial" w:hAnsi="Arial"/>
          <w:sz w:val="14"/>
          <w:szCs w:val="14"/>
          <w:b w:val="1"/>
          <w:bCs w:val="1"/>
          <w:color w:val="auto"/>
        </w:rPr>
        <w:t xml:space="preserve"> </w:t>
      </w:r>
      <w:r>
        <w:rPr>
          <w:rFonts w:ascii="Arial" w:cs="Arial" w:eastAsia="Arial" w:hAnsi="Arial"/>
          <w:sz w:val="14"/>
          <w:szCs w:val="14"/>
          <w:color w:val="auto"/>
        </w:rPr>
        <w:t>such Material Contract to cease to be in full force and effect and (z) enforce each such Material Contract in accordance with its terms, except, in any case, where the failure to do so, either individually or in the aggregate, would not reasonably be expected to have a Material Adverse Effect.</w:t>
      </w:r>
    </w:p>
    <w:p>
      <w:pPr>
        <w:spacing w:after="0" w:line="159" w:lineRule="exact"/>
        <w:rPr>
          <w:sz w:val="20"/>
          <w:szCs w:val="20"/>
          <w:color w:val="auto"/>
        </w:rPr>
      </w:pPr>
    </w:p>
    <w:p>
      <w:pPr>
        <w:ind w:right="40" w:firstLine="495"/>
        <w:spacing w:after="0" w:line="259" w:lineRule="auto"/>
        <w:rPr>
          <w:sz w:val="20"/>
          <w:szCs w:val="20"/>
          <w:color w:val="auto"/>
        </w:rPr>
      </w:pPr>
      <w:r>
        <w:rPr>
          <w:rFonts w:ascii="Arial" w:cs="Arial" w:eastAsia="Arial" w:hAnsi="Arial"/>
          <w:sz w:val="14"/>
          <w:szCs w:val="14"/>
          <w:b w:val="1"/>
          <w:bCs w:val="1"/>
          <w:color w:val="auto"/>
        </w:rPr>
        <w:t xml:space="preserve">6.20 Cash Collateral Accounts. </w:t>
      </w:r>
      <w:r>
        <w:rPr>
          <w:rFonts w:ascii="Arial" w:cs="Arial" w:eastAsia="Arial" w:hAnsi="Arial"/>
          <w:sz w:val="14"/>
          <w:szCs w:val="14"/>
          <w:color w:val="auto"/>
        </w:rPr>
        <w:t>Within 120 days after the Closing Date, maintain, and cause each of the other Loan Parties to maintain, all Cash Collateral Accounts with Bank of America or</w:t>
      </w:r>
      <w:r>
        <w:rPr>
          <w:rFonts w:ascii="Arial" w:cs="Arial" w:eastAsia="Arial" w:hAnsi="Arial"/>
          <w:sz w:val="14"/>
          <w:szCs w:val="14"/>
          <w:b w:val="1"/>
          <w:bCs w:val="1"/>
          <w:color w:val="auto"/>
        </w:rPr>
        <w:t xml:space="preserve"> </w:t>
      </w:r>
      <w:r>
        <w:rPr>
          <w:rFonts w:ascii="Arial" w:cs="Arial" w:eastAsia="Arial" w:hAnsi="Arial"/>
          <w:sz w:val="14"/>
          <w:szCs w:val="14"/>
          <w:color w:val="auto"/>
        </w:rPr>
        <w:t>another commercial bank located in the United States, which has accepted the assignment of such accounts to the Administrative Agent for the benefit of the Secured Parties pursuant to the terms of the Security Agreement.</w:t>
      </w:r>
    </w:p>
    <w:p>
      <w:pPr>
        <w:spacing w:after="0" w:line="159" w:lineRule="exact"/>
        <w:rPr>
          <w:sz w:val="20"/>
          <w:szCs w:val="20"/>
          <w:color w:val="auto"/>
        </w:rPr>
      </w:pPr>
    </w:p>
    <w:p>
      <w:pPr>
        <w:ind w:right="20" w:firstLine="495"/>
        <w:spacing w:after="0" w:line="259" w:lineRule="auto"/>
        <w:rPr>
          <w:sz w:val="20"/>
          <w:szCs w:val="20"/>
          <w:color w:val="auto"/>
        </w:rPr>
      </w:pPr>
      <w:r>
        <w:rPr>
          <w:rFonts w:ascii="Arial" w:cs="Arial" w:eastAsia="Arial" w:hAnsi="Arial"/>
          <w:sz w:val="14"/>
          <w:szCs w:val="14"/>
          <w:b w:val="1"/>
          <w:bCs w:val="1"/>
          <w:color w:val="auto"/>
        </w:rPr>
        <w:t>6.21 Anti-Corruption Laws; Sanctions</w:t>
      </w:r>
      <w:r>
        <w:rPr>
          <w:rFonts w:ascii="Arial" w:cs="Arial" w:eastAsia="Arial" w:hAnsi="Arial"/>
          <w:sz w:val="14"/>
          <w:szCs w:val="14"/>
          <w:color w:val="auto"/>
        </w:rPr>
        <w:t>. Conduct its businesses in compliance in all material respects with the United States Foreign Corrupt Practices Act of 1977, the UK Bribery Act 2010,</w:t>
      </w:r>
      <w:r>
        <w:rPr>
          <w:rFonts w:ascii="Arial" w:cs="Arial" w:eastAsia="Arial" w:hAnsi="Arial"/>
          <w:sz w:val="14"/>
          <w:szCs w:val="14"/>
          <w:b w:val="1"/>
          <w:bCs w:val="1"/>
          <w:color w:val="auto"/>
        </w:rPr>
        <w:t xml:space="preserve"> </w:t>
      </w:r>
      <w:r>
        <w:rPr>
          <w:rFonts w:ascii="Arial" w:cs="Arial" w:eastAsia="Arial" w:hAnsi="Arial"/>
          <w:sz w:val="14"/>
          <w:szCs w:val="14"/>
          <w:color w:val="auto"/>
        </w:rPr>
        <w:t>and other applicable anti-corruption legislation in other jurisdictions and with all applicable Sanctions, and maintain policies and procedures designed to promote and achieve compliance with such laws and Sanctions.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NEGATIVE COVENANTS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So long as any Lender shall have any Commitment hereunder, any Loan or other Obligation hereunder shall remain unpaid or unsatisfied, or any Letter of Credit shall remain outstanding, the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Borrower shall not, nor shall it permit any Subsidiary to, directly or indirectly:</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7.01</w:t>
      </w:r>
      <w:r>
        <w:rPr>
          <w:sz w:val="20"/>
          <w:szCs w:val="20"/>
          <w:color w:val="auto"/>
        </w:rPr>
        <w:tab/>
      </w:r>
      <w:r>
        <w:rPr>
          <w:rFonts w:ascii="Arial" w:cs="Arial" w:eastAsia="Arial" w:hAnsi="Arial"/>
          <w:sz w:val="11"/>
          <w:szCs w:val="11"/>
          <w:b w:val="1"/>
          <w:bCs w:val="1"/>
          <w:color w:val="auto"/>
        </w:rPr>
        <w:t>Liens</w:t>
      </w:r>
      <w:r>
        <w:rPr>
          <w:rFonts w:ascii="Arial" w:cs="Arial" w:eastAsia="Arial" w:hAnsi="Arial"/>
          <w:sz w:val="11"/>
          <w:szCs w:val="11"/>
          <w:color w:val="auto"/>
        </w:rPr>
        <w:t>. Create, incur, assume or suffer to exist any Lien upon any of its property, assets or revenues, whether now owned or hereafter acquired, other than the following:</w:t>
      </w:r>
    </w:p>
    <w:p>
      <w:pPr>
        <w:spacing w:after="0" w:line="194" w:lineRule="exact"/>
        <w:rPr>
          <w:sz w:val="20"/>
          <w:szCs w:val="20"/>
          <w:color w:val="auto"/>
        </w:rPr>
      </w:pPr>
    </w:p>
    <w:p>
      <w:pPr>
        <w:ind w:left="780" w:hanging="282"/>
        <w:spacing w:after="0"/>
        <w:tabs>
          <w:tab w:leader="none" w:pos="7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Liens pursuant to any Loan Document;</w:t>
      </w:r>
    </w:p>
    <w:p>
      <w:pPr>
        <w:spacing w:after="0" w:line="189" w:lineRule="exact"/>
        <w:rPr>
          <w:rFonts w:ascii="Arial" w:cs="Arial" w:eastAsia="Arial" w:hAnsi="Arial"/>
          <w:sz w:val="14"/>
          <w:szCs w:val="14"/>
          <w:color w:val="auto"/>
        </w:rPr>
      </w:pPr>
    </w:p>
    <w:p>
      <w:pPr>
        <w:ind w:right="100" w:firstLine="498"/>
        <w:spacing w:after="0" w:line="256" w:lineRule="auto"/>
        <w:tabs>
          <w:tab w:leader="none" w:pos="79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Liens existing on the date hereof and listed on </w:t>
      </w:r>
      <w:r>
        <w:rPr>
          <w:rFonts w:ascii="Arial" w:cs="Arial" w:eastAsia="Arial" w:hAnsi="Arial"/>
          <w:sz w:val="14"/>
          <w:szCs w:val="14"/>
          <w:u w:val="single" w:color="auto"/>
          <w:color w:val="auto"/>
        </w:rPr>
        <w:t>Schedule 7.01</w:t>
      </w:r>
      <w:r>
        <w:rPr>
          <w:rFonts w:ascii="Arial" w:cs="Arial" w:eastAsia="Arial" w:hAnsi="Arial"/>
          <w:sz w:val="14"/>
          <w:szCs w:val="14"/>
          <w:color w:val="auto"/>
        </w:rPr>
        <w:t xml:space="preserve"> and any renewals or extensions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property covered thereby is not changed, except to cover any additions, improvements or expansions thereto, (ii) the amount secured or benefited thereby is not increased except as contemplated by </w:t>
      </w:r>
      <w:r>
        <w:rPr>
          <w:rFonts w:ascii="Arial" w:cs="Arial" w:eastAsia="Arial" w:hAnsi="Arial"/>
          <w:sz w:val="14"/>
          <w:szCs w:val="14"/>
          <w:u w:val="single" w:color="auto"/>
          <w:color w:val="auto"/>
        </w:rPr>
        <w:t>Section 7.02(e)</w:t>
      </w:r>
      <w:r>
        <w:rPr>
          <w:rFonts w:ascii="Arial" w:cs="Arial" w:eastAsia="Arial" w:hAnsi="Arial"/>
          <w:sz w:val="14"/>
          <w:szCs w:val="14"/>
          <w:color w:val="auto"/>
        </w:rPr>
        <w:t xml:space="preserve"> and (iii) any renewal or extension of the obligations secured or benefited thereby is permitted by </w:t>
      </w:r>
      <w:r>
        <w:rPr>
          <w:rFonts w:ascii="Arial" w:cs="Arial" w:eastAsia="Arial" w:hAnsi="Arial"/>
          <w:sz w:val="14"/>
          <w:szCs w:val="14"/>
          <w:u w:val="single" w:color="auto"/>
          <w:color w:val="auto"/>
        </w:rPr>
        <w:t>Section 7.02(e)</w:t>
      </w:r>
      <w:r>
        <w:rPr>
          <w:rFonts w:ascii="Arial" w:cs="Arial" w:eastAsia="Arial" w:hAnsi="Arial"/>
          <w:sz w:val="14"/>
          <w:szCs w:val="14"/>
          <w:color w:val="auto"/>
        </w:rPr>
        <w:t>;</w:t>
      </w:r>
    </w:p>
    <w:p>
      <w:pPr>
        <w:spacing w:after="0" w:line="165" w:lineRule="exact"/>
        <w:rPr>
          <w:rFonts w:ascii="Arial" w:cs="Arial" w:eastAsia="Arial" w:hAnsi="Arial"/>
          <w:sz w:val="14"/>
          <w:szCs w:val="14"/>
          <w:color w:val="auto"/>
        </w:rPr>
      </w:pPr>
    </w:p>
    <w:p>
      <w:pPr>
        <w:ind w:right="240" w:firstLine="498"/>
        <w:spacing w:after="0" w:line="266" w:lineRule="auto"/>
        <w:tabs>
          <w:tab w:leader="none" w:pos="785"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Liens for </w:t>
      </w:r>
      <w:r>
        <w:rPr>
          <w:rFonts w:ascii="Arial" w:cs="Arial" w:eastAsia="Arial" w:hAnsi="Arial"/>
          <w:sz w:val="14"/>
          <w:szCs w:val="14"/>
          <w:i w:val="1"/>
          <w:iCs w:val="1"/>
          <w:color w:val="auto"/>
        </w:rPr>
        <w:t>ad valorem</w:t>
      </w:r>
      <w:r>
        <w:rPr>
          <w:rFonts w:ascii="Arial" w:cs="Arial" w:eastAsia="Arial" w:hAnsi="Arial"/>
          <w:sz w:val="14"/>
          <w:szCs w:val="14"/>
          <w:color w:val="auto"/>
        </w:rPr>
        <w:t xml:space="preserve"> property Taxes not yet due or Liens for Taxes which are being contested in good faith and by appropriate proceedings diligently conducted, if adequate reserves with respect thereto are maintained on the books of the applicable Person in accordance with GAAP;</w:t>
      </w:r>
    </w:p>
    <w:p>
      <w:pPr>
        <w:spacing w:after="0" w:line="158" w:lineRule="exact"/>
        <w:rPr>
          <w:rFonts w:ascii="Arial" w:cs="Arial" w:eastAsia="Arial" w:hAnsi="Arial"/>
          <w:sz w:val="14"/>
          <w:szCs w:val="14"/>
          <w:color w:val="auto"/>
        </w:rPr>
      </w:pPr>
    </w:p>
    <w:p>
      <w:pPr>
        <w:jc w:val="both"/>
        <w:ind w:right="160" w:firstLine="498"/>
        <w:spacing w:after="0" w:line="256" w:lineRule="auto"/>
        <w:tabs>
          <w:tab w:leader="none" w:pos="79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carriers’, warehousemen’s, mechanics’, materialmen’s, repairmen’s or other like Liens arising in the ordinary course of business which are not overdue for a period of more than 90 days or which are being contested in good faith and by appropriate proceedings diligently conducted, if adequate reserves with respect thereto are maintained on the books of the applicable Person in accordance with GAAP;</w:t>
      </w:r>
    </w:p>
    <w:p>
      <w:pPr>
        <w:spacing w:after="0" w:line="165" w:lineRule="exact"/>
        <w:rPr>
          <w:rFonts w:ascii="Arial" w:cs="Arial" w:eastAsia="Arial" w:hAnsi="Arial"/>
          <w:sz w:val="14"/>
          <w:szCs w:val="14"/>
          <w:color w:val="auto"/>
        </w:rPr>
      </w:pPr>
    </w:p>
    <w:p>
      <w:pPr>
        <w:ind w:left="780" w:hanging="282"/>
        <w:spacing w:after="0"/>
        <w:tabs>
          <w:tab w:leader="none" w:pos="78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pledges or deposits in the ordinary course of business in connection with workers’ compensation, unemployment insurance and other social security legislation, other than any Lien imposed</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by ERISA;</w:t>
      </w:r>
    </w:p>
    <w:p>
      <w:pPr>
        <w:spacing w:after="0" w:line="180" w:lineRule="exact"/>
        <w:rPr>
          <w:rFonts w:ascii="Arial" w:cs="Arial" w:eastAsia="Arial" w:hAnsi="Arial"/>
          <w:sz w:val="11"/>
          <w:szCs w:val="11"/>
          <w:color w:val="auto"/>
        </w:rPr>
      </w:pPr>
    </w:p>
    <w:p>
      <w:pPr>
        <w:ind w:right="140" w:firstLine="498"/>
        <w:spacing w:after="0" w:line="266" w:lineRule="auto"/>
        <w:tabs>
          <w:tab w:leader="none" w:pos="77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deposits to secure the performance of bids, trade contracts and leases (other than Indebtedness), statutory obligations, surety and appeal bonds, performance bonds and other obligations of a like nature incurred to the extent not prohibited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87</w:t>
      </w:r>
    </w:p>
    <w:p>
      <w:pPr>
        <w:sectPr>
          <w:pgSz w:w="11900" w:h="16838" w:orient="portrait"/>
          <w:cols w:equalWidth="0" w:num="1">
            <w:col w:w="11280"/>
          </w:cols>
          <w:pgMar w:left="300" w:top="129" w:right="3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498"/>
        <w:spacing w:after="0" w:line="256" w:lineRule="auto"/>
        <w:tabs>
          <w:tab w:leader="none" w:pos="79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easements, rights-of-way, restrictions and other similar encumbrances affecting real property which, in the aggregate, do not in any case materially interfere with the ordinary conduct of the business of the applicable Person, and any zoning or similar law or right reserved to or vested in any Governmental Authority to control or regulate the use of any real property that does not materially interfere with the ordinary conduct of the business of the Borrower and its Subsidiaries;</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Liens securing judgments for the payment of money (or appeal or other surety bonds relating to such judgments) not constituting an Event of Default under </w:t>
      </w:r>
      <w:r>
        <w:rPr>
          <w:rFonts w:ascii="Arial" w:cs="Arial" w:eastAsia="Arial" w:hAnsi="Arial"/>
          <w:sz w:val="13"/>
          <w:szCs w:val="13"/>
          <w:u w:val="single" w:color="auto"/>
          <w:color w:val="auto"/>
        </w:rPr>
        <w:t>Section 8.01(h)</w:t>
      </w:r>
      <w:r>
        <w:rPr>
          <w:rFonts w:ascii="Arial" w:cs="Arial" w:eastAsia="Arial" w:hAnsi="Arial"/>
          <w:sz w:val="13"/>
          <w:szCs w:val="13"/>
          <w:color w:val="auto"/>
        </w:rPr>
        <w:t>;</w:t>
      </w:r>
    </w:p>
    <w:p>
      <w:pPr>
        <w:spacing w:after="0" w:line="201" w:lineRule="exact"/>
        <w:rPr>
          <w:rFonts w:ascii="Arial" w:cs="Arial" w:eastAsia="Arial" w:hAnsi="Arial"/>
          <w:sz w:val="13"/>
          <w:szCs w:val="13"/>
          <w:color w:val="auto"/>
        </w:rPr>
      </w:pPr>
    </w:p>
    <w:p>
      <w:pPr>
        <w:ind w:firstLine="498"/>
        <w:spacing w:after="0" w:line="404" w:lineRule="auto"/>
        <w:tabs>
          <w:tab w:leader="none" w:pos="762"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Liens securing Indebtedness permitted under </w:t>
      </w:r>
      <w:r>
        <w:rPr>
          <w:rFonts w:ascii="Arial" w:cs="Arial" w:eastAsia="Arial" w:hAnsi="Arial"/>
          <w:sz w:val="11"/>
          <w:szCs w:val="11"/>
          <w:u w:val="single" w:color="auto"/>
          <w:color w:val="auto"/>
        </w:rPr>
        <w:t>Section 7.02(g)</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Liens do not at any time encumber any property other than the property financed by such Indebtedness and the proceeds thereto and (ii) the Indebtedness secured thereby does not exceed the cost or fair market value, whichever is lower, of the property being acquired on the date of acquisition;</w:t>
      </w:r>
    </w:p>
    <w:p>
      <w:pPr>
        <w:spacing w:after="0" w:line="89" w:lineRule="exact"/>
        <w:rPr>
          <w:rFonts w:ascii="Arial" w:cs="Arial" w:eastAsia="Arial" w:hAnsi="Arial"/>
          <w:sz w:val="11"/>
          <w:szCs w:val="11"/>
          <w:color w:val="auto"/>
        </w:rPr>
      </w:pPr>
    </w:p>
    <w:p>
      <w:pPr>
        <w:ind w:firstLine="498"/>
        <w:spacing w:after="0" w:line="358" w:lineRule="auto"/>
        <w:tabs>
          <w:tab w:leader="none" w:pos="762"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bankers’ Liens, rights of setoff and other similar Liens existing solely with respect to cash and Cash Equivalents on deposit in one or more accounts maintained by any Loan Party or any of its Subsidiaries with any Lender, in each case in the ordinary course of business in favor of the bank or banks with which such accounts are maintained, securing solely the customary amounts owing to such bank with respect to customary cash management and operating account arrangements;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case shall any such Liens secure the repayment of any Indebtedness not permitted hereunder;</w:t>
      </w:r>
    </w:p>
    <w:p>
      <w:pPr>
        <w:spacing w:after="0" w:line="114" w:lineRule="exact"/>
        <w:rPr>
          <w:rFonts w:ascii="Arial" w:cs="Arial" w:eastAsia="Arial" w:hAnsi="Arial"/>
          <w:sz w:val="11"/>
          <w:szCs w:val="11"/>
          <w:color w:val="auto"/>
        </w:rPr>
      </w:pPr>
    </w:p>
    <w:p>
      <w:pPr>
        <w:ind w:right="660" w:firstLine="498"/>
        <w:spacing w:after="0" w:line="266" w:lineRule="auto"/>
        <w:tabs>
          <w:tab w:leader="none" w:pos="79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Liens arising out of judgments or awards not resulting in an Event of Default;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applicable Loan Party or Subsidiary shall in good faith be prosecuting an appeal or proceedings for review;</w:t>
      </w:r>
    </w:p>
    <w:p>
      <w:pPr>
        <w:spacing w:after="0" w:line="158" w:lineRule="exact"/>
        <w:rPr>
          <w:rFonts w:ascii="Arial" w:cs="Arial" w:eastAsia="Arial" w:hAnsi="Arial"/>
          <w:sz w:val="14"/>
          <w:szCs w:val="14"/>
          <w:color w:val="auto"/>
        </w:rPr>
      </w:pPr>
    </w:p>
    <w:p>
      <w:pPr>
        <w:ind w:right="420" w:firstLine="498"/>
        <w:spacing w:after="0" w:line="266" w:lineRule="auto"/>
        <w:tabs>
          <w:tab w:leader="none" w:pos="76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interest or title of a lessor, licensor or sublessor under any lease, license or sublease entered into by any Loan Party or any Subsidiary thereof in the ordinary course of business and covering only the assets so leased, licensed or subleased;</w:t>
      </w:r>
    </w:p>
    <w:p>
      <w:pPr>
        <w:spacing w:after="0" w:line="158" w:lineRule="exact"/>
        <w:rPr>
          <w:rFonts w:ascii="Arial" w:cs="Arial" w:eastAsia="Arial" w:hAnsi="Arial"/>
          <w:sz w:val="14"/>
          <w:szCs w:val="14"/>
          <w:color w:val="auto"/>
        </w:rPr>
      </w:pPr>
    </w:p>
    <w:p>
      <w:pPr>
        <w:ind w:left="840" w:hanging="342"/>
        <w:spacing w:after="0"/>
        <w:tabs>
          <w:tab w:leader="none" w:pos="8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[reserved];</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Liens assumed by the Borrower or any of its Subsidiaries, as applicable, in connection with a Permitted Acquisition that secures Indebtedness that is permitted pursuant to </w:t>
      </w:r>
      <w:r>
        <w:rPr>
          <w:rFonts w:ascii="Arial" w:cs="Arial" w:eastAsia="Arial" w:hAnsi="Arial"/>
          <w:sz w:val="11"/>
          <w:szCs w:val="11"/>
          <w:u w:val="single" w:color="auto"/>
          <w:color w:val="auto"/>
        </w:rPr>
        <w:t>Section 7.02(h)</w:t>
      </w:r>
      <w:r>
        <w:rPr>
          <w:rFonts w:ascii="Arial" w:cs="Arial" w:eastAsia="Arial" w:hAnsi="Arial"/>
          <w:sz w:val="11"/>
          <w:szCs w:val="11"/>
          <w:color w:val="auto"/>
        </w:rPr>
        <w:t>;</w:t>
      </w:r>
    </w:p>
    <w:p>
      <w:pPr>
        <w:spacing w:after="0" w:line="224" w:lineRule="exact"/>
        <w:rPr>
          <w:rFonts w:ascii="Arial" w:cs="Arial" w:eastAsia="Arial" w:hAnsi="Arial"/>
          <w:sz w:val="11"/>
          <w:szCs w:val="11"/>
          <w:color w:val="auto"/>
        </w:rPr>
      </w:pPr>
    </w:p>
    <w:p>
      <w:pPr>
        <w:ind w:right="180" w:firstLine="498"/>
        <w:spacing w:after="0" w:line="305" w:lineRule="auto"/>
        <w:tabs>
          <w:tab w:leader="none" w:pos="79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other Liens securing Indebtedness outstanding and permitted pursuant to </w:t>
      </w:r>
      <w:r>
        <w:rPr>
          <w:rFonts w:ascii="Arial" w:cs="Arial" w:eastAsia="Arial" w:hAnsi="Arial"/>
          <w:sz w:val="13"/>
          <w:szCs w:val="13"/>
          <w:u w:val="single" w:color="auto"/>
          <w:color w:val="auto"/>
        </w:rPr>
        <w:t>Section 7.02(j)</w:t>
      </w:r>
      <w:r>
        <w:rPr>
          <w:rFonts w:ascii="Arial" w:cs="Arial" w:eastAsia="Arial" w:hAnsi="Arial"/>
          <w:sz w:val="13"/>
          <w:szCs w:val="13"/>
          <w:color w:val="auto"/>
        </w:rPr>
        <w:t xml:space="preserve"> in an aggregate principal amount not to exceed the greater of (i) 20% of Consolidated EBITDA for the most recent Measurement Period prior to incurrence of such Lien and (ii) $20,000,000;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Lien shall extend to or cover any real property;</w:t>
      </w:r>
    </w:p>
    <w:p>
      <w:pPr>
        <w:spacing w:after="0" w:line="135" w:lineRule="exact"/>
        <w:rPr>
          <w:rFonts w:ascii="Arial" w:cs="Arial" w:eastAsia="Arial" w:hAnsi="Arial"/>
          <w:sz w:val="13"/>
          <w:szCs w:val="13"/>
          <w:color w:val="auto"/>
        </w:rPr>
      </w:pPr>
    </w:p>
    <w:p>
      <w:pPr>
        <w:ind w:left="800" w:hanging="302"/>
        <w:spacing w:after="0"/>
        <w:tabs>
          <w:tab w:leader="none" w:pos="8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in favor of customs and revenue authorities arising as a matter of law to secure payment of customs duties in connection with the importation of goods in the ordinary course of</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business;</w:t>
      </w:r>
    </w:p>
    <w:p>
      <w:pPr>
        <w:spacing w:after="0" w:line="180" w:lineRule="exact"/>
        <w:rPr>
          <w:rFonts w:ascii="Arial" w:cs="Arial" w:eastAsia="Arial" w:hAnsi="Arial"/>
          <w:sz w:val="13"/>
          <w:szCs w:val="13"/>
          <w:color w:val="auto"/>
        </w:rPr>
      </w:pPr>
    </w:p>
    <w:p>
      <w:pPr>
        <w:ind w:left="800" w:hanging="302"/>
        <w:spacing w:after="0"/>
        <w:tabs>
          <w:tab w:leader="none" w:pos="8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described in the definition of “Permitted Priority Debt”; provided that such Liens do not secure Indebtedness in excess of $25,000,000 in the aggregate at any time; and</w:t>
      </w:r>
    </w:p>
    <w:p>
      <w:pPr>
        <w:spacing w:after="0" w:line="201" w:lineRule="exact"/>
        <w:rPr>
          <w:rFonts w:ascii="Arial" w:cs="Arial" w:eastAsia="Arial" w:hAnsi="Arial"/>
          <w:sz w:val="13"/>
          <w:szCs w:val="13"/>
          <w:color w:val="auto"/>
        </w:rPr>
      </w:pPr>
    </w:p>
    <w:p>
      <w:pPr>
        <w:ind w:left="780" w:hanging="282"/>
        <w:spacing w:after="0"/>
        <w:tabs>
          <w:tab w:leader="none" w:pos="78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licenses, sublicenses, covenants not to sue, releases or similar rights or immunities with respect to IP Rights that do not secure any Indebtedness, in each case incurred in the ordinary course</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of business.</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7.02</w:t>
      </w:r>
      <w:r>
        <w:rPr>
          <w:sz w:val="20"/>
          <w:szCs w:val="20"/>
          <w:color w:val="auto"/>
        </w:rPr>
        <w:tab/>
      </w:r>
      <w:r>
        <w:rPr>
          <w:rFonts w:ascii="Arial" w:cs="Arial" w:eastAsia="Arial" w:hAnsi="Arial"/>
          <w:sz w:val="11"/>
          <w:szCs w:val="11"/>
          <w:b w:val="1"/>
          <w:bCs w:val="1"/>
          <w:color w:val="auto"/>
        </w:rPr>
        <w:t>Indebtedness</w:t>
      </w:r>
      <w:r>
        <w:rPr>
          <w:rFonts w:ascii="Arial" w:cs="Arial" w:eastAsia="Arial" w:hAnsi="Arial"/>
          <w:sz w:val="11"/>
          <w:szCs w:val="11"/>
          <w:color w:val="auto"/>
        </w:rPr>
        <w:t>. Create, incur, assume or suffer to exist any Indebtedness, except:</w:t>
      </w:r>
    </w:p>
    <w:p>
      <w:pPr>
        <w:spacing w:after="0" w:line="194" w:lineRule="exact"/>
        <w:rPr>
          <w:sz w:val="20"/>
          <w:szCs w:val="20"/>
          <w:color w:val="auto"/>
        </w:rPr>
      </w:pPr>
    </w:p>
    <w:p>
      <w:pPr>
        <w:ind w:right="100" w:firstLine="498"/>
        <w:spacing w:after="0" w:line="266" w:lineRule="auto"/>
        <w:tabs>
          <w:tab w:leader="none" w:pos="78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 xml:space="preserve">obligations (contingent or otherwise) existing or arising under any Swap Contract,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obligations are (or were) entered into by such Person in the ordinary course of business for the purpose of mitigating risks associated with fluctuations in interest rates or foreign exchange rates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88</w:t>
      </w:r>
    </w:p>
    <w:p>
      <w:pPr>
        <w:sectPr>
          <w:pgSz w:w="11900" w:h="16838" w:orient="portrait"/>
          <w:cols w:equalWidth="0" w:num="1">
            <w:col w:w="11280"/>
          </w:cols>
          <w:pgMar w:left="300" w:top="129" w:right="3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98"/>
        <w:spacing w:after="0" w:line="322" w:lineRule="auto"/>
        <w:tabs>
          <w:tab w:leader="none" w:pos="793" w:val="left"/>
        </w:tabs>
        <w:numPr>
          <w:ilvl w:val="0"/>
          <w:numId w:val="134"/>
        </w:numPr>
        <w:rPr>
          <w:rFonts w:ascii="Arial" w:cs="Arial" w:eastAsia="Arial" w:hAnsi="Arial"/>
          <w:sz w:val="11"/>
          <w:szCs w:val="11"/>
          <w:color w:val="auto"/>
        </w:rPr>
      </w:pPr>
      <w:r>
        <w:rPr>
          <w:rFonts w:ascii="Arial" w:cs="Arial" w:eastAsia="Arial" w:hAnsi="Arial"/>
          <w:sz w:val="11"/>
          <w:szCs w:val="11"/>
          <w:color w:val="auto"/>
        </w:rPr>
        <w:t xml:space="preserve">(i) Indebtedness evidenced by the Convertible Notes, (ii) additional Indebtedness of the Borrower issued under the Convertible Notes Documents or other unsecured convertible notes;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immediately before and immediately after giving pro forma effect to the incurrence of such Indebtedness under this clause (ii), (A) no Event of Default shall have occurred and be continuing, and (B) the Borrower and its Subsidiaries shall be in pro forma compliance with all of the covenants set forth in </w:t>
      </w:r>
      <w:r>
        <w:rPr>
          <w:rFonts w:ascii="Arial" w:cs="Arial" w:eastAsia="Arial" w:hAnsi="Arial"/>
          <w:sz w:val="11"/>
          <w:szCs w:val="11"/>
          <w:u w:val="single" w:color="auto"/>
          <w:color w:val="auto"/>
        </w:rPr>
        <w:t>Section 7.11</w:t>
      </w:r>
      <w:r>
        <w:rPr>
          <w:rFonts w:ascii="Arial" w:cs="Arial" w:eastAsia="Arial" w:hAnsi="Arial"/>
          <w:sz w:val="11"/>
          <w:szCs w:val="11"/>
          <w:color w:val="auto"/>
        </w:rPr>
        <w:t xml:space="preserve">, such compliance to be determined on the basis of the financial information most recently delivered to the Administrative Agent and the Lenders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as though such Indebtedness had been incurred as of the first day of the fiscal period covered thereby and (iii) any refinancings, refundings, renewals or extensions of Indebtedness evidenced by the Convertible Notes;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this clause (iii) the amount of such Indebtedness is not increased (other than in accordance with clause (ii) of this </w:t>
      </w:r>
      <w:r>
        <w:rPr>
          <w:rFonts w:ascii="Arial" w:cs="Arial" w:eastAsia="Arial" w:hAnsi="Arial"/>
          <w:sz w:val="11"/>
          <w:szCs w:val="11"/>
          <w:u w:val="single" w:color="auto"/>
          <w:color w:val="auto"/>
        </w:rPr>
        <w:t>Section 7.02(b)</w:t>
      </w:r>
      <w:r>
        <w:rPr>
          <w:rFonts w:ascii="Arial" w:cs="Arial" w:eastAsia="Arial" w:hAnsi="Arial"/>
          <w:sz w:val="11"/>
          <w:szCs w:val="11"/>
          <w:color w:val="auto"/>
        </w:rPr>
        <w:t xml:space="preserve">)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as a result of or in connection with such refinancing, refunding, renewal or extension;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in the case of this clause (iii) the terms relating to principal amount, amortization, maturity, collateral (if any) and subordination (if any), and other market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or otherwise reflect market terms at the time as reasonably determined by the Borrower, and the interest rate applicable to any such refinancing, refunding, renewing or extending Indebtedness does not exceed the then applicable market interest rate, as reasonably determined by the Borrower;</w:t>
      </w:r>
    </w:p>
    <w:p>
      <w:pPr>
        <w:spacing w:after="0" w:line="299" w:lineRule="exact"/>
        <w:rPr>
          <w:rFonts w:ascii="Arial" w:cs="Arial" w:eastAsia="Arial" w:hAnsi="Arial"/>
          <w:sz w:val="11"/>
          <w:szCs w:val="11"/>
          <w:color w:val="auto"/>
        </w:rPr>
      </w:pPr>
    </w:p>
    <w:p>
      <w:pPr>
        <w:ind w:right="80" w:firstLine="498"/>
        <w:spacing w:after="0" w:line="256" w:lineRule="auto"/>
        <w:tabs>
          <w:tab w:leader="none" w:pos="78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Indebtedness of (A) a Subsidiary of the Borrower owed to the Borrower or a wholly-owned Domestic Subsidiary of the Borrower, (B) any Loan Party owed to any other Loan Party, which Indebtedness, in each case of clauses (A) and (B) shall, in the case of Indebtedness owed to the Borrower or another Loan Party, constitute “Pledged Collateral” under the Security Agreement, and (C) any Subsidiaries of the Borrower that are not Loan Parties owed to any Subsidiaries of the Borrower that are not Loan Parties;</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Indebtedness under the Loan Documents;</w:t>
      </w:r>
    </w:p>
    <w:p>
      <w:pPr>
        <w:spacing w:after="0" w:line="189" w:lineRule="exact"/>
        <w:rPr>
          <w:rFonts w:ascii="Arial" w:cs="Arial" w:eastAsia="Arial" w:hAnsi="Arial"/>
          <w:sz w:val="14"/>
          <w:szCs w:val="14"/>
          <w:color w:val="auto"/>
        </w:rPr>
      </w:pPr>
    </w:p>
    <w:p>
      <w:pPr>
        <w:ind w:firstLine="498"/>
        <w:spacing w:after="0" w:line="271" w:lineRule="auto"/>
        <w:tabs>
          <w:tab w:leader="none" w:pos="785"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Indebtedness outstanding on the date hereof and listed on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and any refinancings, refundings, renewals or extensions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or otherwise reflect market terms at the time as reasonably determined by the Borrower;</w:t>
      </w:r>
    </w:p>
    <w:p>
      <w:pPr>
        <w:spacing w:after="0" w:line="159" w:lineRule="exact"/>
        <w:rPr>
          <w:rFonts w:ascii="Arial" w:cs="Arial" w:eastAsia="Arial" w:hAnsi="Arial"/>
          <w:sz w:val="13"/>
          <w:szCs w:val="13"/>
          <w:color w:val="auto"/>
        </w:rPr>
      </w:pPr>
    </w:p>
    <w:p>
      <w:pPr>
        <w:ind w:left="780" w:hanging="282"/>
        <w:spacing w:after="0"/>
        <w:tabs>
          <w:tab w:leader="none" w:pos="7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Guarantees of the Borrower or any Guarantor in respect of Indebtedness otherwise permitted hereunder of the Borrower or any other Guarantor;</w:t>
      </w:r>
    </w:p>
    <w:p>
      <w:pPr>
        <w:spacing w:after="0" w:line="189" w:lineRule="exact"/>
        <w:rPr>
          <w:rFonts w:ascii="Arial" w:cs="Arial" w:eastAsia="Arial" w:hAnsi="Arial"/>
          <w:sz w:val="14"/>
          <w:szCs w:val="14"/>
          <w:color w:val="auto"/>
        </w:rPr>
      </w:pPr>
    </w:p>
    <w:p>
      <w:pPr>
        <w:ind w:right="420" w:firstLine="498"/>
        <w:spacing w:after="0" w:line="266" w:lineRule="auto"/>
        <w:tabs>
          <w:tab w:leader="none" w:pos="793" w:val="left"/>
        </w:tabs>
        <w:numPr>
          <w:ilvl w:val="0"/>
          <w:numId w:val="134"/>
        </w:numPr>
        <w:rPr>
          <w:rFonts w:ascii="Arial" w:cs="Arial" w:eastAsia="Arial" w:hAnsi="Arial"/>
          <w:sz w:val="14"/>
          <w:szCs w:val="14"/>
          <w:color w:val="auto"/>
        </w:rPr>
      </w:pPr>
      <w:r>
        <w:rPr>
          <w:rFonts w:ascii="Arial" w:cs="Arial" w:eastAsia="Arial" w:hAnsi="Arial"/>
          <w:sz w:val="14"/>
          <w:szCs w:val="14"/>
          <w:color w:val="auto"/>
        </w:rPr>
        <w:t xml:space="preserve">Indebtedness in respect of Capitalized Leases, Synthetic Lease Obligations and purchase money obligations for fixed or capital assets within the limitations set forth in </w:t>
      </w:r>
      <w:r>
        <w:rPr>
          <w:rFonts w:ascii="Arial" w:cs="Arial" w:eastAsia="Arial" w:hAnsi="Arial"/>
          <w:sz w:val="14"/>
          <w:szCs w:val="14"/>
          <w:u w:val="single" w:color="auto"/>
          <w:color w:val="auto"/>
        </w:rPr>
        <w:t>Section 7.01(i)</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aggregate amount of all such Indebtedness at any one time outstanding shall not exceed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89</w:t>
      </w:r>
    </w:p>
    <w:p>
      <w:pPr>
        <w:sectPr>
          <w:pgSz w:w="11900" w:h="16838" w:orient="portrait"/>
          <w:cols w:equalWidth="0" w:num="1">
            <w:col w:w="11280"/>
          </w:cols>
          <w:pgMar w:left="300" w:top="129"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498"/>
        <w:spacing w:after="0" w:line="256" w:lineRule="auto"/>
        <w:tabs>
          <w:tab w:leader="none" w:pos="793"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Indebtedness of any Person that becomes a Subsidiary of the Borrower after the date hereof in accordance with the terms of </w:t>
      </w:r>
      <w:r>
        <w:rPr>
          <w:rFonts w:ascii="Arial" w:cs="Arial" w:eastAsia="Arial" w:hAnsi="Arial"/>
          <w:sz w:val="14"/>
          <w:szCs w:val="14"/>
          <w:u w:val="single" w:color="auto"/>
          <w:color w:val="auto"/>
        </w:rPr>
        <w:t>Section 7.03(g)</w:t>
      </w:r>
      <w:r>
        <w:rPr>
          <w:rFonts w:ascii="Arial" w:cs="Arial" w:eastAsia="Arial" w:hAnsi="Arial"/>
          <w:sz w:val="14"/>
          <w:szCs w:val="14"/>
          <w:color w:val="auto"/>
        </w:rPr>
        <w:t xml:space="preserve">, which Indebtedness is existing at the time such Person becomes a Subsidiary of the Borrower (other than Indebtedness incurred solely in contemplation of such Person’s becoming a Subsidiary of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aggregate amount of all such Indebtedness shall not exceed $30,000,000 in the aggregate at any time;</w:t>
      </w:r>
    </w:p>
    <w:p>
      <w:pPr>
        <w:spacing w:after="0" w:line="165" w:lineRule="exact"/>
        <w:rPr>
          <w:rFonts w:ascii="Arial" w:cs="Arial" w:eastAsia="Arial" w:hAnsi="Arial"/>
          <w:sz w:val="14"/>
          <w:szCs w:val="14"/>
          <w:color w:val="auto"/>
        </w:rPr>
      </w:pPr>
    </w:p>
    <w:p>
      <w:pPr>
        <w:ind w:right="80" w:firstLine="498"/>
        <w:spacing w:after="0" w:line="252" w:lineRule="auto"/>
        <w:tabs>
          <w:tab w:leader="none" w:pos="76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unsecured Indebtedness in an aggregate principal amount not to exceed $20,000,000 at any time outstanding;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Consolidated Net Leverage Ratio of the Borrower, calculated on a pro forma basis for the most recent Measurement Period after giving effect to such Indebtedness, would not result in a Consolidated Net Leverage Ratio greater than the then applicable ratio specified in </w:t>
      </w:r>
      <w:r>
        <w:rPr>
          <w:rFonts w:ascii="Arial" w:cs="Arial" w:eastAsia="Arial" w:hAnsi="Arial"/>
          <w:sz w:val="14"/>
          <w:szCs w:val="14"/>
          <w:u w:val="single" w:color="auto"/>
          <w:color w:val="auto"/>
        </w:rPr>
        <w:t>Section 7.11(b)</w:t>
      </w:r>
      <w:r>
        <w:rPr>
          <w:rFonts w:ascii="Arial" w:cs="Arial" w:eastAsia="Arial" w:hAnsi="Arial"/>
          <w:sz w:val="14"/>
          <w:szCs w:val="14"/>
          <w:color w:val="auto"/>
        </w:rPr>
        <w:t xml:space="preserve"> (determined on the basis of the financial information most recently delivered to the Administrative Agent and the Lenders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as though such Indebtedness had been incurred as of the first day of the fiscal period covered thereby);</w:t>
      </w:r>
    </w:p>
    <w:p>
      <w:pPr>
        <w:spacing w:after="0" w:line="169" w:lineRule="exact"/>
        <w:rPr>
          <w:rFonts w:ascii="Arial" w:cs="Arial" w:eastAsia="Arial" w:hAnsi="Arial"/>
          <w:sz w:val="14"/>
          <w:szCs w:val="14"/>
          <w:color w:val="auto"/>
        </w:rPr>
      </w:pPr>
    </w:p>
    <w:p>
      <w:pPr>
        <w:ind w:right="460" w:firstLine="498"/>
        <w:spacing w:after="0" w:line="266" w:lineRule="auto"/>
        <w:tabs>
          <w:tab w:leader="none" w:pos="76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other Indebtedness in an aggregate principal amount not to exceed the greater of (i) 20% of Consolidated EBITDA for the most recent Measurement Period prior to incurrence of such Indebtedness and (ii) $20,000,000 at any time outstanding;</w:t>
      </w:r>
    </w:p>
    <w:p>
      <w:pPr>
        <w:spacing w:after="0" w:line="158" w:lineRule="exact"/>
        <w:rPr>
          <w:rFonts w:ascii="Arial" w:cs="Arial" w:eastAsia="Arial" w:hAnsi="Arial"/>
          <w:sz w:val="14"/>
          <w:szCs w:val="14"/>
          <w:color w:val="auto"/>
        </w:rPr>
      </w:pPr>
    </w:p>
    <w:p>
      <w:pPr>
        <w:ind w:left="800" w:hanging="302"/>
        <w:spacing w:after="0"/>
        <w:tabs>
          <w:tab w:leader="none" w:pos="8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Indebtedness relating to endorsements of negotiable instruments received by a Loan Party in ordinary course of such Loan Party’s business;</w:t>
      </w:r>
    </w:p>
    <w:p>
      <w:pPr>
        <w:spacing w:after="0" w:line="189" w:lineRule="exact"/>
        <w:rPr>
          <w:rFonts w:ascii="Arial" w:cs="Arial" w:eastAsia="Arial" w:hAnsi="Arial"/>
          <w:sz w:val="14"/>
          <w:szCs w:val="14"/>
          <w:color w:val="auto"/>
        </w:rPr>
      </w:pPr>
    </w:p>
    <w:p>
      <w:pPr>
        <w:ind w:left="760" w:hanging="262"/>
        <w:spacing w:after="0"/>
        <w:tabs>
          <w:tab w:leader="none" w:pos="76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Indebtedness incurred in the ordinary course of business under performance, bid, statutory, surety, customs and appeal bonds aggregating not more than $10,000,000 at any time outstanding;</w:t>
      </w:r>
    </w:p>
    <w:p>
      <w:pPr>
        <w:spacing w:after="0" w:line="224" w:lineRule="exact"/>
        <w:rPr>
          <w:rFonts w:ascii="Arial" w:cs="Arial" w:eastAsia="Arial" w:hAnsi="Arial"/>
          <w:sz w:val="11"/>
          <w:szCs w:val="11"/>
          <w:color w:val="auto"/>
        </w:rPr>
      </w:pPr>
    </w:p>
    <w:p>
      <w:pPr>
        <w:ind w:left="840" w:hanging="342"/>
        <w:spacing w:after="0"/>
        <w:tabs>
          <w:tab w:leader="none" w:pos="8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Indebtedness incurred in respect of any Secured Cash Management Agreement;</w:t>
      </w:r>
    </w:p>
    <w:p>
      <w:pPr>
        <w:spacing w:after="0" w:line="189" w:lineRule="exact"/>
        <w:rPr>
          <w:rFonts w:ascii="Arial" w:cs="Arial" w:eastAsia="Arial" w:hAnsi="Arial"/>
          <w:sz w:val="14"/>
          <w:szCs w:val="14"/>
          <w:color w:val="auto"/>
        </w:rPr>
      </w:pPr>
    </w:p>
    <w:p>
      <w:pPr>
        <w:ind w:right="260" w:firstLine="498"/>
        <w:spacing w:after="0" w:line="404" w:lineRule="auto"/>
        <w:tabs>
          <w:tab w:leader="none" w:pos="793" w:val="left"/>
        </w:tabs>
        <w:numPr>
          <w:ilvl w:val="0"/>
          <w:numId w:val="135"/>
        </w:numPr>
        <w:rPr>
          <w:rFonts w:ascii="Arial" w:cs="Arial" w:eastAsia="Arial" w:hAnsi="Arial"/>
          <w:sz w:val="11"/>
          <w:szCs w:val="11"/>
          <w:color w:val="auto"/>
        </w:rPr>
      </w:pPr>
      <w:r>
        <w:rPr>
          <w:rFonts w:ascii="Arial" w:cs="Arial" w:eastAsia="Arial" w:hAnsi="Arial"/>
          <w:sz w:val="11"/>
          <w:szCs w:val="11"/>
          <w:color w:val="auto"/>
        </w:rPr>
        <w:t>accounts payable to trade creditors for goods and services and current operating liabilities (not the result of the borrowing of money) incurred in the ordinary course of Borrower’s or its Subsidiary’s business in accordance with customary terms and paid within the specified time, unless contested in good faith by appropriate proceedings and reserved for in accordance with GAAP; and</w:t>
      </w:r>
    </w:p>
    <w:p>
      <w:pPr>
        <w:spacing w:after="0" w:line="89" w:lineRule="exact"/>
        <w:rPr>
          <w:rFonts w:ascii="Arial" w:cs="Arial" w:eastAsia="Arial" w:hAnsi="Arial"/>
          <w:sz w:val="11"/>
          <w:szCs w:val="11"/>
          <w:color w:val="auto"/>
        </w:rPr>
      </w:pPr>
    </w:p>
    <w:p>
      <w:pPr>
        <w:ind w:left="800" w:hanging="302"/>
        <w:spacing w:after="0"/>
        <w:tabs>
          <w:tab w:leader="none" w:pos="8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Permitted Priority Debt; provided that such Indebtedness does not exceed $25,000,000 in the aggregate at any time outstanding.</w:t>
      </w:r>
    </w:p>
    <w:p>
      <w:pPr>
        <w:spacing w:after="0" w:line="18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7.03</w:t>
      </w:r>
      <w:r>
        <w:rPr>
          <w:sz w:val="20"/>
          <w:szCs w:val="20"/>
          <w:color w:val="auto"/>
        </w:rPr>
        <w:tab/>
      </w:r>
      <w:r>
        <w:rPr>
          <w:rFonts w:ascii="Arial" w:cs="Arial" w:eastAsia="Arial" w:hAnsi="Arial"/>
          <w:sz w:val="11"/>
          <w:szCs w:val="11"/>
          <w:b w:val="1"/>
          <w:bCs w:val="1"/>
          <w:color w:val="auto"/>
        </w:rPr>
        <w:t>Investments</w:t>
      </w:r>
      <w:r>
        <w:rPr>
          <w:rFonts w:ascii="Arial" w:cs="Arial" w:eastAsia="Arial" w:hAnsi="Arial"/>
          <w:sz w:val="11"/>
          <w:szCs w:val="11"/>
          <w:color w:val="auto"/>
        </w:rPr>
        <w:t>. Make or hold any Investments, except:</w:t>
      </w:r>
    </w:p>
    <w:p>
      <w:pPr>
        <w:spacing w:after="0" w:line="194" w:lineRule="exact"/>
        <w:rPr>
          <w:sz w:val="20"/>
          <w:szCs w:val="20"/>
          <w:color w:val="auto"/>
        </w:rPr>
      </w:pPr>
    </w:p>
    <w:p>
      <w:pPr>
        <w:ind w:left="780" w:hanging="282"/>
        <w:spacing w:after="0"/>
        <w:tabs>
          <w:tab w:leader="none" w:pos="7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Investments held by the Borrower and its Subsidiaries in the form of Cash Equivalents;</w:t>
      </w:r>
    </w:p>
    <w:p>
      <w:pPr>
        <w:spacing w:after="0" w:line="189" w:lineRule="exact"/>
        <w:rPr>
          <w:rFonts w:ascii="Arial" w:cs="Arial" w:eastAsia="Arial" w:hAnsi="Arial"/>
          <w:sz w:val="14"/>
          <w:szCs w:val="14"/>
          <w:color w:val="auto"/>
        </w:rPr>
      </w:pPr>
    </w:p>
    <w:p>
      <w:pPr>
        <w:ind w:right="200" w:firstLine="498"/>
        <w:spacing w:after="0" w:line="266" w:lineRule="auto"/>
        <w:tabs>
          <w:tab w:leader="none" w:pos="793"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advances to officers, directors and employees of the Borrower and Subsidiaries in an aggregate amount not to exceed $10,000,000 at any time outstanding, for loans, travel, entertainment, relocation and analogous ordinary business purposes;</w:t>
      </w:r>
    </w:p>
    <w:p>
      <w:pPr>
        <w:spacing w:after="0" w:line="158" w:lineRule="exact"/>
        <w:rPr>
          <w:rFonts w:ascii="Arial" w:cs="Arial" w:eastAsia="Arial" w:hAnsi="Arial"/>
          <w:sz w:val="14"/>
          <w:szCs w:val="14"/>
          <w:color w:val="auto"/>
        </w:rPr>
      </w:pPr>
    </w:p>
    <w:p>
      <w:pPr>
        <w:ind w:right="80" w:firstLine="498"/>
        <w:spacing w:after="0" w:line="343" w:lineRule="auto"/>
        <w:tabs>
          <w:tab w:leader="none" w:pos="785"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 Investments by the Borrower and its Subsidiaries in their respective Subsidiaries outstanding as of the Closing Date,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wholly-owned Foreign Subsidiaries that are not Loan Parties in an aggregate amount invested from the date hereof not to exceed the greater of (i) 50% of Consolidated EBITDA for the most recent Measurement Period prior to incurrence of such Indebtedness and (ii) $50,000,000;</w:t>
      </w:r>
    </w:p>
    <w:p>
      <w:pPr>
        <w:spacing w:after="0" w:line="122" w:lineRule="exact"/>
        <w:rPr>
          <w:rFonts w:ascii="Arial" w:cs="Arial" w:eastAsia="Arial" w:hAnsi="Arial"/>
          <w:sz w:val="11"/>
          <w:szCs w:val="11"/>
          <w:color w:val="auto"/>
        </w:rPr>
      </w:pPr>
    </w:p>
    <w:p>
      <w:pPr>
        <w:ind w:right="20" w:firstLine="498"/>
        <w:spacing w:after="0" w:line="305" w:lineRule="auto"/>
        <w:tabs>
          <w:tab w:leader="none" w:pos="79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90</w:t>
      </w:r>
    </w:p>
    <w:p>
      <w:pPr>
        <w:sectPr>
          <w:pgSz w:w="11900" w:h="16838" w:orient="portrait"/>
          <w:cols w:equalWidth="0" w:num="1">
            <w:col w:w="11280"/>
          </w:cols>
          <w:pgMar w:left="300" w:top="129" w:right="3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60" w:firstLine="498"/>
        <w:spacing w:after="0" w:line="266" w:lineRule="auto"/>
        <w:tabs>
          <w:tab w:leader="none" w:pos="78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to the extent constituting Investments, Liens permitted under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Guarantees permitted by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Dispositions permitted under </w:t>
      </w:r>
      <w:r>
        <w:rPr>
          <w:rFonts w:ascii="Arial" w:cs="Arial" w:eastAsia="Arial" w:hAnsi="Arial"/>
          <w:sz w:val="14"/>
          <w:szCs w:val="14"/>
          <w:u w:val="single" w:color="auto"/>
          <w:color w:val="auto"/>
        </w:rPr>
        <w:t>Section 7.05</w:t>
      </w:r>
      <w:r>
        <w:rPr>
          <w:rFonts w:ascii="Arial" w:cs="Arial" w:eastAsia="Arial" w:hAnsi="Arial"/>
          <w:sz w:val="14"/>
          <w:szCs w:val="14"/>
          <w:color w:val="auto"/>
        </w:rPr>
        <w:t xml:space="preserve">, Investments permitted under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and Investments arising as a result of payments permitted by </w:t>
      </w:r>
      <w:r>
        <w:rPr>
          <w:rFonts w:ascii="Arial" w:cs="Arial" w:eastAsia="Arial" w:hAnsi="Arial"/>
          <w:sz w:val="14"/>
          <w:szCs w:val="14"/>
          <w:u w:val="single" w:color="auto"/>
          <w:color w:val="auto"/>
        </w:rPr>
        <w:t>Section 7.16</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ind w:right="100" w:firstLine="498"/>
        <w:spacing w:after="0" w:line="305" w:lineRule="auto"/>
        <w:tabs>
          <w:tab w:leader="none" w:pos="77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Investments existing on the date hereof (other than those referred to in </w:t>
      </w:r>
      <w:r>
        <w:rPr>
          <w:rFonts w:ascii="Arial" w:cs="Arial" w:eastAsia="Arial" w:hAnsi="Arial"/>
          <w:sz w:val="13"/>
          <w:szCs w:val="13"/>
          <w:u w:val="single" w:color="auto"/>
          <w:color w:val="auto"/>
        </w:rPr>
        <w:t>Section 7.03(c)(i)</w:t>
      </w:r>
      <w:r>
        <w:rPr>
          <w:rFonts w:ascii="Arial" w:cs="Arial" w:eastAsia="Arial" w:hAnsi="Arial"/>
          <w:sz w:val="13"/>
          <w:szCs w:val="13"/>
          <w:color w:val="auto"/>
        </w:rPr>
        <w:t xml:space="preserve">) and set forth on </w:t>
      </w:r>
      <w:r>
        <w:rPr>
          <w:rFonts w:ascii="Arial" w:cs="Arial" w:eastAsia="Arial" w:hAnsi="Arial"/>
          <w:sz w:val="13"/>
          <w:szCs w:val="13"/>
          <w:u w:val="single" w:color="auto"/>
          <w:color w:val="auto"/>
        </w:rPr>
        <w:t>Schedule 7.03</w:t>
      </w:r>
      <w:r>
        <w:rPr>
          <w:rFonts w:ascii="Arial" w:cs="Arial" w:eastAsia="Arial" w:hAnsi="Arial"/>
          <w:sz w:val="13"/>
          <w:szCs w:val="13"/>
          <w:color w:val="auto"/>
        </w:rPr>
        <w:t xml:space="preserve"> and any renewals, amendments and replacements thereof that do not increase the amount thereof of any such Investment, net of cash returns thereon, or require that any additional Investment be made (unless otherwise permitted hereunder);</w:t>
      </w:r>
    </w:p>
    <w:p>
      <w:pPr>
        <w:spacing w:after="0" w:line="135" w:lineRule="exact"/>
        <w:rPr>
          <w:rFonts w:ascii="Arial" w:cs="Arial" w:eastAsia="Arial" w:hAnsi="Arial"/>
          <w:sz w:val="13"/>
          <w:szCs w:val="13"/>
          <w:color w:val="auto"/>
        </w:rPr>
      </w:pPr>
    </w:p>
    <w:p>
      <w:pPr>
        <w:ind w:right="60" w:firstLine="498"/>
        <w:spacing w:after="0" w:line="256" w:lineRule="auto"/>
        <w:tabs>
          <w:tab w:leader="none" w:pos="793"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the purchase or other acquisition of all of the Equity Interests in, or all or substantially all of the property of, any Person that, upon the consummation thereof, will be wholly-owned directly by the Borrower or one or more of its wholly-owned Subsidiaries (including as a result of a merger or consolidation);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each purchase or other acquisition made pursuant to this </w:t>
      </w:r>
      <w:r>
        <w:rPr>
          <w:rFonts w:ascii="Arial" w:cs="Arial" w:eastAsia="Arial" w:hAnsi="Arial"/>
          <w:sz w:val="14"/>
          <w:szCs w:val="14"/>
          <w:u w:val="single" w:color="auto"/>
          <w:color w:val="auto"/>
        </w:rPr>
        <w:t>Section 7.03(g)</w:t>
      </w:r>
      <w:r>
        <w:rPr>
          <w:rFonts w:ascii="Arial" w:cs="Arial" w:eastAsia="Arial" w:hAnsi="Arial"/>
          <w:sz w:val="14"/>
          <w:szCs w:val="14"/>
          <w:color w:val="auto"/>
        </w:rPr>
        <w:t>:</w:t>
      </w:r>
    </w:p>
    <w:p>
      <w:pPr>
        <w:spacing w:after="0" w:line="165" w:lineRule="exact"/>
        <w:rPr>
          <w:rFonts w:ascii="Arial" w:cs="Arial" w:eastAsia="Arial" w:hAnsi="Arial"/>
          <w:sz w:val="14"/>
          <w:szCs w:val="14"/>
          <w:color w:val="auto"/>
        </w:rPr>
      </w:pPr>
    </w:p>
    <w:p>
      <w:pPr>
        <w:ind w:left="1260" w:hanging="267"/>
        <w:spacing w:after="0"/>
        <w:tabs>
          <w:tab w:leader="none" w:pos="12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 xml:space="preserve">any such newly-created or acquired Subsidiary shall comply with the requirements of </w:t>
      </w:r>
      <w:r>
        <w:rPr>
          <w:rFonts w:ascii="Arial" w:cs="Arial" w:eastAsia="Arial" w:hAnsi="Arial"/>
          <w:sz w:val="14"/>
          <w:szCs w:val="14"/>
          <w:u w:val="single" w:color="auto"/>
          <w:color w:val="auto"/>
        </w:rPr>
        <w:t>Section 6.12</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500" w:right="120" w:firstLine="493"/>
        <w:spacing w:after="0" w:line="252" w:lineRule="auto"/>
        <w:tabs>
          <w:tab w:leader="none" w:pos="130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 xml:space="preserve">(A) immediately before and immediately after giving pro forma effect to any such purchase or other acquisition, no Event of Default shall have occurred and be continuing and (B) immediately after giving effect to such purchase or other acquisition, the Borrower and its Subsidiaries shall be in pro forma compliance with all of the covenants set forth in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such compliance to be determined on the basis of the financial information most recently delivered to the Administrative Agent and the Lenders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as though such purchase or other acquisition had been consummated as of the first day of the fiscal period covered thereby; and</w:t>
      </w:r>
    </w:p>
    <w:p>
      <w:pPr>
        <w:spacing w:after="0" w:line="169" w:lineRule="exact"/>
        <w:rPr>
          <w:rFonts w:ascii="Arial" w:cs="Arial" w:eastAsia="Arial" w:hAnsi="Arial"/>
          <w:sz w:val="14"/>
          <w:szCs w:val="14"/>
          <w:color w:val="auto"/>
        </w:rPr>
      </w:pPr>
    </w:p>
    <w:p>
      <w:pPr>
        <w:ind w:left="500" w:right="200" w:firstLine="493"/>
        <w:spacing w:after="0" w:line="256" w:lineRule="auto"/>
        <w:tabs>
          <w:tab w:leader="none" w:pos="1339" w:val="left"/>
        </w:tabs>
        <w:numPr>
          <w:ilvl w:val="1"/>
          <w:numId w:val="137"/>
        </w:numPr>
        <w:rPr>
          <w:rFonts w:ascii="Arial" w:cs="Arial" w:eastAsia="Arial" w:hAnsi="Arial"/>
          <w:sz w:val="14"/>
          <w:szCs w:val="14"/>
          <w:color w:val="auto"/>
        </w:rPr>
      </w:pPr>
      <w:r>
        <w:rPr>
          <w:rFonts w:ascii="Arial" w:cs="Arial" w:eastAsia="Arial" w:hAnsi="Arial"/>
          <w:sz w:val="14"/>
          <w:szCs w:val="14"/>
          <w:color w:val="auto"/>
        </w:rPr>
        <w:t xml:space="preserve">the Borrower shall have delivered to the Administrative Agent and each Lender, on or no later than five Business Days after the date on which any such purchase or other acquisition is consummated, a certificate of a Responsible Officer, in form and substance reasonably satisfactory to the Administrative Agent and the Required Lenders, certifying that all of the requirements set forth in this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have been satisfied.</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Swap Contracts permitted pursuant to </w:t>
      </w:r>
      <w:r>
        <w:rPr>
          <w:rFonts w:ascii="Arial" w:cs="Arial" w:eastAsia="Arial" w:hAnsi="Arial"/>
          <w:sz w:val="14"/>
          <w:szCs w:val="14"/>
          <w:u w:val="single" w:color="auto"/>
          <w:color w:val="auto"/>
        </w:rPr>
        <w:t>Section 7.02(a)</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760" w:hanging="262"/>
        <w:spacing w:after="0"/>
        <w:tabs>
          <w:tab w:leader="none" w:pos="7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other Investments not exceeding $50,000,000 in the aggregate in any fiscal year of the Borrower;</w:t>
      </w:r>
    </w:p>
    <w:p>
      <w:pPr>
        <w:spacing w:after="0" w:line="189" w:lineRule="exact"/>
        <w:rPr>
          <w:rFonts w:ascii="Arial" w:cs="Arial" w:eastAsia="Arial" w:hAnsi="Arial"/>
          <w:sz w:val="14"/>
          <w:szCs w:val="14"/>
          <w:color w:val="auto"/>
        </w:rPr>
      </w:pPr>
    </w:p>
    <w:p>
      <w:pPr>
        <w:ind w:right="280" w:firstLine="498"/>
        <w:spacing w:after="0" w:line="266" w:lineRule="auto"/>
        <w:tabs>
          <w:tab w:leader="none" w:pos="762"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58" w:lineRule="exact"/>
        <w:rPr>
          <w:rFonts w:ascii="Arial" w:cs="Arial" w:eastAsia="Arial" w:hAnsi="Arial"/>
          <w:sz w:val="14"/>
          <w:szCs w:val="14"/>
          <w:color w:val="auto"/>
        </w:rPr>
      </w:pPr>
    </w:p>
    <w:p>
      <w:pPr>
        <w:ind w:right="320" w:firstLine="498"/>
        <w:spacing w:after="0" w:line="266" w:lineRule="auto"/>
        <w:tabs>
          <w:tab w:leader="none" w:pos="793"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deposits of cash made in the ordinary course of business to secure performance of (i) operating leases and (ii) other contractual obligations that do not constitute Indebtedness;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aggregate amount of all such deposits at any one time outstanding shall not exceed $10,000,000;</w:t>
      </w:r>
    </w:p>
    <w:p>
      <w:pPr>
        <w:spacing w:after="0" w:line="158" w:lineRule="exact"/>
        <w:rPr>
          <w:rFonts w:ascii="Arial" w:cs="Arial" w:eastAsia="Arial" w:hAnsi="Arial"/>
          <w:sz w:val="14"/>
          <w:szCs w:val="14"/>
          <w:color w:val="auto"/>
        </w:rPr>
      </w:pPr>
    </w:p>
    <w:p>
      <w:pPr>
        <w:ind w:right="300" w:firstLine="498"/>
        <w:spacing w:after="0" w:line="256" w:lineRule="auto"/>
        <w:tabs>
          <w:tab w:leader="none" w:pos="762"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Investments of any Person existing at the time such Person is acquired in an acquisition permitted pursuant to clause (g) above to the extent that such Investments were not made in contemplation of or in connection with such Person becoming a Subsidiary or such Permitted Acquisition, and any modification, replacement, renewal or extension thereof which does not increase the amount of such Investment unless such increase is otherwise permitted hereunder;</w:t>
      </w:r>
    </w:p>
    <w:p>
      <w:pPr>
        <w:spacing w:after="0" w:line="165" w:lineRule="exact"/>
        <w:rPr>
          <w:rFonts w:ascii="Arial" w:cs="Arial" w:eastAsia="Arial" w:hAnsi="Arial"/>
          <w:sz w:val="14"/>
          <w:szCs w:val="14"/>
          <w:color w:val="auto"/>
        </w:rPr>
      </w:pPr>
    </w:p>
    <w:p>
      <w:pPr>
        <w:ind w:left="840" w:hanging="342"/>
        <w:spacing w:after="0"/>
        <w:tabs>
          <w:tab w:leader="none" w:pos="8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Investments in the Convertible Notes or other permitted convertible notes resulting in the issuance of Equity Interests in exchange for or upon conversion of such notes;</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Investments funded with the proceeds of the issuance or sale of Equity Interests of the Borrower, or in exchange for such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91</w:t>
      </w:r>
    </w:p>
    <w:p>
      <w:pPr>
        <w:sectPr>
          <w:pgSz w:w="11900" w:h="16838" w:orient="portrait"/>
          <w:cols w:equalWidth="0" w:num="1">
            <w:col w:w="11280"/>
          </w:cols>
          <w:pgMar w:left="300" w:top="129" w:right="3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hanging="302"/>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the increase in value of any Investment otherwise permitted pursuant to this </w:t>
      </w:r>
      <w:r>
        <w:rPr>
          <w:rFonts w:ascii="Arial" w:cs="Arial" w:eastAsia="Arial" w:hAnsi="Arial"/>
          <w:sz w:val="14"/>
          <w:szCs w:val="14"/>
          <w:u w:val="single" w:color="auto"/>
          <w:color w:val="auto"/>
        </w:rPr>
        <w:t>Section 7.03</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Investments in the ordinary course consisting of UCC Article 3 endorsements for collection or deposit and UCC Article 4 customary trade arrangements with customers consistent with past</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practices;</w:t>
      </w:r>
    </w:p>
    <w:p>
      <w:pPr>
        <w:spacing w:after="0" w:line="180" w:lineRule="exact"/>
        <w:rPr>
          <w:rFonts w:ascii="Arial" w:cs="Arial" w:eastAsia="Arial" w:hAnsi="Arial"/>
          <w:sz w:val="11"/>
          <w:szCs w:val="11"/>
          <w:color w:val="auto"/>
        </w:rPr>
      </w:pPr>
    </w:p>
    <w:p>
      <w:pPr>
        <w:ind w:left="800" w:hanging="302"/>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to the extent constituting Investments, purchases and acquisitions of inventory, supplies, materials and equipment in the ordinary course of business; and</w:t>
      </w:r>
    </w:p>
    <w:p>
      <w:pPr>
        <w:spacing w:after="0" w:line="189" w:lineRule="exact"/>
        <w:rPr>
          <w:rFonts w:ascii="Arial" w:cs="Arial" w:eastAsia="Arial" w:hAnsi="Arial"/>
          <w:sz w:val="14"/>
          <w:szCs w:val="14"/>
          <w:color w:val="auto"/>
        </w:rPr>
      </w:pPr>
    </w:p>
    <w:p>
      <w:pPr>
        <w:ind w:right="340" w:firstLine="498"/>
        <w:spacing w:after="0" w:line="266" w:lineRule="auto"/>
        <w:tabs>
          <w:tab w:leader="none" w:pos="77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licenses, sublicenses, covenants not to sue, releases or similar rights or immunities with respect to IP Rights, in each case, in the ordinary course of business or in the good faith business judgment of Borrower.</w:t>
      </w:r>
    </w:p>
    <w:p>
      <w:pPr>
        <w:spacing w:after="0" w:line="155" w:lineRule="exact"/>
        <w:rPr>
          <w:sz w:val="20"/>
          <w:szCs w:val="20"/>
          <w:color w:val="auto"/>
        </w:rPr>
      </w:pPr>
    </w:p>
    <w:p>
      <w:pPr>
        <w:ind w:right="60" w:firstLine="495"/>
        <w:spacing w:after="0" w:line="411" w:lineRule="auto"/>
        <w:rPr>
          <w:sz w:val="20"/>
          <w:szCs w:val="20"/>
          <w:color w:val="auto"/>
        </w:rPr>
      </w:pPr>
      <w:r>
        <w:rPr>
          <w:rFonts w:ascii="Arial" w:cs="Arial" w:eastAsia="Arial" w:hAnsi="Arial"/>
          <w:sz w:val="11"/>
          <w:szCs w:val="11"/>
          <w:b w:val="1"/>
          <w:bCs w:val="1"/>
          <w:color w:val="auto"/>
        </w:rPr>
        <w:t>7.04 Fundamental Changes</w:t>
      </w:r>
      <w:r>
        <w:rPr>
          <w:rFonts w:ascii="Arial" w:cs="Arial" w:eastAsia="Arial" w:hAnsi="Arial"/>
          <w:sz w:val="11"/>
          <w:szCs w:val="11"/>
          <w:color w:val="auto"/>
        </w:rPr>
        <w:t>. Merge, dissolve, liquidate, consolidate with or into another Person, or Dispose of (whether in one transaction or in a series of transactions) all or substantially all</w:t>
      </w:r>
      <w:r>
        <w:rPr>
          <w:rFonts w:ascii="Arial" w:cs="Arial" w:eastAsia="Arial" w:hAnsi="Arial"/>
          <w:sz w:val="11"/>
          <w:szCs w:val="11"/>
          <w:b w:val="1"/>
          <w:bCs w:val="1"/>
          <w:color w:val="auto"/>
        </w:rPr>
        <w:t xml:space="preserve"> </w:t>
      </w:r>
      <w:r>
        <w:rPr>
          <w:rFonts w:ascii="Arial" w:cs="Arial" w:eastAsia="Arial" w:hAnsi="Arial"/>
          <w:sz w:val="11"/>
          <w:szCs w:val="11"/>
          <w:color w:val="auto"/>
        </w:rPr>
        <w:t>of its assets (whether now owned or hereafter acquired) to or in favor of any Person (including, in each case, pursuant to a Division), except that, so long as no Default exists or would result therefrom:</w:t>
      </w:r>
    </w:p>
    <w:p>
      <w:pPr>
        <w:spacing w:after="0" w:line="86" w:lineRule="exact"/>
        <w:rPr>
          <w:sz w:val="20"/>
          <w:szCs w:val="20"/>
          <w:color w:val="auto"/>
        </w:rPr>
      </w:pPr>
    </w:p>
    <w:p>
      <w:pPr>
        <w:jc w:val="both"/>
        <w:ind w:right="120" w:firstLine="498"/>
        <w:spacing w:after="0" w:line="256" w:lineRule="auto"/>
        <w:tabs>
          <w:tab w:leader="none" w:pos="785"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any Subsidiary may merge with (i)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shall be the continuing or surviving Person, or (ii) any one or more other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when any wholly-owned Subsidiary is merging with another Subsidiary, such wholly-owned Subsidiary or another wholly-owned Subsidiary shall be the continuing or surviving Person; provided further, that when any Material Subsidiary is merging with another Subsidiary, the surviving Subsidiary shall be a Material Subsidiary;</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Loan Party may Dispose of all or substantially all of its assets (upon voluntary liquidation or otherwise) to the Borrower or to another Loan Party;</w:t>
      </w:r>
    </w:p>
    <w:p>
      <w:pPr>
        <w:spacing w:after="0" w:line="189" w:lineRule="exact"/>
        <w:rPr>
          <w:rFonts w:ascii="Arial" w:cs="Arial" w:eastAsia="Arial" w:hAnsi="Arial"/>
          <w:sz w:val="14"/>
          <w:szCs w:val="14"/>
          <w:color w:val="auto"/>
        </w:rPr>
      </w:pPr>
    </w:p>
    <w:p>
      <w:pPr>
        <w:ind w:right="200" w:firstLine="498"/>
        <w:spacing w:after="0" w:line="266" w:lineRule="auto"/>
        <w:tabs>
          <w:tab w:leader="none" w:pos="785"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Subsidiary that is not a Loan Party may dispose of all or substantially all its assets (including any Disposition that is in the nature of a liquidation) to (i) another Subsidiary that is not a Loan Party or (ii) to a Loan Party;</w:t>
      </w:r>
    </w:p>
    <w:p>
      <w:pPr>
        <w:spacing w:after="0" w:line="158" w:lineRule="exact"/>
        <w:rPr>
          <w:rFonts w:ascii="Arial" w:cs="Arial" w:eastAsia="Arial" w:hAnsi="Arial"/>
          <w:sz w:val="14"/>
          <w:szCs w:val="14"/>
          <w:color w:val="auto"/>
        </w:rPr>
      </w:pPr>
    </w:p>
    <w:p>
      <w:pPr>
        <w:jc w:val="both"/>
        <w:ind w:right="200" w:firstLine="498"/>
        <w:spacing w:after="0" w:line="256" w:lineRule="auto"/>
        <w:tabs>
          <w:tab w:leader="none" w:pos="793"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in connection with any acquisition permitted under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any Subsidiary of the Borrower may merge into or consolidate with any other Person or permit any other Person to merge into or consolidate with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Person surviving such merger shall be a wholly-owned Subsidiary of the Borrower and (ii) in the case of any such merger to which any Loan Party (other than the Borrower) is a party, such Loan Party or another Loan Party is the surviving Person;</w:t>
      </w:r>
    </w:p>
    <w:p>
      <w:pPr>
        <w:spacing w:after="0" w:line="165" w:lineRule="exact"/>
        <w:rPr>
          <w:rFonts w:ascii="Arial" w:cs="Arial" w:eastAsia="Arial" w:hAnsi="Arial"/>
          <w:sz w:val="14"/>
          <w:szCs w:val="14"/>
          <w:color w:val="auto"/>
        </w:rPr>
      </w:pPr>
    </w:p>
    <w:p>
      <w:pPr>
        <w:ind w:right="80" w:firstLine="498"/>
        <w:spacing w:after="0" w:line="284" w:lineRule="auto"/>
        <w:tabs>
          <w:tab w:leader="none" w:pos="785"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so long as no Default has occurred and is continuing or would result therefrom, any Subsidiary of the Borrower may merge into or consolidate with any other Person or permit any other Person to merge into or consolidate with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each case, immediately after giving effect thereto (i) in the case of any such merger to which the Borrower is a party, the Borrower is the surviving corporation and (ii) in the case of any such merger to which any Loan Party (other than the Borrower) is a party, such Loan Party is the surviving corporation; and</w:t>
      </w:r>
    </w:p>
    <w:p>
      <w:pPr>
        <w:spacing w:after="0" w:line="149" w:lineRule="exact"/>
        <w:rPr>
          <w:rFonts w:ascii="Arial" w:cs="Arial" w:eastAsia="Arial" w:hAnsi="Arial"/>
          <w:sz w:val="13"/>
          <w:szCs w:val="13"/>
          <w:color w:val="auto"/>
        </w:rPr>
      </w:pPr>
    </w:p>
    <w:p>
      <w:pPr>
        <w:ind w:left="780" w:hanging="282"/>
        <w:spacing w:after="0"/>
        <w:tabs>
          <w:tab w:leader="none" w:pos="7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Immaterial Subsidiary of the Borrower may dispose of all or substantially all of its assets, or merge or consolidate with any other Person;</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in connection with any Investment otherwise permitted under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any Disposition permitted under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or a Restricted Payment permitted under </w:t>
      </w:r>
      <w:r>
        <w:rPr>
          <w:rFonts w:ascii="Arial" w:cs="Arial" w:eastAsia="Arial" w:hAnsi="Arial"/>
          <w:sz w:val="13"/>
          <w:szCs w:val="13"/>
          <w:u w:val="single" w:color="auto"/>
          <w:color w:val="auto"/>
        </w:rPr>
        <w:t>Section 7.06</w:t>
      </w:r>
      <w:r>
        <w:rPr>
          <w:rFonts w:ascii="Arial" w:cs="Arial" w:eastAsia="Arial" w:hAnsi="Arial"/>
          <w:sz w:val="13"/>
          <w:szCs w:val="13"/>
          <w:color w:val="auto"/>
        </w:rPr>
        <w:t>.</w:t>
      </w:r>
    </w:p>
    <w:p>
      <w:pPr>
        <w:spacing w:after="0" w:line="19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7.05</w:t>
      </w:r>
      <w:r>
        <w:rPr>
          <w:sz w:val="20"/>
          <w:szCs w:val="20"/>
          <w:color w:val="auto"/>
        </w:rPr>
        <w:tab/>
      </w:r>
      <w:r>
        <w:rPr>
          <w:rFonts w:ascii="Arial" w:cs="Arial" w:eastAsia="Arial" w:hAnsi="Arial"/>
          <w:sz w:val="11"/>
          <w:szCs w:val="11"/>
          <w:b w:val="1"/>
          <w:bCs w:val="1"/>
          <w:color w:val="auto"/>
        </w:rPr>
        <w:t>Dispositions</w:t>
      </w:r>
      <w:r>
        <w:rPr>
          <w:rFonts w:ascii="Arial" w:cs="Arial" w:eastAsia="Arial" w:hAnsi="Arial"/>
          <w:sz w:val="11"/>
          <w:szCs w:val="11"/>
          <w:color w:val="auto"/>
        </w:rPr>
        <w:t>. Make any Disposition, except:</w:t>
      </w:r>
    </w:p>
    <w:p>
      <w:pPr>
        <w:spacing w:after="0" w:line="194" w:lineRule="exact"/>
        <w:rPr>
          <w:sz w:val="20"/>
          <w:szCs w:val="20"/>
          <w:color w:val="auto"/>
        </w:rPr>
      </w:pPr>
    </w:p>
    <w:p>
      <w:pPr>
        <w:ind w:firstLine="498"/>
        <w:spacing w:after="0" w:line="266" w:lineRule="auto"/>
        <w:tabs>
          <w:tab w:leader="none" w:pos="78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Dispositions of obsolete or worn out property or property no longer used or useful in the operations of any Loan Party or Subsidiary, whether now owned or hereafter acquired,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92</w:t>
      </w:r>
    </w:p>
    <w:p>
      <w:pPr>
        <w:sectPr>
          <w:pgSz w:w="11900" w:h="16838" w:orient="portrait"/>
          <w:cols w:equalWidth="0" w:num="1">
            <w:col w:w="11280"/>
          </w:cols>
          <w:pgMar w:left="300" w:top="129"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hanging="302"/>
        <w:spacing w:after="0"/>
        <w:tabs>
          <w:tab w:leader="none" w:pos="8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Dispositions of inventory in the ordinary course of business;</w:t>
      </w:r>
    </w:p>
    <w:p>
      <w:pPr>
        <w:spacing w:after="0" w:line="189" w:lineRule="exact"/>
        <w:rPr>
          <w:rFonts w:ascii="Arial" w:cs="Arial" w:eastAsia="Arial" w:hAnsi="Arial"/>
          <w:sz w:val="14"/>
          <w:szCs w:val="14"/>
          <w:color w:val="auto"/>
        </w:rPr>
      </w:pPr>
    </w:p>
    <w:p>
      <w:pPr>
        <w:ind w:right="220" w:firstLine="498"/>
        <w:spacing w:after="0" w:line="266" w:lineRule="auto"/>
        <w:tabs>
          <w:tab w:leader="none" w:pos="78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8" w:lineRule="exact"/>
        <w:rPr>
          <w:rFonts w:ascii="Arial" w:cs="Arial" w:eastAsia="Arial" w:hAnsi="Arial"/>
          <w:sz w:val="14"/>
          <w:szCs w:val="14"/>
          <w:color w:val="auto"/>
        </w:rPr>
      </w:pPr>
    </w:p>
    <w:p>
      <w:pPr>
        <w:ind w:right="260" w:firstLine="498"/>
        <w:spacing w:after="0" w:line="266" w:lineRule="auto"/>
        <w:tabs>
          <w:tab w:leader="none" w:pos="79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Dispositions of property by (A) any Subsidiary to the Borrower or to a wholly-owned Subsidiary, and (B) any Loan Party to any other Loan Party, or an entity that becomes a Loan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transferor of such property is a Guarantor, the transferee thereof must be or become a Loan Party;</w:t>
      </w:r>
    </w:p>
    <w:p>
      <w:pPr>
        <w:spacing w:after="0" w:line="158" w:lineRule="exact"/>
        <w:rPr>
          <w:rFonts w:ascii="Arial" w:cs="Arial" w:eastAsia="Arial" w:hAnsi="Arial"/>
          <w:sz w:val="14"/>
          <w:szCs w:val="14"/>
          <w:color w:val="auto"/>
        </w:rPr>
      </w:pPr>
    </w:p>
    <w:p>
      <w:pPr>
        <w:ind w:left="780" w:hanging="282"/>
        <w:spacing w:after="0"/>
        <w:tabs>
          <w:tab w:leader="none" w:pos="7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Dispositions permitted by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7.06</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780" w:hanging="282"/>
        <w:spacing w:after="0"/>
        <w:tabs>
          <w:tab w:leader="none" w:pos="78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licenses, sublicenses, covenants not to sue, releases or similar rights or immunities with respect to IP Rights granted in the ordinary course of business or in the good faith business judgment</w:t>
      </w:r>
    </w:p>
    <w:p>
      <w:pPr>
        <w:spacing w:after="0" w:line="4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of Borrower;</w:t>
      </w:r>
    </w:p>
    <w:p>
      <w:pPr>
        <w:spacing w:after="0" w:line="180" w:lineRule="exact"/>
        <w:rPr>
          <w:rFonts w:ascii="Arial" w:cs="Arial" w:eastAsia="Arial" w:hAnsi="Arial"/>
          <w:sz w:val="11"/>
          <w:szCs w:val="11"/>
          <w:color w:val="auto"/>
        </w:rPr>
      </w:pPr>
    </w:p>
    <w:p>
      <w:pPr>
        <w:jc w:val="both"/>
        <w:ind w:right="20" w:firstLine="498"/>
        <w:spacing w:after="0" w:line="284" w:lineRule="auto"/>
        <w:tabs>
          <w:tab w:leader="none" w:pos="793" w:val="left"/>
        </w:tabs>
        <w:numPr>
          <w:ilvl w:val="0"/>
          <w:numId w:val="141"/>
        </w:numPr>
        <w:rPr>
          <w:rFonts w:ascii="Arial" w:cs="Arial" w:eastAsia="Arial" w:hAnsi="Arial"/>
          <w:sz w:val="13"/>
          <w:szCs w:val="13"/>
          <w:color w:val="auto"/>
        </w:rPr>
      </w:pPr>
      <w:r>
        <w:rPr>
          <w:rFonts w:ascii="Arial" w:cs="Arial" w:eastAsia="Arial" w:hAnsi="Arial"/>
          <w:sz w:val="13"/>
          <w:szCs w:val="13"/>
          <w:color w:val="auto"/>
        </w:rPr>
        <w:t xml:space="preserve">Dispositions by the Borrower and its Subsidiaries not otherwise permitted under 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at the time of such Disposition, no Default shall exist or would result from such Disposition, (ii) the aggregate book value of all property Disposed of in reliance on this </w:t>
      </w:r>
      <w:r>
        <w:rPr>
          <w:rFonts w:ascii="Arial" w:cs="Arial" w:eastAsia="Arial" w:hAnsi="Arial"/>
          <w:sz w:val="13"/>
          <w:szCs w:val="13"/>
          <w:u w:val="single" w:color="auto"/>
          <w:color w:val="auto"/>
        </w:rPr>
        <w:t>subsection (g)</w:t>
      </w:r>
      <w:r>
        <w:rPr>
          <w:rFonts w:ascii="Arial" w:cs="Arial" w:eastAsia="Arial" w:hAnsi="Arial"/>
          <w:sz w:val="13"/>
          <w:szCs w:val="13"/>
          <w:color w:val="auto"/>
        </w:rPr>
        <w:t xml:space="preserve"> shall not exceed (A) $10,000,000 in the aggregate during any fiscal year and (B) $30,000,000 in the aggregate during the term of this Agreement and (iii) at least 75% of the price for such asset shall be paid to the Borrower or such Subsidiary in cash or Cash Equivalents;</w:t>
      </w:r>
    </w:p>
    <w:p>
      <w:pPr>
        <w:spacing w:after="0" w:line="149" w:lineRule="exact"/>
        <w:rPr>
          <w:rFonts w:ascii="Arial" w:cs="Arial" w:eastAsia="Arial" w:hAnsi="Arial"/>
          <w:sz w:val="13"/>
          <w:szCs w:val="13"/>
          <w:color w:val="auto"/>
        </w:rPr>
      </w:pPr>
    </w:p>
    <w:p>
      <w:pPr>
        <w:ind w:right="240" w:firstLine="498"/>
        <w:spacing w:after="0" w:line="256" w:lineRule="auto"/>
        <w:tabs>
          <w:tab w:leader="none" w:pos="79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 lapses or expirations of registrations or any applications for registration of any IP Rights at the end of the applicable maximum statutory term or (ii) lapses, expirations or other abandonment of any IP Rights in the good faith business judgment of Borrower, except in the case of this clause (ii) for any such lapse, expiration or abandonment that would reasonably be expected to have a Material Adverse Effect;</w:t>
      </w:r>
    </w:p>
    <w:p>
      <w:pPr>
        <w:spacing w:after="0" w:line="165" w:lineRule="exact"/>
        <w:rPr>
          <w:rFonts w:ascii="Arial" w:cs="Arial" w:eastAsia="Arial" w:hAnsi="Arial"/>
          <w:sz w:val="14"/>
          <w:szCs w:val="14"/>
          <w:color w:val="auto"/>
        </w:rPr>
      </w:pPr>
    </w:p>
    <w:p>
      <w:pPr>
        <w:ind w:left="760" w:hanging="262"/>
        <w:spacing w:after="0"/>
        <w:tabs>
          <w:tab w:leader="none" w:pos="7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Dispositions of Equity Interests in a Subsidiary that is not a Loan Party to another Subsidiary that is not a Loan Party;</w:t>
      </w:r>
    </w:p>
    <w:p>
      <w:pPr>
        <w:spacing w:after="0" w:line="189" w:lineRule="exact"/>
        <w:rPr>
          <w:rFonts w:ascii="Arial" w:cs="Arial" w:eastAsia="Arial" w:hAnsi="Arial"/>
          <w:sz w:val="14"/>
          <w:szCs w:val="14"/>
          <w:color w:val="auto"/>
        </w:rPr>
      </w:pPr>
    </w:p>
    <w:p>
      <w:pPr>
        <w:ind w:left="760" w:hanging="262"/>
        <w:spacing w:after="0"/>
        <w:tabs>
          <w:tab w:leader="none" w:pos="7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Dispositions of accounts receivable for purposes of collection in the ordinary course of business;</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Dispositions of intellectual property rights that are no longer used or useful in the business of the Borrower and its Subsidiaries;</w:t>
      </w:r>
    </w:p>
    <w:p>
      <w:pPr>
        <w:spacing w:after="0" w:line="189" w:lineRule="exact"/>
        <w:rPr>
          <w:rFonts w:ascii="Arial" w:cs="Arial" w:eastAsia="Arial" w:hAnsi="Arial"/>
          <w:sz w:val="14"/>
          <w:szCs w:val="14"/>
          <w:color w:val="auto"/>
        </w:rPr>
      </w:pPr>
    </w:p>
    <w:p>
      <w:pPr>
        <w:ind w:left="760" w:hanging="262"/>
        <w:spacing w:after="0"/>
        <w:tabs>
          <w:tab w:leader="none" w:pos="7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discount, write-off or Disposition of overdue accounts receivable or the sale of any such accounts receivable for the purpose of collection to any collection agency;</w:t>
      </w:r>
    </w:p>
    <w:p>
      <w:pPr>
        <w:spacing w:after="0" w:line="189" w:lineRule="exact"/>
        <w:rPr>
          <w:rFonts w:ascii="Arial" w:cs="Arial" w:eastAsia="Arial" w:hAnsi="Arial"/>
          <w:sz w:val="14"/>
          <w:szCs w:val="14"/>
          <w:color w:val="auto"/>
        </w:rPr>
      </w:pPr>
    </w:p>
    <w:p>
      <w:pPr>
        <w:ind w:left="840" w:hanging="342"/>
        <w:spacing w:after="0"/>
        <w:tabs>
          <w:tab w:leader="none" w:pos="8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unwinding of any Swap Contract;</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Restricted Payments permitted by </w:t>
      </w:r>
      <w:r>
        <w:rPr>
          <w:rFonts w:ascii="Arial" w:cs="Arial" w:eastAsia="Arial" w:hAnsi="Arial"/>
          <w:sz w:val="14"/>
          <w:szCs w:val="14"/>
          <w:u w:val="single" w:color="auto"/>
          <w:color w:val="auto"/>
        </w:rPr>
        <w:t>Section 7.06</w:t>
      </w:r>
      <w:r>
        <w:rPr>
          <w:rFonts w:ascii="Arial" w:cs="Arial" w:eastAsia="Arial" w:hAnsi="Arial"/>
          <w:sz w:val="14"/>
          <w:szCs w:val="14"/>
          <w:color w:val="auto"/>
        </w:rPr>
        <w:t xml:space="preserve"> and Investments permitted by </w:t>
      </w:r>
      <w:r>
        <w:rPr>
          <w:rFonts w:ascii="Arial" w:cs="Arial" w:eastAsia="Arial" w:hAnsi="Arial"/>
          <w:sz w:val="14"/>
          <w:szCs w:val="14"/>
          <w:u w:val="single" w:color="auto"/>
          <w:color w:val="auto"/>
        </w:rPr>
        <w:t>Section 7.04</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 xml:space="preserve">so long as no Default shall occur and be continuing, the grant of any option or other right to purchase any asset in a transaction that would be permitted under the provisions of </w:t>
      </w:r>
      <w:r>
        <w:rPr>
          <w:rFonts w:ascii="Arial" w:cs="Arial" w:eastAsia="Arial" w:hAnsi="Arial"/>
          <w:sz w:val="11"/>
          <w:szCs w:val="11"/>
          <w:u w:val="single" w:color="auto"/>
          <w:color w:val="auto"/>
        </w:rPr>
        <w:t>Section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7.05(g)</w:t>
      </w:r>
      <w:r>
        <w:rPr>
          <w:rFonts w:ascii="Arial" w:cs="Arial" w:eastAsia="Arial" w:hAnsi="Arial"/>
          <w:sz w:val="14"/>
          <w:szCs w:val="14"/>
          <w:color w:val="auto"/>
        </w:rPr>
        <w:t>; and</w:t>
      </w:r>
    </w:p>
    <w:p>
      <w:pPr>
        <w:spacing w:after="0" w:line="180"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(p)</w:t>
      </w:r>
      <w:r>
        <w:rPr>
          <w:sz w:val="20"/>
          <w:szCs w:val="20"/>
          <w:color w:val="auto"/>
        </w:rPr>
        <w:tab/>
      </w:r>
      <w:r>
        <w:rPr>
          <w:rFonts w:ascii="Arial" w:cs="Arial" w:eastAsia="Arial" w:hAnsi="Arial"/>
          <w:sz w:val="11"/>
          <w:szCs w:val="11"/>
          <w:color w:val="auto"/>
        </w:rPr>
        <w:t>Dispositions of accounts receivable for factoring and similar transactions made in the reasonable business judgment of the Borrower.</w:t>
      </w:r>
    </w:p>
    <w:p>
      <w:pPr>
        <w:spacing w:after="0" w:line="18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7.06</w:t>
      </w:r>
      <w:r>
        <w:rPr>
          <w:sz w:val="20"/>
          <w:szCs w:val="20"/>
          <w:color w:val="auto"/>
        </w:rPr>
        <w:tab/>
      </w:r>
      <w:r>
        <w:rPr>
          <w:rFonts w:ascii="Arial" w:cs="Arial" w:eastAsia="Arial" w:hAnsi="Arial"/>
          <w:sz w:val="11"/>
          <w:szCs w:val="11"/>
          <w:b w:val="1"/>
          <w:bCs w:val="1"/>
          <w:color w:val="auto"/>
        </w:rPr>
        <w:t>Restricted Payments</w:t>
      </w:r>
      <w:r>
        <w:rPr>
          <w:rFonts w:ascii="Arial" w:cs="Arial" w:eastAsia="Arial" w:hAnsi="Arial"/>
          <w:sz w:val="11"/>
          <w:szCs w:val="11"/>
          <w:color w:val="auto"/>
        </w:rPr>
        <w:t>. Declare or make, directly or indirectly, any Restricted Payment, or incur any obligation (contingent or otherwise) to do so,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93</w:t>
      </w:r>
    </w:p>
    <w:p>
      <w:pPr>
        <w:sectPr>
          <w:pgSz w:w="11900" w:h="16838" w:orient="portrait"/>
          <w:cols w:equalWidth="0" w:num="1">
            <w:col w:w="11280"/>
          </w:cols>
          <w:pgMar w:left="300" w:top="129"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500" w:firstLine="498"/>
        <w:spacing w:after="0" w:line="256" w:lineRule="auto"/>
        <w:tabs>
          <w:tab w:leader="none" w:pos="785" w:val="left"/>
        </w:tabs>
        <w:numPr>
          <w:ilvl w:val="1"/>
          <w:numId w:val="142"/>
        </w:numPr>
        <w:rPr>
          <w:rFonts w:ascii="Arial" w:cs="Arial" w:eastAsia="Arial" w:hAnsi="Arial"/>
          <w:sz w:val="14"/>
          <w:szCs w:val="14"/>
          <w:color w:val="auto"/>
        </w:rPr>
      </w:pPr>
      <w:r>
        <w:rPr>
          <w:rFonts w:ascii="Arial" w:cs="Arial" w:eastAsia="Arial" w:hAnsi="Arial"/>
          <w:sz w:val="14"/>
          <w:szCs w:val="14"/>
          <w:color w:val="auto"/>
        </w:rPr>
        <w:t>each Subsidiary may make Restricted Payments to the Borrower, any Subsidiaries of the Borrower and any other Person that owns a direct Equity Interest in such Subsidiary, ratably according to their respective holdings of the type of Equity Interest in respect of which such Restricted Payment is being made (or a greater than ratable basis to the Borrower or a Subsidiary of the Borrower);</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Borrower and each Subsidiary may declare and make dividend payments or other distributions payable solely in the common stock or other common Equity Interests of such Person;</w:t>
      </w:r>
    </w:p>
    <w:p>
      <w:pPr>
        <w:spacing w:after="0" w:line="224" w:lineRule="exact"/>
        <w:rPr>
          <w:rFonts w:ascii="Arial" w:cs="Arial" w:eastAsia="Arial" w:hAnsi="Arial"/>
          <w:sz w:val="11"/>
          <w:szCs w:val="11"/>
          <w:color w:val="auto"/>
        </w:rPr>
      </w:pPr>
    </w:p>
    <w:p>
      <w:pPr>
        <w:ind w:right="20" w:firstLine="498"/>
        <w:spacing w:after="0" w:line="266" w:lineRule="auto"/>
        <w:tabs>
          <w:tab w:leader="none" w:pos="785"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the Borrower and each Subsidiary may purchase, redeem or otherwise acquire its common Equity Interests with the proceeds received from the substantially concurrent issue of new common Equity Interests;</w:t>
      </w:r>
    </w:p>
    <w:p>
      <w:pPr>
        <w:spacing w:after="0" w:line="158" w:lineRule="exact"/>
        <w:rPr>
          <w:rFonts w:ascii="Arial" w:cs="Arial" w:eastAsia="Arial" w:hAnsi="Arial"/>
          <w:sz w:val="14"/>
          <w:szCs w:val="14"/>
          <w:color w:val="auto"/>
        </w:rPr>
      </w:pPr>
    </w:p>
    <w:p>
      <w:pPr>
        <w:ind w:right="20" w:firstLine="498"/>
        <w:spacing w:after="0" w:line="322" w:lineRule="auto"/>
        <w:tabs>
          <w:tab w:leader="none" w:pos="793" w:val="left"/>
        </w:tabs>
        <w:numPr>
          <w:ilvl w:val="1"/>
          <w:numId w:val="142"/>
        </w:numPr>
        <w:rPr>
          <w:rFonts w:ascii="Arial" w:cs="Arial" w:eastAsia="Arial" w:hAnsi="Arial"/>
          <w:sz w:val="11"/>
          <w:szCs w:val="11"/>
          <w:color w:val="auto"/>
        </w:rPr>
      </w:pPr>
      <w:r>
        <w:rPr>
          <w:rFonts w:ascii="Arial" w:cs="Arial" w:eastAsia="Arial" w:hAnsi="Arial"/>
          <w:sz w:val="11"/>
          <w:szCs w:val="11"/>
          <w:color w:val="auto"/>
        </w:rPr>
        <w:t xml:space="preserve">so long as no Event of Default has occurred and is continuing or would result therefrom, the Borrower may purchase, redeem or otherwise acquire for cash Equity Interests issued by it and held by officers, directors or employees or former officers, directors or employees;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amount of Equity Interests purchased, redeemed or otherwise acquired pursuant to this clause</w:t>
      </w:r>
    </w:p>
    <w:p>
      <w:pPr>
        <w:ind w:left="200" w:hanging="197"/>
        <w:spacing w:after="0"/>
        <w:tabs>
          <w:tab w:leader="none" w:pos="2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shall not exceed (A) $10,000,000 in the aggregate during any fiscal year and (B) $30,000,000 in the aggregate during the term of this Agreement;</w:t>
      </w:r>
    </w:p>
    <w:p>
      <w:pPr>
        <w:spacing w:after="0" w:line="180" w:lineRule="exact"/>
        <w:rPr>
          <w:rFonts w:ascii="Arial" w:cs="Arial" w:eastAsia="Arial" w:hAnsi="Arial"/>
          <w:sz w:val="14"/>
          <w:szCs w:val="14"/>
          <w:color w:val="auto"/>
        </w:rPr>
      </w:pPr>
    </w:p>
    <w:p>
      <w:pPr>
        <w:ind w:right="40" w:firstLine="498"/>
        <w:spacing w:after="0" w:line="272" w:lineRule="auto"/>
        <w:tabs>
          <w:tab w:leader="none" w:pos="785" w:val="left"/>
        </w:tabs>
        <w:numPr>
          <w:ilvl w:val="1"/>
          <w:numId w:val="143"/>
        </w:numPr>
        <w:rPr>
          <w:rFonts w:ascii="Arial" w:cs="Arial" w:eastAsia="Arial" w:hAnsi="Arial"/>
          <w:sz w:val="13"/>
          <w:szCs w:val="13"/>
          <w:color w:val="auto"/>
        </w:rPr>
      </w:pPr>
      <w:r>
        <w:rPr>
          <w:rFonts w:ascii="Arial" w:cs="Arial" w:eastAsia="Arial" w:hAnsi="Arial"/>
          <w:sz w:val="13"/>
          <w:szCs w:val="13"/>
          <w:color w:val="auto"/>
        </w:rPr>
        <w:t xml:space="preserve">the Borrower may (i) declare or pay cash dividends to its stockholders and (ii) purchase, redeem or otherwise acquire for cash Equity Interests issued by it (A) if immediately before and after giving pro forma effect to such purchase, redemption or acquisition of Equity Interests, the Consolidated Net Leverage Ratio of the Borrower shall be less than or equal to the then applicable level set forth in </w:t>
      </w:r>
      <w:r>
        <w:rPr>
          <w:rFonts w:ascii="Arial" w:cs="Arial" w:eastAsia="Arial" w:hAnsi="Arial"/>
          <w:sz w:val="13"/>
          <w:szCs w:val="13"/>
          <w:u w:val="single" w:color="auto"/>
          <w:color w:val="auto"/>
        </w:rPr>
        <w:t>Section 7.11(b)</w:t>
      </w:r>
      <w:r>
        <w:rPr>
          <w:rFonts w:ascii="Arial" w:cs="Arial" w:eastAsia="Arial" w:hAnsi="Arial"/>
          <w:sz w:val="13"/>
          <w:szCs w:val="13"/>
          <w:color w:val="auto"/>
        </w:rPr>
        <w:t xml:space="preserve"> less 1.00, to 1.00, determined on the basis of the financial information most recently delivered to the Administrative Agent and the Lenders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as though such purchase, redemption or acquisition had been consummated as of the first day of the fiscal period covered thereby, and (B) (x) with respect to clause (i) (A) no Event of Default has occurred and is continuing at the time of such declaration and (B) such dividend is paid within 60 days of such declaration and (y) with respect to clause (ii), no Event of Default has occurred and is continuing at the time of such purchase, redemption or acquisition or would result from such purchase, redemption or acquisition; and</w:t>
      </w:r>
    </w:p>
    <w:p>
      <w:pPr>
        <w:spacing w:after="0" w:line="159" w:lineRule="exact"/>
        <w:rPr>
          <w:rFonts w:ascii="Arial" w:cs="Arial" w:eastAsia="Arial" w:hAnsi="Arial"/>
          <w:sz w:val="13"/>
          <w:szCs w:val="13"/>
          <w:color w:val="auto"/>
        </w:rPr>
      </w:pPr>
    </w:p>
    <w:p>
      <w:pPr>
        <w:ind w:right="420" w:firstLine="498"/>
        <w:spacing w:after="0" w:line="266" w:lineRule="auto"/>
        <w:tabs>
          <w:tab w:leader="none" w:pos="77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 xml:space="preserve">so long as no Event of Default has occurred and is continuing pursuant to </w:t>
      </w:r>
      <w:r>
        <w:rPr>
          <w:rFonts w:ascii="Arial" w:cs="Arial" w:eastAsia="Arial" w:hAnsi="Arial"/>
          <w:sz w:val="14"/>
          <w:szCs w:val="14"/>
          <w:u w:val="single" w:color="auto"/>
          <w:color w:val="auto"/>
        </w:rPr>
        <w:t>Sections 8.01(a)</w:t>
      </w:r>
      <w:r>
        <w:rPr>
          <w:rFonts w:ascii="Arial" w:cs="Arial" w:eastAsia="Arial" w:hAnsi="Arial"/>
          <w:sz w:val="14"/>
          <w:szCs w:val="14"/>
          <w:color w:val="auto"/>
        </w:rPr>
        <w:t xml:space="preserv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(g)(i)</w:t>
      </w:r>
      <w:r>
        <w:rPr>
          <w:rFonts w:ascii="Arial" w:cs="Arial" w:eastAsia="Arial" w:hAnsi="Arial"/>
          <w:sz w:val="14"/>
          <w:szCs w:val="14"/>
          <w:color w:val="auto"/>
        </w:rPr>
        <w:t xml:space="preserve"> or would reasonably be expected to occur after giving effect to such Restricted Payment, other Restricted Payments in an aggregate amount not to exceed $15,000,000 in any fiscal year;</w:t>
      </w:r>
    </w:p>
    <w:p>
      <w:pPr>
        <w:spacing w:after="0" w:line="158" w:lineRule="exact"/>
        <w:rPr>
          <w:rFonts w:ascii="Arial" w:cs="Arial" w:eastAsia="Arial" w:hAnsi="Arial"/>
          <w:sz w:val="14"/>
          <w:szCs w:val="14"/>
          <w:color w:val="auto"/>
        </w:rPr>
      </w:pPr>
    </w:p>
    <w:p>
      <w:pPr>
        <w:ind w:right="180" w:firstLine="498"/>
        <w:spacing w:after="0" w:line="305" w:lineRule="auto"/>
        <w:tabs>
          <w:tab w:leader="none" w:pos="793" w:val="left"/>
        </w:tabs>
        <w:numPr>
          <w:ilvl w:val="1"/>
          <w:numId w:val="143"/>
        </w:numPr>
        <w:rPr>
          <w:rFonts w:ascii="Arial" w:cs="Arial" w:eastAsia="Arial" w:hAnsi="Arial"/>
          <w:sz w:val="13"/>
          <w:szCs w:val="13"/>
          <w:color w:val="auto"/>
        </w:rPr>
      </w:pPr>
      <w:r>
        <w:rPr>
          <w:rFonts w:ascii="Arial" w:cs="Arial" w:eastAsia="Arial" w:hAnsi="Arial"/>
          <w:sz w:val="13"/>
          <w:szCs w:val="13"/>
          <w:color w:val="auto"/>
        </w:rPr>
        <w:t xml:space="preserve">to the extent constituting Restricted Payments, so long as no Event of Default has occurred and is continuing pursuant to </w:t>
      </w:r>
      <w:r>
        <w:rPr>
          <w:rFonts w:ascii="Arial" w:cs="Arial" w:eastAsia="Arial" w:hAnsi="Arial"/>
          <w:sz w:val="13"/>
          <w:szCs w:val="13"/>
          <w:u w:val="single" w:color="auto"/>
          <w:color w:val="auto"/>
        </w:rPr>
        <w:t>Sections 8.01(a)</w:t>
      </w:r>
      <w:r>
        <w:rPr>
          <w:rFonts w:ascii="Arial" w:cs="Arial" w:eastAsia="Arial" w:hAnsi="Arial"/>
          <w:sz w:val="13"/>
          <w:szCs w:val="13"/>
          <w:color w:val="auto"/>
        </w:rPr>
        <w:t xml:space="preserve">, </w:t>
      </w:r>
      <w:r>
        <w:rPr>
          <w:rFonts w:ascii="Arial" w:cs="Arial" w:eastAsia="Arial" w:hAnsi="Arial"/>
          <w:sz w:val="13"/>
          <w:szCs w:val="13"/>
          <w:u w:val="single" w:color="auto"/>
          <w:color w:val="auto"/>
        </w:rPr>
        <w:t>(f)</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(g)(i)</w:t>
      </w:r>
      <w:r>
        <w:rPr>
          <w:rFonts w:ascii="Arial" w:cs="Arial" w:eastAsia="Arial" w:hAnsi="Arial"/>
          <w:sz w:val="13"/>
          <w:szCs w:val="13"/>
          <w:color w:val="auto"/>
        </w:rPr>
        <w:t xml:space="preserve"> or would reasonably be expected to occur after giving effect to such Restricted Payment, distributions and other payments in respect of Indebtedness incurred pursuant to </w:t>
      </w:r>
      <w:r>
        <w:rPr>
          <w:rFonts w:ascii="Arial" w:cs="Arial" w:eastAsia="Arial" w:hAnsi="Arial"/>
          <w:sz w:val="13"/>
          <w:szCs w:val="13"/>
          <w:u w:val="single" w:color="auto"/>
          <w:color w:val="auto"/>
        </w:rPr>
        <w:t>Section 7.02(b)</w:t>
      </w:r>
      <w:r>
        <w:rPr>
          <w:rFonts w:ascii="Arial" w:cs="Arial" w:eastAsia="Arial" w:hAnsi="Arial"/>
          <w:sz w:val="13"/>
          <w:szCs w:val="13"/>
          <w:color w:val="auto"/>
        </w:rPr>
        <w:t xml:space="preserve"> pursuant to the terms thereof.</w:t>
      </w:r>
    </w:p>
    <w:p>
      <w:pPr>
        <w:spacing w:after="0" w:line="132" w:lineRule="exact"/>
        <w:rPr>
          <w:sz w:val="20"/>
          <w:szCs w:val="20"/>
          <w:color w:val="auto"/>
        </w:rPr>
      </w:pPr>
    </w:p>
    <w:p>
      <w:pPr>
        <w:ind w:right="260" w:firstLine="495"/>
        <w:spacing w:after="0" w:line="272" w:lineRule="auto"/>
        <w:rPr>
          <w:sz w:val="20"/>
          <w:szCs w:val="20"/>
          <w:color w:val="auto"/>
        </w:rPr>
      </w:pPr>
      <w:r>
        <w:rPr>
          <w:rFonts w:ascii="Arial" w:cs="Arial" w:eastAsia="Arial" w:hAnsi="Arial"/>
          <w:sz w:val="14"/>
          <w:szCs w:val="14"/>
          <w:b w:val="1"/>
          <w:bCs w:val="1"/>
          <w:color w:val="auto"/>
        </w:rPr>
        <w:t>7.07 Change in Nature of Business</w:t>
      </w:r>
      <w:r>
        <w:rPr>
          <w:rFonts w:ascii="Arial" w:cs="Arial" w:eastAsia="Arial" w:hAnsi="Arial"/>
          <w:sz w:val="14"/>
          <w:szCs w:val="14"/>
          <w:color w:val="auto"/>
        </w:rPr>
        <w:t>. Engage in any material line of business substantially different from those lines of business conducted by the Borrower and its Subsidiaries on the date</w:t>
      </w:r>
      <w:r>
        <w:rPr>
          <w:rFonts w:ascii="Arial" w:cs="Arial" w:eastAsia="Arial" w:hAnsi="Arial"/>
          <w:sz w:val="14"/>
          <w:szCs w:val="14"/>
          <w:b w:val="1"/>
          <w:bCs w:val="1"/>
          <w:color w:val="auto"/>
        </w:rPr>
        <w:t xml:space="preserve"> </w:t>
      </w:r>
      <w:r>
        <w:rPr>
          <w:rFonts w:ascii="Arial" w:cs="Arial" w:eastAsia="Arial" w:hAnsi="Arial"/>
          <w:sz w:val="14"/>
          <w:szCs w:val="14"/>
          <w:color w:val="auto"/>
        </w:rPr>
        <w:t>hereof or any business substantially related, complementary, adjacent or incidental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94</w:t>
      </w:r>
    </w:p>
    <w:p>
      <w:pPr>
        <w:sectPr>
          <w:pgSz w:w="11900" w:h="16838" w:orient="portrait"/>
          <w:cols w:equalWidth="0" w:num="1">
            <w:col w:w="11280"/>
          </w:cols>
          <w:pgMar w:left="300" w:top="129"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firstLine="495"/>
        <w:spacing w:after="0" w:line="329" w:lineRule="auto"/>
        <w:rPr>
          <w:sz w:val="20"/>
          <w:szCs w:val="20"/>
          <w:color w:val="auto"/>
        </w:rPr>
      </w:pPr>
      <w:r>
        <w:rPr>
          <w:rFonts w:ascii="Arial" w:cs="Arial" w:eastAsia="Arial" w:hAnsi="Arial"/>
          <w:sz w:val="11"/>
          <w:szCs w:val="11"/>
          <w:b w:val="1"/>
          <w:bCs w:val="1"/>
          <w:color w:val="auto"/>
        </w:rPr>
        <w:t>7.08 Transactions with Affiliates</w:t>
      </w:r>
      <w:r>
        <w:rPr>
          <w:rFonts w:ascii="Arial" w:cs="Arial" w:eastAsia="Arial" w:hAnsi="Arial"/>
          <w:sz w:val="11"/>
          <w:szCs w:val="11"/>
          <w:color w:val="auto"/>
        </w:rPr>
        <w:t>. Enter into any transaction of any kind with any Affiliate of the Borrower, whether or not in the ordinary course of business, other than (i) transactions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between Loan Parties, (ii) transactions on terms substantially as favorable to the Borrower or such Subsidiary as would be obtainable by the Borrower or such Subsidiary at the time in a comparable arm’s length transaction with a Person other than an Affiliate, (iii) transactions otherwise permitted under </w:t>
      </w:r>
      <w:r>
        <w:rPr>
          <w:rFonts w:ascii="Arial" w:cs="Arial" w:eastAsia="Arial" w:hAnsi="Arial"/>
          <w:sz w:val="11"/>
          <w:szCs w:val="11"/>
          <w:u w:val="single" w:color="auto"/>
          <w:color w:val="auto"/>
        </w:rPr>
        <w:t>Sections 7.02</w:t>
      </w:r>
      <w:r>
        <w:rPr>
          <w:rFonts w:ascii="Arial" w:cs="Arial" w:eastAsia="Arial" w:hAnsi="Arial"/>
          <w:sz w:val="11"/>
          <w:szCs w:val="11"/>
          <w:color w:val="auto"/>
        </w:rPr>
        <w:t xml:space="preserve">, </w:t>
      </w:r>
      <w:r>
        <w:rPr>
          <w:rFonts w:ascii="Arial" w:cs="Arial" w:eastAsia="Arial" w:hAnsi="Arial"/>
          <w:sz w:val="11"/>
          <w:szCs w:val="11"/>
          <w:u w:val="single" w:color="auto"/>
          <w:color w:val="auto"/>
        </w:rPr>
        <w:t>7.03</w:t>
      </w:r>
      <w:r>
        <w:rPr>
          <w:rFonts w:ascii="Arial" w:cs="Arial" w:eastAsia="Arial" w:hAnsi="Arial"/>
          <w:sz w:val="11"/>
          <w:szCs w:val="11"/>
          <w:color w:val="auto"/>
        </w:rPr>
        <w:t xml:space="preserve">, </w:t>
      </w:r>
      <w:r>
        <w:rPr>
          <w:rFonts w:ascii="Arial" w:cs="Arial" w:eastAsia="Arial" w:hAnsi="Arial"/>
          <w:sz w:val="11"/>
          <w:szCs w:val="11"/>
          <w:u w:val="single" w:color="auto"/>
          <w:color w:val="auto"/>
        </w:rPr>
        <w:t>7.04</w:t>
      </w:r>
      <w:r>
        <w:rPr>
          <w:rFonts w:ascii="Arial" w:cs="Arial" w:eastAsia="Arial" w:hAnsi="Arial"/>
          <w:sz w:val="11"/>
          <w:szCs w:val="11"/>
          <w:color w:val="auto"/>
        </w:rPr>
        <w:t xml:space="preserve">, </w:t>
      </w:r>
      <w:r>
        <w:rPr>
          <w:rFonts w:ascii="Arial" w:cs="Arial" w:eastAsia="Arial" w:hAnsi="Arial"/>
          <w:sz w:val="11"/>
          <w:szCs w:val="11"/>
          <w:u w:val="single" w:color="auto"/>
          <w:color w:val="auto"/>
        </w:rPr>
        <w:t>7.05, 7.06</w:t>
      </w:r>
      <w:r>
        <w:rPr>
          <w:rFonts w:ascii="Arial" w:cs="Arial" w:eastAsia="Arial" w:hAnsi="Arial"/>
          <w:sz w:val="11"/>
          <w:szCs w:val="11"/>
          <w:color w:val="auto"/>
        </w:rPr>
        <w:t xml:space="preserve"> or 7.16, (iv) transactions between Subsidiaries of the Loan Parties that are not Loan Parties, (v) arrangements or transactions that constitute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Loan Parties or its Subsidiaries, in each case, in the ordinary course of business, (vi) transactions set forth on </w:t>
      </w:r>
      <w:r>
        <w:rPr>
          <w:rFonts w:ascii="Arial" w:cs="Arial" w:eastAsia="Arial" w:hAnsi="Arial"/>
          <w:sz w:val="11"/>
          <w:szCs w:val="11"/>
          <w:u w:val="single" w:color="auto"/>
          <w:color w:val="auto"/>
        </w:rPr>
        <w:t>Schedule 7.08</w:t>
      </w:r>
      <w:r>
        <w:rPr>
          <w:rFonts w:ascii="Arial" w:cs="Arial" w:eastAsia="Arial" w:hAnsi="Arial"/>
          <w:sz w:val="11"/>
          <w:szCs w:val="11"/>
          <w:color w:val="auto"/>
        </w:rPr>
        <w:t xml:space="preserve"> or any amendment to such transactions to the extent such an amendment is not materially adverse to the Lenders, or (vii) transactions (with any series of related transactions being aggregated for the purposes of this clause (vii)) including consideration of less than $5,000,000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4838065</wp:posOffset>
            </wp:positionH>
            <wp:positionV relativeFrom="paragraph">
              <wp:posOffset>-466090</wp:posOffset>
            </wp:positionV>
            <wp:extent cx="17462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4625" cy="6350"/>
                    </a:xfrm>
                    <a:prstGeom prst="rect">
                      <a:avLst/>
                    </a:prstGeom>
                    <a:noFill/>
                  </pic:spPr>
                </pic:pic>
              </a:graphicData>
            </a:graphic>
          </wp:anchor>
        </w:drawing>
      </w:r>
    </w:p>
    <w:p>
      <w:pPr>
        <w:spacing w:after="0" w:line="272" w:lineRule="exact"/>
        <w:rPr>
          <w:sz w:val="20"/>
          <w:szCs w:val="20"/>
          <w:color w:val="auto"/>
        </w:rPr>
      </w:pPr>
    </w:p>
    <w:p>
      <w:pPr>
        <w:ind w:right="20" w:firstLine="495"/>
        <w:spacing w:after="0" w:line="319" w:lineRule="auto"/>
        <w:rPr>
          <w:sz w:val="20"/>
          <w:szCs w:val="20"/>
          <w:color w:val="auto"/>
        </w:rPr>
      </w:pPr>
      <w:r>
        <w:rPr>
          <w:rFonts w:ascii="Arial" w:cs="Arial" w:eastAsia="Arial" w:hAnsi="Arial"/>
          <w:sz w:val="11"/>
          <w:szCs w:val="11"/>
          <w:b w:val="1"/>
          <w:bCs w:val="1"/>
          <w:color w:val="auto"/>
        </w:rPr>
        <w:t>7.09 Burdensome Agreements</w:t>
      </w:r>
      <w:r>
        <w:rPr>
          <w:rFonts w:ascii="Arial" w:cs="Arial" w:eastAsia="Arial" w:hAnsi="Arial"/>
          <w:sz w:val="11"/>
          <w:szCs w:val="11"/>
          <w:color w:val="auto"/>
        </w:rPr>
        <w:t>. Enter into or permit to exist any Contractual Obligation (other than this Agreement or any other Loan Document) that (a) limits the ability (i) of any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Subsidiary to make Restricted Payments to the Borrower or any Guarantor or to otherwise transfer property to or invest in the Borrower or any Guarantor, except for any agreement in effect (A) on the date hereof and set forth on </w:t>
      </w:r>
      <w:r>
        <w:rPr>
          <w:rFonts w:ascii="Arial" w:cs="Arial" w:eastAsia="Arial" w:hAnsi="Arial"/>
          <w:sz w:val="11"/>
          <w:szCs w:val="11"/>
          <w:u w:val="single" w:color="auto"/>
          <w:color w:val="auto"/>
        </w:rPr>
        <w:t>Schedule 7.09</w:t>
      </w:r>
      <w:r>
        <w:rPr>
          <w:rFonts w:ascii="Arial" w:cs="Arial" w:eastAsia="Arial" w:hAnsi="Arial"/>
          <w:sz w:val="11"/>
          <w:szCs w:val="11"/>
          <w:color w:val="auto"/>
        </w:rPr>
        <w:t xml:space="preserve"> or (B) at the time any Subsidiary becomes a Subsidiary of the Borrower, so long as such agreement was not entered into solely in contemplation of such Person becoming a Subsidiary of the Borrower, (ii) of any Subsidiary to Guarantee the Indebtedness of the Borrower, except for any agreement in effect on the date hereof and set forth on </w:t>
      </w:r>
      <w:r>
        <w:rPr>
          <w:rFonts w:ascii="Arial" w:cs="Arial" w:eastAsia="Arial" w:hAnsi="Arial"/>
          <w:sz w:val="11"/>
          <w:szCs w:val="11"/>
          <w:u w:val="single" w:color="auto"/>
          <w:color w:val="auto"/>
        </w:rPr>
        <w:t>Schedule 7.09</w:t>
      </w:r>
      <w:r>
        <w:rPr>
          <w:rFonts w:ascii="Arial" w:cs="Arial" w:eastAsia="Arial" w:hAnsi="Arial"/>
          <w:sz w:val="11"/>
          <w:szCs w:val="11"/>
          <w:color w:val="auto"/>
        </w:rPr>
        <w:t xml:space="preserve"> or any amendment to such agreement that is not materially adverse to the Lenders, or (iii) of the Borrower or any Subsidiary to create, incur, assume or suffer to exist Liens on property of such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this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shall not prohibit (i) restrictions or conditions imposed, incurred or provided in favor of any holder of Indebtedness permitted under </w:t>
      </w:r>
      <w:r>
        <w:rPr>
          <w:rFonts w:ascii="Arial" w:cs="Arial" w:eastAsia="Arial" w:hAnsi="Arial"/>
          <w:sz w:val="11"/>
          <w:szCs w:val="11"/>
          <w:u w:val="single" w:color="auto"/>
          <w:color w:val="auto"/>
        </w:rPr>
        <w:t>Section 7.02(g)</w:t>
      </w:r>
      <w:r>
        <w:rPr>
          <w:rFonts w:ascii="Arial" w:cs="Arial" w:eastAsia="Arial" w:hAnsi="Arial"/>
          <w:sz w:val="11"/>
          <w:szCs w:val="11"/>
          <w:color w:val="auto"/>
        </w:rPr>
        <w:t xml:space="preserve"> solely to the extent any such restrictions or conditions relate to the property financed by or the subject of such Indebtedness, (ii) customary provisions in contracts solely restricting the assignment of such contracts (including, without limitation, any leases and in-bound licenses of Intellectual Property) so long as such provisions were not entered into solely in contemplation of such Person becoming a Loan Party, or (iii) limitations associated with, or any document or instrument governing, Liens permitted under Section 7.01; or (b) requires the grant of a Lien to secure an obligation of such Person if a Lien is granted to secure another obligation of such Person, in each case, other than, (i) restrictions and conditions imposed by Applicable Law or by the Loan Documents, (ii) any documentation governing Indebtedness permitted to exist pursuant to clause (h) of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(or any permitted refinancing thereof), (iii) customary provisions in leases, subleases, permitted licenses and other contracts entered into in the ordinary course of business restricting the assignment thereof or restricting the assignment, pledge, transfer or sublease or sublicense of the property leased, licensed or otherwise the subject thereof, (iv) restrictions or conditions in any Indebtedness permitted pursuant to Section 7.02 that is incurred or assumed by Subsidiaries that are not Loan Parties to the extent such restrictions or conditions are no more restrictive in any material respect than the restrictions and conditions in the Loan Documents, or are otherwise consistent with market terms for such Indebtedness as reasonably determined by the Borrower, (v)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(vi) customary provisions in contracts for the disposition of any assets permitted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restrictions in any such contract shall apply only to the assets that is to be disposed of and such disposition is permitted hereunder, (vii) customary provisions regarding confidentiality or restricting assignment, pledges or transfer of any permitted license entered into in the ordinary course of business; and (viii) customary provisions in joint venture agreements and other similar agreements applicable to joint ventures and applicable solely to such joint venture, provided that such Investments in joint ventures are otherwise permitted hereunder.</w:t>
      </w:r>
    </w:p>
    <w:p>
      <w:pPr>
        <w:spacing w:after="0" w:line="200" w:lineRule="exact"/>
        <w:rPr>
          <w:sz w:val="20"/>
          <w:szCs w:val="20"/>
          <w:color w:val="auto"/>
        </w:rPr>
      </w:pPr>
    </w:p>
    <w:p>
      <w:pPr>
        <w:spacing w:after="0" w:line="263" w:lineRule="exact"/>
        <w:rPr>
          <w:sz w:val="20"/>
          <w:szCs w:val="20"/>
          <w:color w:val="auto"/>
        </w:rPr>
      </w:pPr>
    </w:p>
    <w:p>
      <w:pPr>
        <w:ind w:right="100" w:firstLine="495"/>
        <w:spacing w:after="0" w:line="311" w:lineRule="auto"/>
        <w:rPr>
          <w:sz w:val="20"/>
          <w:szCs w:val="20"/>
          <w:color w:val="auto"/>
        </w:rPr>
      </w:pPr>
      <w:r>
        <w:rPr>
          <w:rFonts w:ascii="Arial" w:cs="Arial" w:eastAsia="Arial" w:hAnsi="Arial"/>
          <w:sz w:val="13"/>
          <w:szCs w:val="13"/>
          <w:b w:val="1"/>
          <w:bCs w:val="1"/>
          <w:color w:val="auto"/>
        </w:rPr>
        <w:t>7.10 Use of Proceeds</w:t>
      </w:r>
      <w:r>
        <w:rPr>
          <w:rFonts w:ascii="Arial" w:cs="Arial" w:eastAsia="Arial" w:hAnsi="Arial"/>
          <w:sz w:val="13"/>
          <w:szCs w:val="13"/>
          <w:color w:val="auto"/>
        </w:rPr>
        <w:t>. Use the proceeds of any Credit Extension, whether directly or indirectly, and whether immediately, incidentally or ultimately, to purchase or carry margin stock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the meaning of Regulation U) or to extend credit to others for the purpose of purchasing or carrying margin stock or to refund indebtedness originally incurred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95</w:t>
      </w:r>
    </w:p>
    <w:p>
      <w:pPr>
        <w:sectPr>
          <w:pgSz w:w="11900" w:h="16838" w:orient="portrait"/>
          <w:cols w:equalWidth="0" w:num="1">
            <w:col w:w="11280"/>
          </w:cols>
          <w:pgMar w:left="300" w:top="129"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firstLine="495"/>
        <w:spacing w:after="0" w:line="272" w:lineRule="auto"/>
        <w:rPr>
          <w:sz w:val="20"/>
          <w:szCs w:val="20"/>
          <w:color w:val="auto"/>
        </w:rPr>
      </w:pPr>
      <w:r>
        <w:rPr>
          <w:rFonts w:ascii="Arial" w:cs="Arial" w:eastAsia="Arial" w:hAnsi="Arial"/>
          <w:sz w:val="14"/>
          <w:szCs w:val="14"/>
          <w:b w:val="1"/>
          <w:bCs w:val="1"/>
          <w:color w:val="auto"/>
        </w:rPr>
        <w:t>7.11 Financial Covenants</w:t>
      </w:r>
      <w:r>
        <w:rPr>
          <w:rFonts w:ascii="Arial" w:cs="Arial" w:eastAsia="Arial" w:hAnsi="Arial"/>
          <w:sz w:val="14"/>
          <w:szCs w:val="14"/>
          <w:color w:val="auto"/>
        </w:rPr>
        <w:t>. (a)</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Consolidated Interest Coverage Ratio</w:t>
      </w:r>
      <w:r>
        <w:rPr>
          <w:rFonts w:ascii="Arial" w:cs="Arial" w:eastAsia="Arial" w:hAnsi="Arial"/>
          <w:sz w:val="14"/>
          <w:szCs w:val="14"/>
          <w:color w:val="auto"/>
        </w:rPr>
        <w:t>. Permit the Consolidated Interest Coverage Ratio as of the end of any Measurement Period (commencing with the fiscal</w:t>
      </w:r>
      <w:r>
        <w:rPr>
          <w:rFonts w:ascii="Arial" w:cs="Arial" w:eastAsia="Arial" w:hAnsi="Arial"/>
          <w:sz w:val="14"/>
          <w:szCs w:val="14"/>
          <w:b w:val="1"/>
          <w:bCs w:val="1"/>
          <w:color w:val="auto"/>
        </w:rPr>
        <w:t xml:space="preserve"> </w:t>
      </w:r>
      <w:r>
        <w:rPr>
          <w:rFonts w:ascii="Arial" w:cs="Arial" w:eastAsia="Arial" w:hAnsi="Arial"/>
          <w:sz w:val="14"/>
          <w:szCs w:val="14"/>
          <w:color w:val="auto"/>
        </w:rPr>
        <w:t>quarter ending June 30, 2022) to be less than 3.00:1.00.</w:t>
      </w:r>
    </w:p>
    <w:p>
      <w:pPr>
        <w:spacing w:after="0" w:line="155"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1"/>
          <w:szCs w:val="11"/>
          <w:u w:val="single" w:color="auto"/>
          <w:color w:val="auto"/>
        </w:rPr>
        <w:t>Consolidated Net Leverage Ratio</w:t>
      </w:r>
      <w:r>
        <w:rPr>
          <w:rFonts w:ascii="Arial" w:cs="Arial" w:eastAsia="Arial" w:hAnsi="Arial"/>
          <w:sz w:val="11"/>
          <w:szCs w:val="11"/>
          <w:color w:val="auto"/>
        </w:rPr>
        <w:t>. Permit the Consolidated Net Leverage Ratio as of the end of any Measurement Period to be greater than the ratio set forth below opposite such period:</w:t>
      </w:r>
    </w:p>
    <w:p>
      <w:pPr>
        <w:spacing w:after="0" w:line="201" w:lineRule="exact"/>
        <w:rPr>
          <w:sz w:val="20"/>
          <w:szCs w:val="20"/>
          <w:color w:val="auto"/>
        </w:rPr>
      </w:pPr>
    </w:p>
    <w:tbl>
      <w:tblPr>
        <w:tblLayout w:type="fixed"/>
        <w:tblInd w:w="1010" w:type="dxa"/>
        <w:tblCellMar>
          <w:top w:w="0" w:type="dxa"/>
          <w:left w:w="0" w:type="dxa"/>
          <w:bottom w:w="0" w:type="dxa"/>
          <w:right w:w="0" w:type="dxa"/>
        </w:tblCellMar>
      </w:tblPr>
      <w:tr>
        <w:trPr>
          <w:trHeight w:val="154"/>
        </w:trPr>
        <w:tc>
          <w:tcPr>
            <w:tcW w:w="4680" w:type="dxa"/>
            <w:vAlign w:val="bottom"/>
            <w:tcBorders>
              <w:top w:val="single" w:sz="8" w:color="auto"/>
              <w:left w:val="single" w:sz="8" w:color="auto"/>
              <w:right w:val="single" w:sz="8" w:color="auto"/>
            </w:tcBorders>
          </w:tcPr>
          <w:p>
            <w:pPr>
              <w:jc w:val="center"/>
              <w:ind w:left="391"/>
              <w:spacing w:after="0" w:line="154" w:lineRule="exact"/>
              <w:rPr>
                <w:sz w:val="20"/>
                <w:szCs w:val="20"/>
                <w:color w:val="auto"/>
              </w:rPr>
            </w:pPr>
            <w:r>
              <w:rPr>
                <w:rFonts w:ascii="Arial" w:cs="Arial" w:eastAsia="Arial" w:hAnsi="Arial"/>
                <w:sz w:val="14"/>
                <w:szCs w:val="14"/>
                <w:color w:val="auto"/>
                <w:w w:val="89"/>
              </w:rPr>
              <w:t>Measurement Period Ending</w:t>
            </w:r>
          </w:p>
        </w:tc>
        <w:tc>
          <w:tcPr>
            <w:tcW w:w="2260" w:type="dxa"/>
            <w:vAlign w:val="bottom"/>
            <w:tcBorders>
              <w:top w:val="single" w:sz="8" w:color="auto"/>
              <w:right w:val="single" w:sz="8" w:color="auto"/>
            </w:tcBorders>
          </w:tcPr>
          <w:p>
            <w:pPr>
              <w:jc w:val="center"/>
              <w:ind w:left="391"/>
              <w:spacing w:after="0" w:line="154" w:lineRule="exact"/>
              <w:rPr>
                <w:sz w:val="20"/>
                <w:szCs w:val="20"/>
                <w:color w:val="auto"/>
              </w:rPr>
            </w:pPr>
            <w:r>
              <w:rPr>
                <w:rFonts w:ascii="Arial" w:cs="Arial" w:eastAsia="Arial" w:hAnsi="Arial"/>
                <w:sz w:val="14"/>
                <w:szCs w:val="14"/>
                <w:color w:val="auto"/>
                <w:w w:val="90"/>
              </w:rPr>
              <w:t>Maximum Consolidated Net</w:t>
            </w:r>
          </w:p>
        </w:tc>
      </w:tr>
      <w:tr>
        <w:trPr>
          <w:trHeight w:val="180"/>
        </w:trPr>
        <w:tc>
          <w:tcPr>
            <w:tcW w:w="468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Leverage Ratio</w:t>
            </w:r>
          </w:p>
        </w:tc>
      </w:tr>
      <w:tr>
        <w:trPr>
          <w:trHeight w:val="176"/>
        </w:trPr>
        <w:tc>
          <w:tcPr>
            <w:tcW w:w="4680" w:type="dxa"/>
            <w:vAlign w:val="bottom"/>
            <w:tcBorders>
              <w:left w:val="single" w:sz="8" w:color="auto"/>
              <w:bottom w:val="single" w:sz="8" w:color="auto"/>
              <w:right w:val="single" w:sz="8" w:color="auto"/>
            </w:tcBorders>
          </w:tcPr>
          <w:p>
            <w:pPr>
              <w:jc w:val="center"/>
              <w:ind w:left="391"/>
              <w:spacing w:after="0"/>
              <w:rPr>
                <w:sz w:val="20"/>
                <w:szCs w:val="20"/>
                <w:color w:val="auto"/>
              </w:rPr>
            </w:pPr>
            <w:r>
              <w:rPr>
                <w:rFonts w:ascii="Arial" w:cs="Arial" w:eastAsia="Arial" w:hAnsi="Arial"/>
                <w:sz w:val="14"/>
                <w:szCs w:val="14"/>
                <w:color w:val="auto"/>
                <w:w w:val="89"/>
              </w:rPr>
              <w:t>Closing Date through December 31, 2023</w:t>
            </w:r>
          </w:p>
        </w:tc>
        <w:tc>
          <w:tcPr>
            <w:tcW w:w="2260" w:type="dxa"/>
            <w:vAlign w:val="bottom"/>
            <w:tcBorders>
              <w:bottom w:val="single" w:sz="8" w:color="auto"/>
              <w:right w:val="single" w:sz="8" w:color="auto"/>
            </w:tcBorders>
          </w:tcPr>
          <w:p>
            <w:pPr>
              <w:jc w:val="center"/>
              <w:ind w:left="391"/>
              <w:spacing w:after="0"/>
              <w:rPr>
                <w:sz w:val="20"/>
                <w:szCs w:val="20"/>
                <w:color w:val="auto"/>
              </w:rPr>
            </w:pPr>
            <w:r>
              <w:rPr>
                <w:rFonts w:ascii="Arial" w:cs="Arial" w:eastAsia="Arial" w:hAnsi="Arial"/>
                <w:sz w:val="14"/>
                <w:szCs w:val="14"/>
                <w:color w:val="auto"/>
                <w:w w:val="88"/>
              </w:rPr>
              <w:t>4.00:1.00</w:t>
            </w:r>
          </w:p>
        </w:tc>
      </w:tr>
      <w:tr>
        <w:trPr>
          <w:trHeight w:val="176"/>
        </w:trPr>
        <w:tc>
          <w:tcPr>
            <w:tcW w:w="4680" w:type="dxa"/>
            <w:vAlign w:val="bottom"/>
            <w:tcBorders>
              <w:left w:val="single" w:sz="8" w:color="auto"/>
              <w:bottom w:val="single" w:sz="8" w:color="auto"/>
              <w:right w:val="single" w:sz="8" w:color="auto"/>
            </w:tcBorders>
          </w:tcPr>
          <w:p>
            <w:pPr>
              <w:jc w:val="center"/>
              <w:ind w:left="411"/>
              <w:spacing w:after="0"/>
              <w:rPr>
                <w:sz w:val="20"/>
                <w:szCs w:val="20"/>
                <w:color w:val="auto"/>
              </w:rPr>
            </w:pPr>
            <w:r>
              <w:rPr>
                <w:rFonts w:ascii="Arial" w:cs="Arial" w:eastAsia="Arial" w:hAnsi="Arial"/>
                <w:sz w:val="14"/>
                <w:szCs w:val="14"/>
                <w:color w:val="auto"/>
                <w:w w:val="88"/>
              </w:rPr>
              <w:t>March 31, 2024 and each fiscal quarter thereafter</w:t>
            </w:r>
          </w:p>
        </w:tc>
        <w:tc>
          <w:tcPr>
            <w:tcW w:w="2260" w:type="dxa"/>
            <w:vAlign w:val="bottom"/>
            <w:tcBorders>
              <w:bottom w:val="single" w:sz="8" w:color="auto"/>
              <w:right w:val="single" w:sz="8" w:color="auto"/>
            </w:tcBorders>
          </w:tcPr>
          <w:p>
            <w:pPr>
              <w:jc w:val="center"/>
              <w:ind w:left="391"/>
              <w:spacing w:after="0"/>
              <w:rPr>
                <w:sz w:val="20"/>
                <w:szCs w:val="20"/>
                <w:color w:val="auto"/>
              </w:rPr>
            </w:pPr>
            <w:r>
              <w:rPr>
                <w:rFonts w:ascii="Arial" w:cs="Arial" w:eastAsia="Arial" w:hAnsi="Arial"/>
                <w:sz w:val="14"/>
                <w:szCs w:val="14"/>
                <w:color w:val="auto"/>
                <w:w w:val="88"/>
              </w:rPr>
              <w:t>3.50:1.00</w:t>
            </w:r>
          </w:p>
        </w:tc>
      </w:tr>
    </w:tbl>
    <w:p>
      <w:pPr>
        <w:spacing w:after="0" w:line="237"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notwithstanding the foregoing, following any Specified Acquisition by a Loan Party, and following the delivery of a Specified Acquisition Leverage Ratio Notice, the Loan Parties shall have the ability, not more than twice during the term of this Agreement, to increase the Maximum Consolidated Net Leverage Ratio set forth above by 0.50 with respect to the fiscal quarter during which such Specified Acquisition occurs and the next three (3) fiscal quarters thereafter (such period referred to herein as the “</w:t>
      </w:r>
      <w:r>
        <w:rPr>
          <w:rFonts w:ascii="Arial" w:cs="Arial" w:eastAsia="Arial" w:hAnsi="Arial"/>
          <w:sz w:val="13"/>
          <w:szCs w:val="13"/>
          <w:u w:val="single" w:color="auto"/>
          <w:color w:val="auto"/>
        </w:rPr>
        <w:t>Increased Total Net Leverage Period</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at least two (2) complete fiscal quarters must have elapsed between the end of the first Increased Total Net Leverage Period and the beginning of the second Increased Total Net Leverage Period.</w:t>
      </w:r>
    </w:p>
    <w:p>
      <w:pPr>
        <w:spacing w:after="0" w:line="14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7.12</w:t>
      </w:r>
      <w:r>
        <w:rPr>
          <w:sz w:val="20"/>
          <w:szCs w:val="20"/>
          <w:color w:val="auto"/>
        </w:rPr>
        <w:tab/>
      </w:r>
      <w:r>
        <w:rPr>
          <w:rFonts w:ascii="Arial" w:cs="Arial" w:eastAsia="Arial" w:hAnsi="Arial"/>
          <w:sz w:val="11"/>
          <w:szCs w:val="11"/>
          <w:b w:val="1"/>
          <w:bCs w:val="1"/>
          <w:color w:val="auto"/>
        </w:rPr>
        <w:t>[Reserved]</w:t>
      </w:r>
      <w:r>
        <w:rPr>
          <w:rFonts w:ascii="Arial" w:cs="Arial" w:eastAsia="Arial" w:hAnsi="Arial"/>
          <w:sz w:val="11"/>
          <w:szCs w:val="11"/>
          <w:color w:val="auto"/>
        </w:rPr>
        <w:t>.</w:t>
      </w:r>
    </w:p>
    <w:p>
      <w:pPr>
        <w:spacing w:after="0" w:line="190" w:lineRule="exact"/>
        <w:rPr>
          <w:sz w:val="20"/>
          <w:szCs w:val="20"/>
          <w:color w:val="auto"/>
        </w:rPr>
      </w:pPr>
    </w:p>
    <w:p>
      <w:pPr>
        <w:jc w:val="both"/>
        <w:ind w:right="80" w:firstLine="495"/>
        <w:spacing w:after="0" w:line="288" w:lineRule="auto"/>
        <w:rPr>
          <w:sz w:val="20"/>
          <w:szCs w:val="20"/>
          <w:color w:val="auto"/>
        </w:rPr>
      </w:pPr>
      <w:r>
        <w:rPr>
          <w:rFonts w:ascii="Arial" w:cs="Arial" w:eastAsia="Arial" w:hAnsi="Arial"/>
          <w:sz w:val="13"/>
          <w:szCs w:val="13"/>
          <w:b w:val="1"/>
          <w:bCs w:val="1"/>
          <w:color w:val="auto"/>
        </w:rPr>
        <w:t>7.13 Sanctions</w:t>
      </w:r>
      <w:r>
        <w:rPr>
          <w:rFonts w:ascii="Arial" w:cs="Arial" w:eastAsia="Arial" w:hAnsi="Arial"/>
          <w:sz w:val="13"/>
          <w:szCs w:val="13"/>
          <w:color w:val="auto"/>
        </w:rPr>
        <w:t>. Directly or indirectly, use the proceeds of any Credit Extension, or lend, contribute or otherwise make available such proceeds to any Subsidiary, joint venture partner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Person, to fund any activities of or business with any Person that, at the time of such funding, is the subject of Sanctions, or in any other manner that will result in a violation by any Person (including any Person participating in the transaction, whether as Lender, Administrative Agent, L/C Issuer, Swing Line Lender, or otherwise) of Sanctions.</w:t>
      </w:r>
    </w:p>
    <w:p>
      <w:pPr>
        <w:spacing w:after="0" w:line="14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7.14</w:t>
      </w:r>
      <w:r>
        <w:rPr>
          <w:sz w:val="20"/>
          <w:szCs w:val="20"/>
          <w:color w:val="auto"/>
        </w:rPr>
        <w:tab/>
      </w:r>
      <w:r>
        <w:rPr>
          <w:rFonts w:ascii="Arial" w:cs="Arial" w:eastAsia="Arial" w:hAnsi="Arial"/>
          <w:sz w:val="11"/>
          <w:szCs w:val="11"/>
          <w:b w:val="1"/>
          <w:bCs w:val="1"/>
          <w:color w:val="auto"/>
        </w:rPr>
        <w:t>Amendments of Organization Documents</w:t>
      </w:r>
      <w:r>
        <w:rPr>
          <w:rFonts w:ascii="Arial" w:cs="Arial" w:eastAsia="Arial" w:hAnsi="Arial"/>
          <w:sz w:val="11"/>
          <w:szCs w:val="11"/>
          <w:color w:val="auto"/>
        </w:rPr>
        <w:t>. Amend any of its Organization Documents in a manner materially adverse to the interests of the Lenders.</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7.15</w:t>
      </w:r>
      <w:r>
        <w:rPr>
          <w:sz w:val="20"/>
          <w:szCs w:val="20"/>
          <w:color w:val="auto"/>
        </w:rPr>
        <w:tab/>
      </w:r>
      <w:r>
        <w:rPr>
          <w:rFonts w:ascii="Arial" w:cs="Arial" w:eastAsia="Arial" w:hAnsi="Arial"/>
          <w:sz w:val="11"/>
          <w:szCs w:val="11"/>
          <w:b w:val="1"/>
          <w:bCs w:val="1"/>
          <w:color w:val="auto"/>
        </w:rPr>
        <w:t>Accounting Changes</w:t>
      </w:r>
      <w:r>
        <w:rPr>
          <w:rFonts w:ascii="Arial" w:cs="Arial" w:eastAsia="Arial" w:hAnsi="Arial"/>
          <w:sz w:val="11"/>
          <w:szCs w:val="11"/>
          <w:color w:val="auto"/>
        </w:rPr>
        <w:t>. Make any change in (a) accounting policies or financial reporting practices, except as required or permitted by GAAP, or (b) fiscal year.</w:t>
      </w:r>
    </w:p>
    <w:p>
      <w:pPr>
        <w:spacing w:after="0" w:line="190" w:lineRule="exact"/>
        <w:rPr>
          <w:sz w:val="20"/>
          <w:szCs w:val="20"/>
          <w:color w:val="auto"/>
        </w:rPr>
      </w:pPr>
    </w:p>
    <w:p>
      <w:pPr>
        <w:ind w:right="160" w:firstLine="495"/>
        <w:spacing w:after="0" w:line="288" w:lineRule="auto"/>
        <w:rPr>
          <w:sz w:val="20"/>
          <w:szCs w:val="20"/>
          <w:color w:val="auto"/>
        </w:rPr>
      </w:pPr>
      <w:r>
        <w:rPr>
          <w:rFonts w:ascii="Arial" w:cs="Arial" w:eastAsia="Arial" w:hAnsi="Arial"/>
          <w:sz w:val="13"/>
          <w:szCs w:val="13"/>
          <w:b w:val="1"/>
          <w:bCs w:val="1"/>
          <w:color w:val="auto"/>
        </w:rPr>
        <w:t>7.16 Prepayments, Etc. of Indebtedness</w:t>
      </w:r>
      <w:r>
        <w:rPr>
          <w:rFonts w:ascii="Arial" w:cs="Arial" w:eastAsia="Arial" w:hAnsi="Arial"/>
          <w:sz w:val="13"/>
          <w:szCs w:val="13"/>
          <w:color w:val="auto"/>
        </w:rPr>
        <w:t>. Prepay, redeem, purchase, defease or otherwise satisfy prior to the scheduled maturity thereof in any manner, or make any payment in violation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any subordination terms of, any subordinated Indebtedness, except (a) the prepayment of the Credit Extensions in accordance with the terms of this Agreement and (b) regularly scheduled or required repayments or redemptions of Indebtedness set forth in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and refinancings and refundings of such Indebtedness in compliance with </w:t>
      </w:r>
      <w:r>
        <w:rPr>
          <w:rFonts w:ascii="Arial" w:cs="Arial" w:eastAsia="Arial" w:hAnsi="Arial"/>
          <w:sz w:val="13"/>
          <w:szCs w:val="13"/>
          <w:u w:val="single" w:color="auto"/>
          <w:color w:val="auto"/>
        </w:rPr>
        <w:t>Section 7.02(e)</w:t>
      </w:r>
      <w:r>
        <w:rPr>
          <w:rFonts w:ascii="Arial" w:cs="Arial" w:eastAsia="Arial" w:hAnsi="Arial"/>
          <w:sz w:val="13"/>
          <w:szCs w:val="13"/>
          <w:color w:val="auto"/>
        </w:rPr>
        <w:t>.</w:t>
      </w:r>
    </w:p>
    <w:p>
      <w:pPr>
        <w:spacing w:after="0" w:line="14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7.17</w:t>
      </w:r>
      <w:r>
        <w:rPr>
          <w:sz w:val="20"/>
          <w:szCs w:val="20"/>
          <w:color w:val="auto"/>
        </w:rPr>
        <w:tab/>
      </w:r>
      <w:r>
        <w:rPr>
          <w:rFonts w:ascii="Arial" w:cs="Arial" w:eastAsia="Arial" w:hAnsi="Arial"/>
          <w:sz w:val="11"/>
          <w:szCs w:val="11"/>
          <w:b w:val="1"/>
          <w:bCs w:val="1"/>
          <w:color w:val="auto"/>
        </w:rPr>
        <w:t>[Reserved]</w:t>
      </w:r>
      <w:r>
        <w:rPr>
          <w:rFonts w:ascii="Arial" w:cs="Arial" w:eastAsia="Arial" w:hAnsi="Arial"/>
          <w:sz w:val="11"/>
          <w:szCs w:val="11"/>
          <w:color w:val="auto"/>
        </w:rPr>
        <w:t>.</w:t>
      </w:r>
    </w:p>
    <w:p>
      <w:pPr>
        <w:spacing w:after="0" w:line="190" w:lineRule="exact"/>
        <w:rPr>
          <w:sz w:val="20"/>
          <w:szCs w:val="20"/>
          <w:color w:val="auto"/>
        </w:rPr>
      </w:pPr>
    </w:p>
    <w:p>
      <w:pPr>
        <w:ind w:right="60" w:firstLine="495"/>
        <w:spacing w:after="0" w:line="272" w:lineRule="auto"/>
        <w:rPr>
          <w:sz w:val="20"/>
          <w:szCs w:val="20"/>
          <w:color w:val="auto"/>
        </w:rPr>
      </w:pPr>
      <w:r>
        <w:rPr>
          <w:rFonts w:ascii="Arial" w:cs="Arial" w:eastAsia="Arial" w:hAnsi="Arial"/>
          <w:sz w:val="14"/>
          <w:szCs w:val="14"/>
          <w:b w:val="1"/>
          <w:bCs w:val="1"/>
          <w:color w:val="auto"/>
        </w:rPr>
        <w:t>7.18 Anti-Corruption Laws</w:t>
      </w:r>
      <w:r>
        <w:rPr>
          <w:rFonts w:ascii="Arial" w:cs="Arial" w:eastAsia="Arial" w:hAnsi="Arial"/>
          <w:sz w:val="14"/>
          <w:szCs w:val="14"/>
          <w:color w:val="auto"/>
        </w:rPr>
        <w:t>. Directly or indirectly use the proceeds of any Credit Extension for any purpose which would breach the United States Foreign Corrupt Practices Act of 1977, the</w:t>
      </w:r>
      <w:r>
        <w:rPr>
          <w:rFonts w:ascii="Arial" w:cs="Arial" w:eastAsia="Arial" w:hAnsi="Arial"/>
          <w:sz w:val="14"/>
          <w:szCs w:val="14"/>
          <w:b w:val="1"/>
          <w:bCs w:val="1"/>
          <w:color w:val="auto"/>
        </w:rPr>
        <w:t xml:space="preserve"> </w:t>
      </w:r>
      <w:r>
        <w:rPr>
          <w:rFonts w:ascii="Arial" w:cs="Arial" w:eastAsia="Arial" w:hAnsi="Arial"/>
          <w:sz w:val="14"/>
          <w:szCs w:val="14"/>
          <w:color w:val="auto"/>
        </w:rPr>
        <w:t>UK Bribery Act 2010, and other anti-corruption legislation in other jurisdictions in any material respect.</w:t>
      </w:r>
    </w:p>
    <w:p>
      <w:pPr>
        <w:spacing w:after="0" w:line="15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7.19</w:t>
      </w:r>
      <w:r>
        <w:rPr>
          <w:sz w:val="20"/>
          <w:szCs w:val="20"/>
          <w:color w:val="auto"/>
        </w:rPr>
        <w:tab/>
      </w:r>
      <w:r>
        <w:rPr>
          <w:rFonts w:ascii="Arial" w:cs="Arial" w:eastAsia="Arial" w:hAnsi="Arial"/>
          <w:sz w:val="11"/>
          <w:szCs w:val="11"/>
          <w:b w:val="1"/>
          <w:bCs w:val="1"/>
          <w:color w:val="auto"/>
        </w:rPr>
        <w:t>[Reserved]</w:t>
      </w:r>
      <w:r>
        <w:rPr>
          <w:rFonts w:ascii="Arial" w:cs="Arial" w:eastAsia="Arial" w:hAnsi="Arial"/>
          <w:sz w:val="11"/>
          <w:szCs w:val="11"/>
          <w:color w:val="auto"/>
        </w:rPr>
        <w:t>.</w:t>
      </w:r>
    </w:p>
    <w:p>
      <w:pPr>
        <w:spacing w:after="0" w:line="190" w:lineRule="exact"/>
        <w:rPr>
          <w:sz w:val="20"/>
          <w:szCs w:val="20"/>
          <w:color w:val="auto"/>
        </w:rPr>
      </w:pPr>
    </w:p>
    <w:p>
      <w:pPr>
        <w:jc w:val="both"/>
        <w:ind w:right="120" w:firstLine="495"/>
        <w:spacing w:after="0" w:line="259" w:lineRule="auto"/>
        <w:rPr>
          <w:sz w:val="20"/>
          <w:szCs w:val="20"/>
          <w:color w:val="auto"/>
        </w:rPr>
      </w:pPr>
      <w:r>
        <w:rPr>
          <w:rFonts w:ascii="Arial" w:cs="Arial" w:eastAsia="Arial" w:hAnsi="Arial"/>
          <w:sz w:val="14"/>
          <w:szCs w:val="14"/>
          <w:b w:val="1"/>
          <w:bCs w:val="1"/>
          <w:color w:val="auto"/>
        </w:rPr>
        <w:t>7.20 Certain Transactions</w:t>
      </w:r>
      <w:r>
        <w:rPr>
          <w:rFonts w:ascii="Arial" w:cs="Arial" w:eastAsia="Arial" w:hAnsi="Arial"/>
          <w:sz w:val="14"/>
          <w:szCs w:val="14"/>
          <w:color w:val="auto"/>
        </w:rPr>
        <w:t>. Notwithstanding anything herein to the contrary, in no event shall any Loan Party (i) dispose of any Material Intellectual Property to any Subsidiary that is not a</w:t>
      </w:r>
      <w:r>
        <w:rPr>
          <w:rFonts w:ascii="Arial" w:cs="Arial" w:eastAsia="Arial" w:hAnsi="Arial"/>
          <w:sz w:val="14"/>
          <w:szCs w:val="14"/>
          <w:b w:val="1"/>
          <w:bCs w:val="1"/>
          <w:color w:val="auto"/>
        </w:rPr>
        <w:t xml:space="preserve"> </w:t>
      </w:r>
      <w:r>
        <w:rPr>
          <w:rFonts w:ascii="Arial" w:cs="Arial" w:eastAsia="Arial" w:hAnsi="Arial"/>
          <w:sz w:val="14"/>
          <w:szCs w:val="14"/>
          <w:color w:val="auto"/>
        </w:rPr>
        <w:t>Loan Party, or (ii) contribute or otherwise Invest any Material Intellectual Property to or in any Subsidiary that is not a Loan Party, in each case, other than non-exclusive licenses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96</w:t>
      </w:r>
    </w:p>
    <w:p>
      <w:pPr>
        <w:sectPr>
          <w:pgSz w:w="11900" w:h="16838" w:orient="portrait"/>
          <w:cols w:equalWidth="0" w:num="1">
            <w:col w:w="11280"/>
          </w:cols>
          <w:pgMar w:left="300" w:top="129"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EVENTS OF DEFAULT AND REMEDIES</w:t>
      </w:r>
    </w:p>
    <w:p>
      <w:pPr>
        <w:spacing w:after="0" w:line="17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8.01</w:t>
      </w:r>
      <w:r>
        <w:rPr>
          <w:sz w:val="20"/>
          <w:szCs w:val="20"/>
          <w:color w:val="auto"/>
        </w:rPr>
        <w:tab/>
      </w:r>
      <w:r>
        <w:rPr>
          <w:rFonts w:ascii="Arial" w:cs="Arial" w:eastAsia="Arial" w:hAnsi="Arial"/>
          <w:sz w:val="11"/>
          <w:szCs w:val="11"/>
          <w:b w:val="1"/>
          <w:bCs w:val="1"/>
          <w:color w:val="auto"/>
        </w:rPr>
        <w:t>Events of Default</w:t>
      </w:r>
      <w:r>
        <w:rPr>
          <w:rFonts w:ascii="Arial" w:cs="Arial" w:eastAsia="Arial" w:hAnsi="Arial"/>
          <w:sz w:val="11"/>
          <w:szCs w:val="11"/>
          <w:color w:val="auto"/>
        </w:rPr>
        <w:t>. Any of the following shall constitute an event of default (each, an “</w:t>
      </w:r>
      <w:r>
        <w:rPr>
          <w:rFonts w:ascii="Arial" w:cs="Arial" w:eastAsia="Arial" w:hAnsi="Arial"/>
          <w:sz w:val="11"/>
          <w:szCs w:val="11"/>
          <w:u w:val="single" w:color="auto"/>
          <w:color w:val="auto"/>
        </w:rPr>
        <w:t>Event of Default</w:t>
      </w:r>
      <w:r>
        <w:rPr>
          <w:rFonts w:ascii="Arial" w:cs="Arial" w:eastAsia="Arial" w:hAnsi="Arial"/>
          <w:sz w:val="11"/>
          <w:szCs w:val="11"/>
          <w:color w:val="auto"/>
        </w:rPr>
        <w:t>”):</w:t>
      </w:r>
    </w:p>
    <w:p>
      <w:pPr>
        <w:spacing w:after="0" w:line="194" w:lineRule="exact"/>
        <w:rPr>
          <w:sz w:val="20"/>
          <w:szCs w:val="20"/>
          <w:color w:val="auto"/>
        </w:rPr>
      </w:pPr>
    </w:p>
    <w:p>
      <w:pPr>
        <w:ind w:firstLine="498"/>
        <w:spacing w:after="0" w:line="256" w:lineRule="auto"/>
        <w:tabs>
          <w:tab w:leader="none" w:pos="785"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Non-Payment</w:t>
      </w:r>
      <w:r>
        <w:rPr>
          <w:rFonts w:ascii="Arial" w:cs="Arial" w:eastAsia="Arial" w:hAnsi="Arial"/>
          <w:sz w:val="14"/>
          <w:szCs w:val="14"/>
          <w:color w:val="auto"/>
        </w:rPr>
        <w:t>. The Borrower or any other Loan Party fails to (i) pay when and as required to be paid herein,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65" w:lineRule="exact"/>
        <w:rPr>
          <w:rFonts w:ascii="Arial" w:cs="Arial" w:eastAsia="Arial" w:hAnsi="Arial"/>
          <w:sz w:val="14"/>
          <w:szCs w:val="14"/>
          <w:color w:val="auto"/>
        </w:rPr>
      </w:pPr>
    </w:p>
    <w:p>
      <w:pPr>
        <w:ind w:right="340" w:firstLine="498"/>
        <w:spacing w:after="0" w:line="266" w:lineRule="auto"/>
        <w:tabs>
          <w:tab w:leader="none" w:pos="793"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Specific Covenants</w:t>
      </w:r>
      <w:r>
        <w:rPr>
          <w:rFonts w:ascii="Arial" w:cs="Arial" w:eastAsia="Arial" w:hAnsi="Arial"/>
          <w:sz w:val="14"/>
          <w:szCs w:val="14"/>
          <w:color w:val="auto"/>
        </w:rPr>
        <w:t xml:space="preserve">. The Borrower fails to perform or observe any term, covenant or agreement contained in any of (i) </w:t>
      </w:r>
      <w:r>
        <w:rPr>
          <w:rFonts w:ascii="Arial" w:cs="Arial" w:eastAsia="Arial" w:hAnsi="Arial"/>
          <w:sz w:val="14"/>
          <w:szCs w:val="14"/>
          <w:u w:val="single" w:color="auto"/>
          <w:color w:val="auto"/>
        </w:rPr>
        <w:t>Sections 6.01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6.02(b)</w:t>
      </w:r>
      <w:r>
        <w:rPr>
          <w:rFonts w:ascii="Arial" w:cs="Arial" w:eastAsia="Arial" w:hAnsi="Arial"/>
          <w:sz w:val="14"/>
          <w:szCs w:val="14"/>
          <w:color w:val="auto"/>
        </w:rPr>
        <w:t xml:space="preserve">, and such failure shall continue unremedied for a period of five days, (ii) </w:t>
      </w:r>
      <w:r>
        <w:rPr>
          <w:rFonts w:ascii="Arial" w:cs="Arial" w:eastAsia="Arial" w:hAnsi="Arial"/>
          <w:sz w:val="14"/>
          <w:szCs w:val="14"/>
          <w:u w:val="single" w:color="auto"/>
          <w:color w:val="auto"/>
        </w:rPr>
        <w:t>Sections 6.02</w:t>
      </w:r>
      <w:r>
        <w:rPr>
          <w:rFonts w:ascii="Arial" w:cs="Arial" w:eastAsia="Arial" w:hAnsi="Arial"/>
          <w:sz w:val="14"/>
          <w:szCs w:val="14"/>
          <w:color w:val="auto"/>
        </w:rPr>
        <w:t xml:space="preserve">, </w:t>
      </w:r>
      <w:r>
        <w:rPr>
          <w:rFonts w:ascii="Arial" w:cs="Arial" w:eastAsia="Arial" w:hAnsi="Arial"/>
          <w:sz w:val="14"/>
          <w:szCs w:val="14"/>
          <w:u w:val="single" w:color="auto"/>
          <w:color w:val="auto"/>
        </w:rPr>
        <w:t>6.03(a)</w:t>
      </w:r>
      <w:r>
        <w:rPr>
          <w:rFonts w:ascii="Arial" w:cs="Arial" w:eastAsia="Arial" w:hAnsi="Arial"/>
          <w:sz w:val="14"/>
          <w:szCs w:val="14"/>
          <w:color w:val="auto"/>
        </w:rPr>
        <w:t xml:space="preserve">, </w:t>
      </w:r>
      <w:r>
        <w:rPr>
          <w:rFonts w:ascii="Arial" w:cs="Arial" w:eastAsia="Arial" w:hAnsi="Arial"/>
          <w:sz w:val="14"/>
          <w:szCs w:val="14"/>
          <w:u w:val="single" w:color="auto"/>
          <w:color w:val="auto"/>
        </w:rPr>
        <w:t>6.05(a)</w:t>
      </w:r>
      <w:r>
        <w:rPr>
          <w:rFonts w:ascii="Arial" w:cs="Arial" w:eastAsia="Arial" w:hAnsi="Arial"/>
          <w:sz w:val="14"/>
          <w:szCs w:val="14"/>
          <w:color w:val="auto"/>
        </w:rPr>
        <w:t xml:space="preserve">, </w:t>
      </w:r>
      <w:r>
        <w:rPr>
          <w:rFonts w:ascii="Arial" w:cs="Arial" w:eastAsia="Arial" w:hAnsi="Arial"/>
          <w:sz w:val="14"/>
          <w:szCs w:val="14"/>
          <w:u w:val="single" w:color="auto"/>
          <w:color w:val="auto"/>
        </w:rPr>
        <w:t>6.11</w:t>
      </w:r>
      <w:r>
        <w:rPr>
          <w:rFonts w:ascii="Arial" w:cs="Arial" w:eastAsia="Arial" w:hAnsi="Arial"/>
          <w:sz w:val="14"/>
          <w:szCs w:val="14"/>
          <w:color w:val="auto"/>
        </w:rPr>
        <w:t xml:space="preserve">, </w:t>
      </w:r>
      <w:r>
        <w:rPr>
          <w:rFonts w:ascii="Arial" w:cs="Arial" w:eastAsia="Arial" w:hAnsi="Arial"/>
          <w:sz w:val="14"/>
          <w:szCs w:val="14"/>
          <w:u w:val="single" w:color="auto"/>
          <w:color w:val="auto"/>
        </w:rPr>
        <w:t>6.12</w:t>
      </w:r>
      <w:r>
        <w:rPr>
          <w:rFonts w:ascii="Arial" w:cs="Arial" w:eastAsia="Arial" w:hAnsi="Arial"/>
          <w:sz w:val="14"/>
          <w:szCs w:val="14"/>
          <w:color w:val="auto"/>
        </w:rPr>
        <w:t xml:space="preserve"> (solely with respect to Material Subsidiaries) or </w:t>
      </w:r>
      <w:r>
        <w:rPr>
          <w:rFonts w:ascii="Arial" w:cs="Arial" w:eastAsia="Arial" w:hAnsi="Arial"/>
          <w:sz w:val="14"/>
          <w:szCs w:val="14"/>
          <w:u w:val="single" w:color="auto"/>
          <w:color w:val="auto"/>
        </w:rPr>
        <w:t>Article VII</w:t>
      </w:r>
      <w:r>
        <w:rPr>
          <w:rFonts w:ascii="Arial" w:cs="Arial" w:eastAsia="Arial" w:hAnsi="Arial"/>
          <w:sz w:val="14"/>
          <w:szCs w:val="14"/>
          <w:color w:val="auto"/>
        </w:rPr>
        <w:t>; or</w:t>
      </w:r>
    </w:p>
    <w:p>
      <w:pPr>
        <w:spacing w:after="0" w:line="158" w:lineRule="exact"/>
        <w:rPr>
          <w:rFonts w:ascii="Arial" w:cs="Arial" w:eastAsia="Arial" w:hAnsi="Arial"/>
          <w:sz w:val="14"/>
          <w:szCs w:val="14"/>
          <w:color w:val="auto"/>
        </w:rPr>
      </w:pPr>
    </w:p>
    <w:p>
      <w:pPr>
        <w:ind w:right="80" w:firstLine="498"/>
        <w:spacing w:after="0" w:line="274" w:lineRule="auto"/>
        <w:tabs>
          <w:tab w:leader="none" w:pos="785"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Other Defaults</w:t>
      </w:r>
      <w:r>
        <w:rPr>
          <w:rFonts w:ascii="Arial" w:cs="Arial" w:eastAsia="Arial" w:hAnsi="Arial"/>
          <w:sz w:val="13"/>
          <w:szCs w:val="13"/>
          <w:color w:val="auto"/>
        </w:rPr>
        <w:t xml:space="preserve">. Any Loan Party fails to perform or observe any other covenant or agreement (not specified in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contained in any Loan Document on its part to be performed or observed and such failure continues for 30 days from the earlier to occur of (i) a Responsible Officer of any Loan Party having knowledge of such failure or (ii) the date on which the Administrative Agent notifies the Borrower in writing of such failure;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within such 30-day period, the Borrower commences efforts to cure such failure, and the Borrower diligently and in good faith continues to pursue such cure, then such failure shall not become an Event of Default hereunder unless and until it shall remain unremedied for a period of 45 days from the occurrence thereof (unless, in any event, the Administrative Agent reasonably determines that such failure is not capable of remedy); or</w:t>
      </w:r>
    </w:p>
    <w:p>
      <w:pPr>
        <w:spacing w:after="0" w:line="157" w:lineRule="exact"/>
        <w:rPr>
          <w:rFonts w:ascii="Arial" w:cs="Arial" w:eastAsia="Arial" w:hAnsi="Arial"/>
          <w:sz w:val="13"/>
          <w:szCs w:val="13"/>
          <w:color w:val="auto"/>
        </w:rPr>
      </w:pPr>
    </w:p>
    <w:p>
      <w:pPr>
        <w:ind w:right="60" w:firstLine="498"/>
        <w:spacing w:after="0" w:line="305" w:lineRule="auto"/>
        <w:tabs>
          <w:tab w:leader="none" w:pos="793"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35" w:lineRule="exact"/>
        <w:rPr>
          <w:rFonts w:ascii="Arial" w:cs="Arial" w:eastAsia="Arial" w:hAnsi="Arial"/>
          <w:sz w:val="13"/>
          <w:szCs w:val="13"/>
          <w:color w:val="auto"/>
        </w:rPr>
      </w:pPr>
    </w:p>
    <w:p>
      <w:pPr>
        <w:ind w:firstLine="498"/>
        <w:spacing w:after="0" w:line="323" w:lineRule="auto"/>
        <w:tabs>
          <w:tab w:leader="none" w:pos="785" w:val="left"/>
        </w:tabs>
        <w:numPr>
          <w:ilvl w:val="0"/>
          <w:numId w:val="144"/>
        </w:numPr>
        <w:rPr>
          <w:rFonts w:ascii="Arial" w:cs="Arial" w:eastAsia="Arial" w:hAnsi="Arial"/>
          <w:sz w:val="11"/>
          <w:szCs w:val="11"/>
          <w:color w:val="auto"/>
        </w:rPr>
      </w:pPr>
      <w:r>
        <w:rPr>
          <w:rFonts w:ascii="Arial" w:cs="Arial" w:eastAsia="Arial" w:hAnsi="Arial"/>
          <w:sz w:val="11"/>
          <w:szCs w:val="11"/>
          <w:u w:val="single" w:color="auto"/>
          <w:color w:val="auto"/>
        </w:rPr>
        <w:t>Cross-Default</w:t>
      </w:r>
      <w:r>
        <w:rPr>
          <w:rFonts w:ascii="Arial" w:cs="Arial" w:eastAsia="Arial" w:hAnsi="Arial"/>
          <w:sz w:val="11"/>
          <w:szCs w:val="11"/>
          <w:color w:val="auto"/>
        </w:rPr>
        <w:t>. (i) Any Loan Party or any Subsidiary thereof (A) fails to make any payment when due beyond any applicable notice or grace period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and the passage of any applicable grace period,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97</w:t>
      </w:r>
    </w:p>
    <w:p>
      <w:pPr>
        <w:sectPr>
          <w:pgSz w:w="11900" w:h="16838" w:orient="portrait"/>
          <w:cols w:equalWidth="0" w:num="1">
            <w:col w:w="11280"/>
          </w:cols>
          <w:pgMar w:left="300" w:top="129"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274" w:lineRule="auto"/>
        <w:tabs>
          <w:tab w:leader="none" w:pos="770"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Insolvency Proceedings, Etc</w:t>
      </w:r>
      <w:r>
        <w:rPr>
          <w:rFonts w:ascii="Arial" w:cs="Arial" w:eastAsia="Arial" w:hAnsi="Arial"/>
          <w:sz w:val="13"/>
          <w:szCs w:val="13"/>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7" w:lineRule="exact"/>
        <w:rPr>
          <w:rFonts w:ascii="Arial" w:cs="Arial" w:eastAsia="Arial" w:hAnsi="Arial"/>
          <w:sz w:val="13"/>
          <w:szCs w:val="13"/>
          <w:color w:val="auto"/>
        </w:rPr>
      </w:pPr>
    </w:p>
    <w:p>
      <w:pPr>
        <w:ind w:firstLine="498"/>
        <w:spacing w:after="0" w:line="256" w:lineRule="auto"/>
        <w:tabs>
          <w:tab w:leader="none" w:pos="793"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Inability to Pay Debts; Attachment</w:t>
      </w:r>
      <w:r>
        <w:rPr>
          <w:rFonts w:ascii="Arial" w:cs="Arial" w:eastAsia="Arial" w:hAnsi="Arial"/>
          <w:sz w:val="14"/>
          <w:szCs w:val="14"/>
          <w:color w:val="auto"/>
        </w:rPr>
        <w: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or</w:t>
      </w:r>
    </w:p>
    <w:p>
      <w:pPr>
        <w:spacing w:after="0" w:line="165" w:lineRule="exact"/>
        <w:rPr>
          <w:rFonts w:ascii="Arial" w:cs="Arial" w:eastAsia="Arial" w:hAnsi="Arial"/>
          <w:sz w:val="14"/>
          <w:szCs w:val="14"/>
          <w:color w:val="auto"/>
        </w:rPr>
      </w:pPr>
    </w:p>
    <w:p>
      <w:pPr>
        <w:ind w:right="120" w:firstLine="498"/>
        <w:spacing w:after="0" w:line="274" w:lineRule="auto"/>
        <w:tabs>
          <w:tab w:leader="none" w:pos="793"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Judgments</w:t>
      </w:r>
      <w:r>
        <w:rPr>
          <w:rFonts w:ascii="Arial" w:cs="Arial" w:eastAsia="Arial" w:hAnsi="Arial"/>
          <w:sz w:val="13"/>
          <w:szCs w:val="13"/>
          <w:color w:val="auto"/>
        </w:rPr>
        <w:t>. There is entered against any Loan Party or any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or</w:t>
      </w:r>
    </w:p>
    <w:p>
      <w:pPr>
        <w:spacing w:after="0" w:line="157" w:lineRule="exact"/>
        <w:rPr>
          <w:rFonts w:ascii="Arial" w:cs="Arial" w:eastAsia="Arial" w:hAnsi="Arial"/>
          <w:sz w:val="13"/>
          <w:szCs w:val="13"/>
          <w:color w:val="auto"/>
        </w:rPr>
      </w:pPr>
    </w:p>
    <w:p>
      <w:pPr>
        <w:ind w:right="140" w:firstLine="498"/>
        <w:spacing w:after="0" w:line="266" w:lineRule="auto"/>
        <w:tabs>
          <w:tab w:leader="none" w:pos="762"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ERISA</w:t>
      </w:r>
      <w:r>
        <w:rPr>
          <w:rFonts w:ascii="Arial" w:cs="Arial" w:eastAsia="Arial" w:hAnsi="Arial"/>
          <w:sz w:val="14"/>
          <w:szCs w:val="14"/>
          <w:color w:val="auto"/>
        </w:rPr>
        <w:t>. An ERISA Event occurs with respect to a Pension Plan or Multiemployer Plan which has resulted or would reasonably be expected to result in liability of the Borrower or any of its Subsidiaries to the Pension Plan, Multiemployer Plan or the PBGC in an aggregate amount in excess of the Threshold Amount; or</w:t>
      </w:r>
    </w:p>
    <w:p>
      <w:pPr>
        <w:spacing w:after="0" w:line="158" w:lineRule="exact"/>
        <w:rPr>
          <w:rFonts w:ascii="Arial" w:cs="Arial" w:eastAsia="Arial" w:hAnsi="Arial"/>
          <w:sz w:val="14"/>
          <w:szCs w:val="14"/>
          <w:color w:val="auto"/>
        </w:rPr>
      </w:pPr>
    </w:p>
    <w:p>
      <w:pPr>
        <w:ind w:right="60" w:firstLine="498"/>
        <w:spacing w:after="0" w:line="343" w:lineRule="auto"/>
        <w:tabs>
          <w:tab w:leader="none" w:pos="762" w:val="left"/>
        </w:tabs>
        <w:numPr>
          <w:ilvl w:val="0"/>
          <w:numId w:val="145"/>
        </w:numPr>
        <w:rPr>
          <w:rFonts w:ascii="Arial" w:cs="Arial" w:eastAsia="Arial" w:hAnsi="Arial"/>
          <w:sz w:val="11"/>
          <w:szCs w:val="11"/>
          <w:color w:val="auto"/>
        </w:rPr>
      </w:pPr>
      <w:r>
        <w:rPr>
          <w:rFonts w:ascii="Arial" w:cs="Arial" w:eastAsia="Arial" w:hAnsi="Arial"/>
          <w:sz w:val="11"/>
          <w:szCs w:val="11"/>
          <w:u w:val="single" w:color="auto"/>
          <w:color w:val="auto"/>
        </w:rPr>
        <w:t>Invalidity of Loan Documents</w:t>
      </w:r>
      <w:r>
        <w:rPr>
          <w:rFonts w:ascii="Arial" w:cs="Arial" w:eastAsia="Arial" w:hAnsi="Arial"/>
          <w:sz w:val="11"/>
          <w:szCs w:val="11"/>
          <w:color w:val="auto"/>
        </w:rPr>
        <w:t>. Any material provision of any Loan Document, at any time after its execution and delivery and for any reason other than as expressly permitted hereunder or thereunder or satisfaction in full of all the Obligations (other than contingent indemnification obligations for which no claims have been made),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other than as a result of full payment of amounts outstanding thereunder, or purports to revoke, terminate or rescind any provision of any Loan Document; or</w:t>
      </w:r>
    </w:p>
    <w:p>
      <w:pPr>
        <w:spacing w:after="0" w:line="122" w:lineRule="exact"/>
        <w:rPr>
          <w:rFonts w:ascii="Arial" w:cs="Arial" w:eastAsia="Arial" w:hAnsi="Arial"/>
          <w:sz w:val="11"/>
          <w:szCs w:val="11"/>
          <w:color w:val="auto"/>
        </w:rPr>
      </w:pPr>
    </w:p>
    <w:p>
      <w:pPr>
        <w:ind w:left="800" w:hanging="302"/>
        <w:spacing w:after="0"/>
        <w:tabs>
          <w:tab w:leader="none" w:pos="800"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There occurs any Change of Control; or</w:t>
      </w:r>
    </w:p>
    <w:p>
      <w:pPr>
        <w:spacing w:after="0" w:line="189" w:lineRule="exact"/>
        <w:rPr>
          <w:rFonts w:ascii="Arial" w:cs="Arial" w:eastAsia="Arial" w:hAnsi="Arial"/>
          <w:sz w:val="14"/>
          <w:szCs w:val="14"/>
          <w:color w:val="auto"/>
        </w:rPr>
      </w:pPr>
    </w:p>
    <w:p>
      <w:pPr>
        <w:ind w:right="60" w:firstLine="498"/>
        <w:spacing w:after="0" w:line="305" w:lineRule="auto"/>
        <w:tabs>
          <w:tab w:leader="none" w:pos="762"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Collateral Documents</w:t>
      </w:r>
      <w:r>
        <w:rPr>
          <w:rFonts w:ascii="Arial" w:cs="Arial" w:eastAsia="Arial" w:hAnsi="Arial"/>
          <w:sz w:val="13"/>
          <w:szCs w:val="13"/>
          <w:color w:val="auto"/>
        </w:rPr>
        <w:t xml:space="preserve">. Any Collateral Document after delivery thereof pursuant to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6.12</w:t>
      </w:r>
      <w:r>
        <w:rPr>
          <w:rFonts w:ascii="Arial" w:cs="Arial" w:eastAsia="Arial" w:hAnsi="Arial"/>
          <w:sz w:val="13"/>
          <w:szCs w:val="13"/>
          <w:color w:val="auto"/>
        </w:rPr>
        <w:t xml:space="preserve"> shall for any reason (other than pursuant to the terms thereof or as expressly permitted hereunder) cease to create a valid and perfected first priority Lien (subject to Liens permitted by </w:t>
      </w:r>
      <w:r>
        <w:rPr>
          <w:rFonts w:ascii="Arial" w:cs="Arial" w:eastAsia="Arial" w:hAnsi="Arial"/>
          <w:sz w:val="13"/>
          <w:szCs w:val="13"/>
          <w:u w:val="single" w:color="auto"/>
          <w:color w:val="auto"/>
        </w:rPr>
        <w:t>Section 7.01</w:t>
      </w:r>
      <w:r>
        <w:rPr>
          <w:rFonts w:ascii="Arial" w:cs="Arial" w:eastAsia="Arial" w:hAnsi="Arial"/>
          <w:sz w:val="13"/>
          <w:szCs w:val="13"/>
          <w:color w:val="auto"/>
        </w:rPr>
        <w:t>) on a material portion of the Collateral purported to be covered thereby.</w:t>
      </w:r>
    </w:p>
    <w:p>
      <w:pPr>
        <w:spacing w:after="0" w:line="132" w:lineRule="exact"/>
        <w:rPr>
          <w:sz w:val="20"/>
          <w:szCs w:val="20"/>
          <w:color w:val="auto"/>
        </w:rPr>
      </w:pPr>
    </w:p>
    <w:p>
      <w:pPr>
        <w:ind w:right="120" w:firstLine="495"/>
        <w:spacing w:after="0" w:line="272" w:lineRule="auto"/>
        <w:rPr>
          <w:sz w:val="20"/>
          <w:szCs w:val="20"/>
          <w:color w:val="auto"/>
        </w:rPr>
      </w:pPr>
      <w:r>
        <w:rPr>
          <w:rFonts w:ascii="Arial" w:cs="Arial" w:eastAsia="Arial" w:hAnsi="Arial"/>
          <w:sz w:val="14"/>
          <w:szCs w:val="14"/>
          <w:b w:val="1"/>
          <w:bCs w:val="1"/>
          <w:color w:val="auto"/>
        </w:rPr>
        <w:t>8.02 Remedies upon Event of Default</w:t>
      </w:r>
      <w:r>
        <w:rPr>
          <w:rFonts w:ascii="Arial" w:cs="Arial" w:eastAsia="Arial" w:hAnsi="Arial"/>
          <w:sz w:val="14"/>
          <w:szCs w:val="14"/>
          <w:color w:val="auto"/>
        </w:rPr>
        <w:t>. If any Event of Default occurs and is continuing, the Administrative Agent shall, at the request of, or may, with the consent of, the Required Lenders,</w:t>
      </w:r>
      <w:r>
        <w:rPr>
          <w:rFonts w:ascii="Arial" w:cs="Arial" w:eastAsia="Arial" w:hAnsi="Arial"/>
          <w:sz w:val="14"/>
          <w:szCs w:val="14"/>
          <w:b w:val="1"/>
          <w:bCs w:val="1"/>
          <w:color w:val="auto"/>
        </w:rPr>
        <w:t xml:space="preserve"> </w:t>
      </w:r>
      <w:r>
        <w:rPr>
          <w:rFonts w:ascii="Arial" w:cs="Arial" w:eastAsia="Arial" w:hAnsi="Arial"/>
          <w:sz w:val="14"/>
          <w:szCs w:val="14"/>
          <w:color w:val="auto"/>
        </w:rPr>
        <w:t>take any or all of the following actions:</w:t>
      </w:r>
    </w:p>
    <w:p>
      <w:pPr>
        <w:spacing w:after="0" w:line="155" w:lineRule="exact"/>
        <w:rPr>
          <w:sz w:val="20"/>
          <w:szCs w:val="20"/>
          <w:color w:val="auto"/>
        </w:rPr>
      </w:pPr>
    </w:p>
    <w:p>
      <w:pPr>
        <w:ind w:right="200" w:firstLine="498"/>
        <w:spacing w:after="0" w:line="266" w:lineRule="auto"/>
        <w:tabs>
          <w:tab w:leader="none" w:pos="785" w:val="left"/>
        </w:tabs>
        <w:numPr>
          <w:ilvl w:val="0"/>
          <w:numId w:val="146"/>
        </w:numPr>
        <w:rPr>
          <w:rFonts w:ascii="Arial" w:cs="Arial" w:eastAsia="Arial" w:hAnsi="Arial"/>
          <w:sz w:val="14"/>
          <w:szCs w:val="14"/>
          <w:color w:val="auto"/>
        </w:rPr>
      </w:pPr>
      <w:r>
        <w:rPr>
          <w:rFonts w:ascii="Arial" w:cs="Arial" w:eastAsia="Arial" w:hAnsi="Arial"/>
          <w:sz w:val="14"/>
          <w:szCs w:val="14"/>
          <w:color w:val="auto"/>
        </w:rPr>
        <w:t>declare the commitment of each Lender to make Loans and any obligation of the L/C Issuer to make L/C Credit Extensions to be terminated, whereupon such commitments and obligation shall be terminated;</w:t>
      </w:r>
    </w:p>
    <w:p>
      <w:pPr>
        <w:spacing w:after="0" w:line="158" w:lineRule="exact"/>
        <w:rPr>
          <w:rFonts w:ascii="Arial" w:cs="Arial" w:eastAsia="Arial" w:hAnsi="Arial"/>
          <w:sz w:val="14"/>
          <w:szCs w:val="14"/>
          <w:color w:val="auto"/>
        </w:rPr>
      </w:pPr>
    </w:p>
    <w:p>
      <w:pPr>
        <w:ind w:firstLine="498"/>
        <w:spacing w:after="0" w:line="305" w:lineRule="auto"/>
        <w:tabs>
          <w:tab w:leader="none" w:pos="79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98</w:t>
      </w:r>
    </w:p>
    <w:p>
      <w:pPr>
        <w:sectPr>
          <w:pgSz w:w="11900" w:h="16838" w:orient="portrait"/>
          <w:cols w:equalWidth="0" w:num="1">
            <w:col w:w="11280"/>
          </w:cols>
          <w:pgMar w:left="300" w:top="129" w:right="3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80" w:hanging="282"/>
        <w:spacing w:after="0"/>
        <w:tabs>
          <w:tab w:leader="none" w:pos="7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require that the Borrower Cash Collateralize the L/C Obligations (in an amount equal to the Minimum Collateral Amount with respect thereto); and</w:t>
      </w:r>
    </w:p>
    <w:p>
      <w:pPr>
        <w:spacing w:after="0" w:line="189" w:lineRule="exact"/>
        <w:rPr>
          <w:rFonts w:ascii="Arial" w:cs="Arial" w:eastAsia="Arial" w:hAnsi="Arial"/>
          <w:sz w:val="14"/>
          <w:szCs w:val="14"/>
          <w:color w:val="auto"/>
        </w:rPr>
      </w:pPr>
    </w:p>
    <w:p>
      <w:pPr>
        <w:ind w:left="800" w:hanging="302"/>
        <w:spacing w:after="0"/>
        <w:tabs>
          <w:tab w:leader="none" w:pos="8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exercise on behalf of itself, the Lenders and the L/C Issuer all rights and remedies available to it, the Lenders and the L/C Issuer under the Loan Documents;</w:t>
      </w:r>
    </w:p>
    <w:p>
      <w:pPr>
        <w:spacing w:after="0" w:line="190" w:lineRule="exact"/>
        <w:rPr>
          <w:sz w:val="20"/>
          <w:szCs w:val="20"/>
          <w:color w:val="auto"/>
        </w:rPr>
      </w:pPr>
    </w:p>
    <w:p>
      <w:pPr>
        <w:ind w:right="540"/>
        <w:spacing w:after="0" w:line="358" w:lineRule="auto"/>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upon the occurrence of an event described in </w:t>
      </w:r>
      <w:r>
        <w:rPr>
          <w:rFonts w:ascii="Arial" w:cs="Arial" w:eastAsia="Arial" w:hAnsi="Arial"/>
          <w:sz w:val="11"/>
          <w:szCs w:val="11"/>
          <w:u w:val="single" w:color="auto"/>
          <w:color w:val="auto"/>
        </w:rPr>
        <w:t>Section 8.01(f)</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(g)</w:t>
      </w:r>
      <w:r>
        <w:rPr>
          <w:rFonts w:ascii="Arial" w:cs="Arial" w:eastAsia="Arial" w:hAnsi="Arial"/>
          <w:sz w:val="11"/>
          <w:szCs w:val="11"/>
          <w:color w:val="auto"/>
        </w:rPr>
        <w:t>,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11" w:lineRule="exact"/>
        <w:rPr>
          <w:sz w:val="20"/>
          <w:szCs w:val="20"/>
          <w:color w:val="auto"/>
        </w:rPr>
      </w:pPr>
    </w:p>
    <w:p>
      <w:pPr>
        <w:jc w:val="both"/>
        <w:ind w:right="140" w:firstLine="495"/>
        <w:spacing w:after="0" w:line="259" w:lineRule="auto"/>
        <w:rPr>
          <w:sz w:val="20"/>
          <w:szCs w:val="20"/>
          <w:color w:val="auto"/>
        </w:rPr>
      </w:pPr>
      <w:r>
        <w:rPr>
          <w:rFonts w:ascii="Arial" w:cs="Arial" w:eastAsia="Arial" w:hAnsi="Arial"/>
          <w:sz w:val="14"/>
          <w:szCs w:val="14"/>
          <w:b w:val="1"/>
          <w:bCs w:val="1"/>
          <w:color w:val="auto"/>
        </w:rPr>
        <w:t>8.03 Application of Funds</w:t>
      </w:r>
      <w:r>
        <w:rPr>
          <w:rFonts w:ascii="Arial" w:cs="Arial" w:eastAsia="Arial" w:hAnsi="Arial"/>
          <w:sz w:val="14"/>
          <w:szCs w:val="14"/>
          <w:color w:val="auto"/>
        </w:rPr>
        <w:t>. After the exercise of remedies provided for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8.02</w:t>
      </w:r>
      <w:r>
        <w:rPr>
          <w:rFonts w:ascii="Arial" w:cs="Arial" w:eastAsia="Arial" w:hAnsi="Arial"/>
          <w:sz w:val="14"/>
          <w:szCs w:val="14"/>
          <w:b w:val="1"/>
          <w:bCs w:val="1"/>
          <w:color w:val="auto"/>
        </w:rPr>
        <w:t xml:space="preserve"> </w:t>
      </w:r>
      <w:r>
        <w:rPr>
          <w:rFonts w:ascii="Arial" w:cs="Arial" w:eastAsia="Arial" w:hAnsi="Arial"/>
          <w:sz w:val="14"/>
          <w:szCs w:val="14"/>
          <w:color w:val="auto"/>
        </w:rPr>
        <w:t>(or after the Loans have automatically become immediately due and payable and the L/C Obligations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have automatically been required to be Cash Collateralized as set forth in the proviso to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any amounts received on account of the Obligations shall, subject to the provisions of </w:t>
      </w:r>
      <w:r>
        <w:rPr>
          <w:rFonts w:ascii="Arial" w:cs="Arial" w:eastAsia="Arial" w:hAnsi="Arial"/>
          <w:sz w:val="14"/>
          <w:szCs w:val="14"/>
          <w:u w:val="single" w:color="auto"/>
          <w:color w:val="auto"/>
        </w:rPr>
        <w:t>Sections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2.17</w:t>
      </w:r>
      <w:r>
        <w:rPr>
          <w:rFonts w:ascii="Arial" w:cs="Arial" w:eastAsia="Arial" w:hAnsi="Arial"/>
          <w:sz w:val="14"/>
          <w:szCs w:val="14"/>
          <w:color w:val="auto"/>
        </w:rPr>
        <w:t>, be applied by the Administrative Agent in the following order:</w:t>
      </w:r>
    </w:p>
    <w:p>
      <w:pPr>
        <w:spacing w:after="0" w:line="163" w:lineRule="exact"/>
        <w:rPr>
          <w:sz w:val="20"/>
          <w:szCs w:val="20"/>
          <w:color w:val="auto"/>
        </w:rPr>
      </w:pPr>
    </w:p>
    <w:p>
      <w:pPr>
        <w:ind w:right="160" w:firstLine="495"/>
        <w:spacing w:after="0" w:line="266" w:lineRule="auto"/>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4"/>
          <w:szCs w:val="14"/>
          <w:u w:val="single" w:color="auto"/>
          <w:color w:val="auto"/>
        </w:rPr>
        <w:t>Article III</w:t>
      </w:r>
      <w:r>
        <w:rPr>
          <w:rFonts w:ascii="Arial" w:cs="Arial" w:eastAsia="Arial" w:hAnsi="Arial"/>
          <w:sz w:val="14"/>
          <w:szCs w:val="14"/>
          <w:color w:val="auto"/>
        </w:rPr>
        <w:t>) payable to the Administrative Agent in its capacity as such;</w:t>
      </w:r>
    </w:p>
    <w:p>
      <w:pPr>
        <w:spacing w:after="0" w:line="159" w:lineRule="exact"/>
        <w:rPr>
          <w:sz w:val="20"/>
          <w:szCs w:val="20"/>
          <w:color w:val="auto"/>
        </w:rPr>
      </w:pPr>
    </w:p>
    <w:p>
      <w:pPr>
        <w:jc w:val="both"/>
        <w:ind w:right="80" w:firstLine="495"/>
        <w:spacing w:after="0" w:line="256" w:lineRule="auto"/>
        <w:rPr>
          <w:sz w:val="20"/>
          <w:szCs w:val="20"/>
          <w:color w:val="auto"/>
        </w:rPr>
      </w:pPr>
      <w:r>
        <w:rPr>
          <w:rFonts w:ascii="Arial" w:cs="Arial" w:eastAsia="Arial" w:hAnsi="Arial"/>
          <w:sz w:val="14"/>
          <w:szCs w:val="14"/>
          <w:u w:val="single" w:color="auto"/>
          <w:color w:val="auto"/>
        </w:rPr>
        <w:t>Second</w:t>
      </w:r>
      <w:r>
        <w:rPr>
          <w:rFonts w:ascii="Arial" w:cs="Arial" w:eastAsia="Arial" w:hAnsi="Arial"/>
          <w:sz w:val="14"/>
          <w:szCs w:val="14"/>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ratably among them in proportion to the respective amounts described in this clause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payable to them;</w:t>
      </w:r>
    </w:p>
    <w:p>
      <w:pPr>
        <w:spacing w:after="0" w:line="166" w:lineRule="exact"/>
        <w:rPr>
          <w:sz w:val="20"/>
          <w:szCs w:val="20"/>
          <w:color w:val="auto"/>
        </w:rPr>
      </w:pPr>
    </w:p>
    <w:p>
      <w:pPr>
        <w:ind w:right="100" w:firstLine="495"/>
        <w:spacing w:after="0" w:line="266" w:lineRule="auto"/>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14"/>
          <w:szCs w:val="14"/>
          <w:u w:val="single" w:color="auto"/>
          <w:color w:val="auto"/>
        </w:rPr>
        <w:t>Third</w:t>
      </w:r>
      <w:r>
        <w:rPr>
          <w:rFonts w:ascii="Arial" w:cs="Arial" w:eastAsia="Arial" w:hAnsi="Arial"/>
          <w:sz w:val="14"/>
          <w:szCs w:val="14"/>
          <w:color w:val="auto"/>
        </w:rPr>
        <w:t xml:space="preserve"> payable to them;</w:t>
      </w:r>
    </w:p>
    <w:p>
      <w:pPr>
        <w:spacing w:after="0" w:line="159" w:lineRule="exact"/>
        <w:rPr>
          <w:sz w:val="20"/>
          <w:szCs w:val="20"/>
          <w:color w:val="auto"/>
        </w:rPr>
      </w:pPr>
    </w:p>
    <w:p>
      <w:pPr>
        <w:ind w:right="80" w:firstLine="495"/>
        <w:spacing w:after="0" w:line="256" w:lineRule="auto"/>
        <w:rPr>
          <w:sz w:val="20"/>
          <w:szCs w:val="20"/>
          <w:color w:val="auto"/>
        </w:rPr>
      </w:pPr>
      <w:r>
        <w:rPr>
          <w:rFonts w:ascii="Arial" w:cs="Arial" w:eastAsia="Arial" w:hAnsi="Arial"/>
          <w:sz w:val="14"/>
          <w:szCs w:val="14"/>
          <w:u w:val="single" w:color="auto"/>
          <w:color w:val="auto"/>
        </w:rPr>
        <w:t>Fourth</w:t>
      </w:r>
      <w:r>
        <w:rPr>
          <w:rFonts w:ascii="Arial" w:cs="Arial" w:eastAsia="Arial" w:hAnsi="Arial"/>
          <w:sz w:val="14"/>
          <w:szCs w:val="14"/>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 the Hedge Banks and the Cash Management Banks in proportion to the respective amounts described in this clause </w:t>
      </w:r>
      <w:r>
        <w:rPr>
          <w:rFonts w:ascii="Arial" w:cs="Arial" w:eastAsia="Arial" w:hAnsi="Arial"/>
          <w:sz w:val="14"/>
          <w:szCs w:val="14"/>
          <w:u w:val="single" w:color="auto"/>
          <w:color w:val="auto"/>
        </w:rPr>
        <w:t>Fourth</w:t>
      </w:r>
      <w:r>
        <w:rPr>
          <w:rFonts w:ascii="Arial" w:cs="Arial" w:eastAsia="Arial" w:hAnsi="Arial"/>
          <w:sz w:val="14"/>
          <w:szCs w:val="14"/>
          <w:color w:val="auto"/>
        </w:rPr>
        <w:t xml:space="preserve"> held by them;</w:t>
      </w:r>
    </w:p>
    <w:p>
      <w:pPr>
        <w:spacing w:after="0" w:line="166" w:lineRule="exact"/>
        <w:rPr>
          <w:sz w:val="20"/>
          <w:szCs w:val="20"/>
          <w:color w:val="auto"/>
        </w:rPr>
      </w:pPr>
    </w:p>
    <w:p>
      <w:pPr>
        <w:ind w:right="200" w:firstLine="495"/>
        <w:spacing w:after="0" w:line="266" w:lineRule="auto"/>
        <w:rPr>
          <w:sz w:val="20"/>
          <w:szCs w:val="20"/>
          <w:color w:val="auto"/>
        </w:rPr>
      </w:pPr>
      <w:r>
        <w:rPr>
          <w:rFonts w:ascii="Arial" w:cs="Arial" w:eastAsia="Arial" w:hAnsi="Arial"/>
          <w:sz w:val="14"/>
          <w:szCs w:val="14"/>
          <w:u w:val="single" w:color="auto"/>
          <w:color w:val="auto"/>
        </w:rPr>
        <w:t>Fifth</w:t>
      </w:r>
      <w:r>
        <w:rPr>
          <w:rFonts w:ascii="Arial" w:cs="Arial" w:eastAsia="Arial" w:hAnsi="Arial"/>
          <w:sz w:val="14"/>
          <w:szCs w:val="14"/>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14"/>
          <w:szCs w:val="14"/>
          <w:u w:val="single" w:color="auto"/>
          <w:color w:val="auto"/>
        </w:rPr>
        <w:t>Sections 2.03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2.16</w:t>
      </w:r>
      <w:r>
        <w:rPr>
          <w:rFonts w:ascii="Arial" w:cs="Arial" w:eastAsia="Arial" w:hAnsi="Arial"/>
          <w:sz w:val="14"/>
          <w:szCs w:val="14"/>
          <w:color w:val="auto"/>
        </w:rPr>
        <w:t>; and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Last</w:t>
      </w:r>
      <w:r>
        <w:rPr>
          <w:rFonts w:ascii="Arial" w:cs="Arial" w:eastAsia="Arial" w:hAnsi="Arial"/>
          <w:sz w:val="14"/>
          <w:szCs w:val="14"/>
          <w:color w:val="auto"/>
        </w:rPr>
        <w:t>, the balance, if any, after all of the Obligations have been indefeasibly paid in full, to the Borrower or as otherwise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Sections 2.03(c)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2.16</w:t>
      </w:r>
      <w:r>
        <w:rPr>
          <w:rFonts w:ascii="Arial" w:cs="Arial" w:eastAsia="Arial" w:hAnsi="Arial"/>
          <w:sz w:val="11"/>
          <w:szCs w:val="11"/>
          <w:color w:val="auto"/>
        </w:rPr>
        <w:t xml:space="preserve">, amounts used to Cash Collateralize the aggregate undrawn amount of Letters of Credit pursuant to clause </w:t>
      </w:r>
      <w:r>
        <w:rPr>
          <w:rFonts w:ascii="Arial" w:cs="Arial" w:eastAsia="Arial" w:hAnsi="Arial"/>
          <w:sz w:val="11"/>
          <w:szCs w:val="11"/>
          <w:u w:val="single" w:color="auto"/>
          <w:color w:val="auto"/>
        </w:rPr>
        <w:t>Fifth</w:t>
      </w:r>
      <w:r>
        <w:rPr>
          <w:rFonts w:ascii="Arial" w:cs="Arial" w:eastAsia="Arial" w:hAnsi="Arial"/>
          <w:sz w:val="11"/>
          <w:szCs w:val="11"/>
          <w:color w:val="auto"/>
        </w:rPr>
        <w:t xml:space="preserve"> above shall be applied to satisfy drawings under such</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Letters of Credit as they occur. If any amount remains on deposit as Cash Collateral after all Letters of Credit have either been fully drawn or expired, such remaining amount shall be applied to the other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Obligations, if any, in the order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99</w:t>
      </w:r>
    </w:p>
    <w:p>
      <w:pPr>
        <w:sectPr>
          <w:pgSz w:w="11900" w:h="16838" w:orient="portrait"/>
          <w:cols w:equalWidth="0" w:num="1">
            <w:col w:w="11280"/>
          </w:cols>
          <w:pgMar w:left="300" w:top="129" w:right="3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343" w:lineRule="auto"/>
        <w:rPr>
          <w:sz w:val="20"/>
          <w:szCs w:val="20"/>
          <w:color w:val="auto"/>
        </w:rPr>
      </w:pPr>
      <w:r>
        <w:rPr>
          <w:rFonts w:ascii="Arial" w:cs="Arial" w:eastAsia="Arial" w:hAnsi="Arial"/>
          <w:sz w:val="11"/>
          <w:szCs w:val="11"/>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hereof for itself and its Affiliates as if a “Lender” party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ADMINISTRATIVE AGENT</w:t>
      </w:r>
    </w:p>
    <w:p>
      <w:pPr>
        <w:spacing w:after="0" w:line="176" w:lineRule="exact"/>
        <w:rPr>
          <w:sz w:val="20"/>
          <w:szCs w:val="20"/>
          <w:color w:val="auto"/>
        </w:rPr>
      </w:pPr>
    </w:p>
    <w:p>
      <w:pPr>
        <w:ind w:right="40" w:firstLine="495"/>
        <w:spacing w:after="0" w:line="271" w:lineRule="auto"/>
        <w:rPr>
          <w:sz w:val="20"/>
          <w:szCs w:val="20"/>
          <w:color w:val="auto"/>
        </w:rPr>
      </w:pPr>
      <w:r>
        <w:rPr>
          <w:rFonts w:ascii="Arial" w:cs="Arial" w:eastAsia="Arial" w:hAnsi="Arial"/>
          <w:sz w:val="13"/>
          <w:szCs w:val="13"/>
          <w:b w:val="1"/>
          <w:bCs w:val="1"/>
          <w:color w:val="auto"/>
        </w:rPr>
        <w:t>9.01 Appointment and Authority</w:t>
      </w:r>
      <w:r>
        <w:rPr>
          <w:rFonts w:ascii="Arial" w:cs="Arial" w:eastAsia="Arial" w:hAnsi="Arial"/>
          <w:sz w:val="13"/>
          <w:szCs w:val="13"/>
          <w:color w:val="auto"/>
        </w:rPr>
        <w:t>. (a) Each of the Lenders and the L/C Issuer hereby irrevocably appoints Bank of America to act on its behalf as the Administrative Agent hereunder and</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(including entering into, executing and delivering any intercreditor agreement on behalf of the Secured Parties with any of the agent, holders or lenders of Permitted Priority Debt, as contemplated under the definition of “Permitted Priority Debt”). Except as provided under Section 9.06 and 9.10, the provisions of this Article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9" w:lineRule="exact"/>
        <w:rPr>
          <w:sz w:val="20"/>
          <w:szCs w:val="20"/>
          <w:color w:val="auto"/>
        </w:rPr>
      </w:pPr>
    </w:p>
    <w:p>
      <w:pPr>
        <w:ind w:firstLine="498"/>
        <w:spacing w:after="0" w:line="271" w:lineRule="auto"/>
        <w:tabs>
          <w:tab w:leader="none" w:pos="79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Administrative Agent shall also act as the “</w:t>
      </w:r>
      <w:r>
        <w:rPr>
          <w:rFonts w:ascii="Arial" w:cs="Arial" w:eastAsia="Arial" w:hAnsi="Arial"/>
          <w:sz w:val="13"/>
          <w:szCs w:val="13"/>
          <w:u w:val="single" w:color="auto"/>
          <w:color w:val="auto"/>
        </w:rPr>
        <w:t>collateral agent</w:t>
      </w:r>
      <w:r>
        <w:rPr>
          <w:rFonts w:ascii="Arial" w:cs="Arial" w:eastAsia="Arial" w:hAnsi="Arial"/>
          <w:sz w:val="13"/>
          <w:szCs w:val="13"/>
          <w:color w:val="auto"/>
        </w:rPr>
        <w:t xml:space="preserve">”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3"/>
          <w:szCs w:val="13"/>
          <w:u w:val="single" w:color="auto"/>
          <w:color w:val="auto"/>
        </w:rPr>
        <w:t>Section 9.05</w:t>
      </w:r>
      <w:r>
        <w:rPr>
          <w:rFonts w:ascii="Arial" w:cs="Arial" w:eastAsia="Arial" w:hAnsi="Arial"/>
          <w:sz w:val="13"/>
          <w:szCs w:val="13"/>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(including </w:t>
      </w:r>
      <w:r>
        <w:rPr>
          <w:rFonts w:ascii="Arial" w:cs="Arial" w:eastAsia="Arial" w:hAnsi="Arial"/>
          <w:sz w:val="13"/>
          <w:szCs w:val="13"/>
          <w:u w:val="single" w:color="auto"/>
          <w:color w:val="auto"/>
        </w:rPr>
        <w:t>Section 11.04(c)</w:t>
      </w:r>
      <w:r>
        <w:rPr>
          <w:rFonts w:ascii="Arial" w:cs="Arial" w:eastAsia="Arial" w:hAnsi="Arial"/>
          <w:sz w:val="13"/>
          <w:szCs w:val="13"/>
          <w:color w:val="auto"/>
        </w:rPr>
        <w:t>), as though such co-agents, sub-agents and attorneys-in-fact were the “collateral agent” under the Loan Documents, as if set forth in full herein with respect thereto.</w:t>
      </w:r>
    </w:p>
    <w:p>
      <w:pPr>
        <w:spacing w:after="0" w:line="155"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b w:val="1"/>
          <w:bCs w:val="1"/>
          <w:color w:val="auto"/>
        </w:rPr>
        <w:t>9.02 Rights as a Lender</w:t>
      </w:r>
      <w:r>
        <w:rPr>
          <w:rFonts w:ascii="Arial" w:cs="Arial" w:eastAsia="Arial" w:hAnsi="Arial"/>
          <w:sz w:val="14"/>
          <w:szCs w:val="14"/>
          <w:color w:val="auto"/>
        </w:rPr>
        <w:t>. The Person serving as the Administrative Agent hereunder shall have the same rights and powers in its capacity as a Lender as any other Lender and may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9.03</w:t>
      </w:r>
      <w:r>
        <w:rPr>
          <w:sz w:val="20"/>
          <w:szCs w:val="20"/>
          <w:color w:val="auto"/>
        </w:rPr>
        <w:tab/>
      </w:r>
      <w:r>
        <w:rPr>
          <w:rFonts w:ascii="Arial" w:cs="Arial" w:eastAsia="Arial" w:hAnsi="Arial"/>
          <w:sz w:val="11"/>
          <w:szCs w:val="11"/>
          <w:b w:val="1"/>
          <w:bCs w:val="1"/>
          <w:color w:val="auto"/>
        </w:rPr>
        <w:t>Exculpatory Provisions</w:t>
      </w:r>
      <w:r>
        <w:rPr>
          <w:rFonts w:ascii="Arial" w:cs="Arial" w:eastAsia="Arial" w:hAnsi="Arial"/>
          <w:sz w:val="11"/>
          <w:szCs w:val="11"/>
          <w:color w:val="auto"/>
        </w:rPr>
        <w:t>.</w:t>
      </w:r>
    </w:p>
    <w:p>
      <w:pPr>
        <w:spacing w:after="0" w:line="194" w:lineRule="exact"/>
        <w:rPr>
          <w:sz w:val="20"/>
          <w:szCs w:val="20"/>
          <w:color w:val="auto"/>
        </w:rPr>
      </w:pPr>
    </w:p>
    <w:p>
      <w:pPr>
        <w:ind w:right="60" w:firstLine="498"/>
        <w:spacing w:after="0" w:line="266" w:lineRule="auto"/>
        <w:tabs>
          <w:tab w:leader="none" w:pos="78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100</w:t>
      </w:r>
    </w:p>
    <w:p>
      <w:pPr>
        <w:sectPr>
          <w:pgSz w:w="11900" w:h="16838" w:orient="portrait"/>
          <w:cols w:equalWidth="0" w:num="1">
            <w:col w:w="11280"/>
          </w:cols>
          <w:pgMar w:left="300" w:top="129" w:right="3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hanging="267"/>
        <w:spacing w:after="0"/>
        <w:tabs>
          <w:tab w:leader="none" w:pos="12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shall not be subject to any fiduciary or other implied duties, regardless of whether a Default has occurred and is continuing;</w:t>
      </w:r>
    </w:p>
    <w:p>
      <w:pPr>
        <w:spacing w:after="0" w:line="189" w:lineRule="exact"/>
        <w:rPr>
          <w:rFonts w:ascii="Arial" w:cs="Arial" w:eastAsia="Arial" w:hAnsi="Arial"/>
          <w:sz w:val="14"/>
          <w:szCs w:val="14"/>
          <w:color w:val="auto"/>
        </w:rPr>
      </w:pPr>
    </w:p>
    <w:p>
      <w:pPr>
        <w:ind w:left="500" w:right="140" w:firstLine="493"/>
        <w:spacing w:after="0" w:line="335" w:lineRule="auto"/>
        <w:tabs>
          <w:tab w:leader="none" w:pos="130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27" w:lineRule="exact"/>
        <w:rPr>
          <w:rFonts w:ascii="Arial" w:cs="Arial" w:eastAsia="Arial" w:hAnsi="Arial"/>
          <w:sz w:val="11"/>
          <w:szCs w:val="11"/>
          <w:color w:val="auto"/>
        </w:rPr>
      </w:pPr>
    </w:p>
    <w:p>
      <w:pPr>
        <w:ind w:left="500" w:right="40" w:firstLine="493"/>
        <w:spacing w:after="0" w:line="252" w:lineRule="auto"/>
        <w:tabs>
          <w:tab w:leader="none" w:pos="1339"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obtained by or in the possession of, the Administrative Agent or any of their Related Parties in any capacity, except for notices, reports and other documents expressly required to be furnished to the Lenders by the Administrative Agent herein;</w:t>
      </w:r>
    </w:p>
    <w:p>
      <w:pPr>
        <w:spacing w:after="0" w:line="169" w:lineRule="exact"/>
        <w:rPr>
          <w:rFonts w:ascii="Arial" w:cs="Arial" w:eastAsia="Arial" w:hAnsi="Arial"/>
          <w:sz w:val="14"/>
          <w:szCs w:val="14"/>
          <w:color w:val="auto"/>
        </w:rPr>
      </w:pPr>
    </w:p>
    <w:p>
      <w:pPr>
        <w:jc w:val="both"/>
        <w:ind w:left="500" w:right="100" w:firstLine="493"/>
        <w:spacing w:after="0" w:line="343" w:lineRule="auto"/>
        <w:tabs>
          <w:tab w:leader="none" w:pos="1331" w:val="left"/>
        </w:tabs>
        <w:numPr>
          <w:ilvl w:val="0"/>
          <w:numId w:val="150"/>
        </w:numPr>
        <w:rPr>
          <w:rFonts w:ascii="Arial" w:cs="Arial" w:eastAsia="Arial" w:hAnsi="Arial"/>
          <w:sz w:val="11"/>
          <w:szCs w:val="11"/>
          <w:color w:val="auto"/>
        </w:rPr>
      </w:pPr>
      <w:r>
        <w:rPr>
          <w:rFonts w:ascii="Arial" w:cs="Arial" w:eastAsia="Arial" w:hAnsi="Arial"/>
          <w:sz w:val="11"/>
          <w:szCs w:val="11"/>
          <w:color w:val="auto"/>
        </w:rPr>
        <w:t xml:space="preserve">shall not be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1"/>
          <w:szCs w:val="11"/>
          <w:u w:val="single" w:color="auto"/>
          <w:color w:val="auto"/>
        </w:rPr>
        <w:t>Sections 11.01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8.02</w:t>
      </w:r>
      <w:r>
        <w:rPr>
          <w:rFonts w:ascii="Arial" w:cs="Arial" w:eastAsia="Arial" w:hAnsi="Arial"/>
          <w:sz w:val="11"/>
          <w:szCs w:val="11"/>
          <w:color w:val="auto"/>
        </w:rPr>
        <w:t>) or (B)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a Lender or the L/C Issuer; and</w:t>
      </w:r>
    </w:p>
    <w:p>
      <w:pPr>
        <w:spacing w:after="0" w:line="122" w:lineRule="exact"/>
        <w:rPr>
          <w:rFonts w:ascii="Arial" w:cs="Arial" w:eastAsia="Arial" w:hAnsi="Arial"/>
          <w:sz w:val="11"/>
          <w:szCs w:val="11"/>
          <w:color w:val="auto"/>
        </w:rPr>
      </w:pPr>
    </w:p>
    <w:p>
      <w:pPr>
        <w:ind w:left="500" w:right="40" w:firstLine="493"/>
        <w:spacing w:after="0" w:line="250" w:lineRule="auto"/>
        <w:tabs>
          <w:tab w:leader="none" w:pos="129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xml:space="preserve">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the creation, perfection or priority of any Lien purported to be created by the Collateral Documents, (D) the value or the sufficiency of any Collateral, or (E) the satisfaction of any condition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or elsewhere herein, other than to confirm receipt of items expressly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-1652905</wp:posOffset>
            </wp:positionV>
            <wp:extent cx="2159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46" w:lineRule="exact"/>
        <w:rPr>
          <w:sz w:val="20"/>
          <w:szCs w:val="20"/>
          <w:color w:val="auto"/>
        </w:rPr>
      </w:pPr>
    </w:p>
    <w:p>
      <w:pPr>
        <w:ind w:right="20" w:firstLine="495"/>
        <w:spacing w:after="0" w:line="271" w:lineRule="auto"/>
        <w:rPr>
          <w:sz w:val="20"/>
          <w:szCs w:val="20"/>
          <w:color w:val="auto"/>
        </w:rPr>
      </w:pPr>
      <w:r>
        <w:rPr>
          <w:rFonts w:ascii="Arial" w:cs="Arial" w:eastAsia="Arial" w:hAnsi="Arial"/>
          <w:sz w:val="13"/>
          <w:szCs w:val="13"/>
          <w:b w:val="1"/>
          <w:bCs w:val="1"/>
          <w:color w:val="auto"/>
        </w:rPr>
        <w:t>9.04 Reliance by Administrative Agent</w:t>
      </w:r>
      <w:r>
        <w:rPr>
          <w:rFonts w:ascii="Arial" w:cs="Arial" w:eastAsia="Arial" w:hAnsi="Arial"/>
          <w:sz w:val="13"/>
          <w:szCs w:val="13"/>
          <w:color w:val="auto"/>
        </w:rPr>
        <w:t>. The Administrative Agent shall be entitled to rely upon, and shall not incur any liability for relying upon, any notice, request, certificate, consent,</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101</w:t>
      </w:r>
    </w:p>
    <w:p>
      <w:pPr>
        <w:sectPr>
          <w:pgSz w:w="11900" w:h="16838" w:orient="portrait"/>
          <w:cols w:equalWidth="0" w:num="1">
            <w:col w:w="11280"/>
          </w:cols>
          <w:pgMar w:left="300" w:top="129" w:right="3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495"/>
        <w:spacing w:after="0" w:line="274" w:lineRule="auto"/>
        <w:rPr>
          <w:sz w:val="20"/>
          <w:szCs w:val="20"/>
          <w:color w:val="auto"/>
        </w:rPr>
      </w:pPr>
      <w:r>
        <w:rPr>
          <w:rFonts w:ascii="Arial" w:cs="Arial" w:eastAsia="Arial" w:hAnsi="Arial"/>
          <w:sz w:val="13"/>
          <w:szCs w:val="13"/>
          <w:b w:val="1"/>
          <w:bCs w:val="1"/>
          <w:color w:val="auto"/>
        </w:rPr>
        <w:t>9.05 Delegation of Duties</w:t>
      </w:r>
      <w:r>
        <w:rPr>
          <w:rFonts w:ascii="Arial" w:cs="Arial" w:eastAsia="Arial" w:hAnsi="Arial"/>
          <w:sz w:val="13"/>
          <w:szCs w:val="13"/>
          <w:color w:val="auto"/>
        </w:rPr>
        <w:t>. The Administrative Agent may perform any and all of its duties and exercise its rights and powers hereunder or under any other Loan Document by or through any</w:t>
      </w:r>
      <w:r>
        <w:rPr>
          <w:rFonts w:ascii="Arial" w:cs="Arial" w:eastAsia="Arial" w:hAnsi="Arial"/>
          <w:sz w:val="13"/>
          <w:szCs w:val="13"/>
          <w:b w:val="1"/>
          <w:bCs w:val="1"/>
          <w:color w:val="auto"/>
        </w:rPr>
        <w:t xml:space="preserve"> </w:t>
      </w:r>
      <w:r>
        <w:rPr>
          <w:rFonts w:ascii="Arial" w:cs="Arial" w:eastAsia="Arial" w:hAnsi="Arial"/>
          <w:sz w:val="13"/>
          <w:szCs w:val="13"/>
          <w:color w:val="auto"/>
        </w:rPr>
        <w:t>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9.06</w:t>
      </w:r>
      <w:r>
        <w:rPr>
          <w:sz w:val="20"/>
          <w:szCs w:val="20"/>
          <w:color w:val="auto"/>
        </w:rPr>
        <w:tab/>
      </w:r>
      <w:r>
        <w:rPr>
          <w:rFonts w:ascii="Arial" w:cs="Arial" w:eastAsia="Arial" w:hAnsi="Arial"/>
          <w:sz w:val="11"/>
          <w:szCs w:val="11"/>
          <w:b w:val="1"/>
          <w:bCs w:val="1"/>
          <w:color w:val="auto"/>
        </w:rPr>
        <w:t>Resignation of Administrative Agent</w:t>
      </w:r>
      <w:r>
        <w:rPr>
          <w:rFonts w:ascii="Arial" w:cs="Arial" w:eastAsia="Arial" w:hAnsi="Arial"/>
          <w:sz w:val="11"/>
          <w:szCs w:val="11"/>
          <w:color w:val="auto"/>
        </w:rPr>
        <w:t>.</w:t>
      </w:r>
    </w:p>
    <w:p>
      <w:pPr>
        <w:spacing w:after="0" w:line="194" w:lineRule="exact"/>
        <w:rPr>
          <w:sz w:val="20"/>
          <w:szCs w:val="20"/>
          <w:color w:val="auto"/>
        </w:rPr>
      </w:pPr>
    </w:p>
    <w:p>
      <w:pPr>
        <w:ind w:right="20" w:firstLine="498"/>
        <w:spacing w:after="0" w:line="272" w:lineRule="auto"/>
        <w:tabs>
          <w:tab w:leader="none" w:pos="78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3"/>
          <w:szCs w:val="13"/>
          <w:u w:val="single" w:color="auto"/>
          <w:color w:val="auto"/>
        </w:rPr>
        <w:t>Resignation Effective Date</w:t>
      </w:r>
      <w:r>
        <w:rPr>
          <w:rFonts w:ascii="Arial" w:cs="Arial" w:eastAsia="Arial" w:hAnsi="Arial"/>
          <w:sz w:val="13"/>
          <w:szCs w:val="13"/>
          <w:color w:val="auto"/>
        </w:rPr>
        <w:t xml:space="preserve">”), then the retiring Administrative Agent may (but shall not be obligated to) on behalf of the Lenders and the L/C Issuer, appoint a successor Administrative Agent meeting the qualifications set forth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59" w:lineRule="exact"/>
        <w:rPr>
          <w:rFonts w:ascii="Arial" w:cs="Arial" w:eastAsia="Arial" w:hAnsi="Arial"/>
          <w:sz w:val="13"/>
          <w:szCs w:val="13"/>
          <w:color w:val="auto"/>
        </w:rPr>
      </w:pPr>
    </w:p>
    <w:p>
      <w:pPr>
        <w:ind w:right="20" w:firstLine="498"/>
        <w:spacing w:after="0" w:line="252" w:lineRule="auto"/>
        <w:tabs>
          <w:tab w:leader="none" w:pos="79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If the Person serving as Administrative Agent is a Defaulting Lender pursuant to </w:t>
      </w:r>
      <w:r>
        <w:rPr>
          <w:rFonts w:ascii="Arial" w:cs="Arial" w:eastAsia="Arial" w:hAnsi="Arial"/>
          <w:sz w:val="14"/>
          <w:szCs w:val="14"/>
          <w:u w:val="single" w:color="auto"/>
          <w:color w:val="auto"/>
        </w:rPr>
        <w:t>clause (d)</w:t>
      </w:r>
      <w:r>
        <w:rPr>
          <w:rFonts w:ascii="Arial" w:cs="Arial" w:eastAsia="Arial" w:hAnsi="Arial"/>
          <w:sz w:val="14"/>
          <w:szCs w:val="14"/>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4"/>
          <w:szCs w:val="14"/>
          <w:u w:val="single" w:color="auto"/>
          <w:color w:val="auto"/>
        </w:rPr>
        <w:t>Removal Effective Date</w:t>
      </w:r>
      <w:r>
        <w:rPr>
          <w:rFonts w:ascii="Arial" w:cs="Arial" w:eastAsia="Arial" w:hAnsi="Arial"/>
          <w:sz w:val="14"/>
          <w:szCs w:val="14"/>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102</w:t>
      </w:r>
    </w:p>
    <w:p>
      <w:pPr>
        <w:sectPr>
          <w:pgSz w:w="11900" w:h="16838" w:orient="portrait"/>
          <w:cols w:equalWidth="0" w:num="1">
            <w:col w:w="11280"/>
          </w:cols>
          <w:pgMar w:left="300" w:top="129"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268" w:lineRule="auto"/>
        <w:tabs>
          <w:tab w:leader="none" w:pos="78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With effect from the Resignation Effective Date or the Removal Effective Date (as applicable) (1)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3"/>
          <w:szCs w:val="13"/>
          <w:u w:val="single" w:color="auto"/>
          <w:color w:val="auto"/>
        </w:rPr>
        <w:t>Section 3.01(i)</w:t>
      </w:r>
      <w:r>
        <w:rPr>
          <w:rFonts w:ascii="Arial" w:cs="Arial" w:eastAsia="Arial" w:hAnsi="Arial"/>
          <w:sz w:val="13"/>
          <w:szCs w:val="13"/>
          <w:color w:val="auto"/>
        </w:rPr>
        <w:t xml:space="preserve"> and other than any rights to indemnity payments or other amounts owed to the retiring Administrative Agent as of the Resignation Effective Date or the Removal Effective Date, as applicable),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Loan Documents, the provisions of this Article and </w:t>
      </w:r>
      <w:r>
        <w:rPr>
          <w:rFonts w:ascii="Arial" w:cs="Arial" w:eastAsia="Arial" w:hAnsi="Arial"/>
          <w:sz w:val="13"/>
          <w:szCs w:val="13"/>
          <w:u w:val="single" w:color="auto"/>
          <w:color w:val="auto"/>
        </w:rPr>
        <w:t>Section 11.04</w:t>
      </w:r>
      <w:r>
        <w:rPr>
          <w:rFonts w:ascii="Arial" w:cs="Arial" w:eastAsia="Arial" w:hAnsi="Arial"/>
          <w:sz w:val="13"/>
          <w:szCs w:val="13"/>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58" w:lineRule="exact"/>
        <w:rPr>
          <w:rFonts w:ascii="Arial" w:cs="Arial" w:eastAsia="Arial" w:hAnsi="Arial"/>
          <w:sz w:val="13"/>
          <w:szCs w:val="13"/>
          <w:color w:val="auto"/>
        </w:rPr>
      </w:pPr>
    </w:p>
    <w:p>
      <w:pPr>
        <w:ind w:right="100" w:firstLine="498"/>
        <w:spacing w:after="0" w:line="269" w:lineRule="auto"/>
        <w:tabs>
          <w:tab w:leader="none" w:pos="78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Any resignation or removal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2.04(c)</w:t>
      </w:r>
      <w:r>
        <w:rPr>
          <w:rFonts w:ascii="Arial" w:cs="Arial" w:eastAsia="Arial" w:hAnsi="Arial"/>
          <w:sz w:val="13"/>
          <w:szCs w:val="13"/>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reasonably satisfactory to Bank of America to effectively assume the obligations of Bank of America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103</w:t>
      </w:r>
    </w:p>
    <w:p>
      <w:pPr>
        <w:sectPr>
          <w:pgSz w:w="11900" w:h="16838" w:orient="portrait"/>
          <w:cols w:equalWidth="0" w:num="1">
            <w:col w:w="11280"/>
          </w:cols>
          <w:pgMar w:left="300" w:top="129"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95"/>
        <w:spacing w:after="0" w:line="267" w:lineRule="auto"/>
        <w:rPr>
          <w:sz w:val="20"/>
          <w:szCs w:val="20"/>
          <w:color w:val="auto"/>
        </w:rPr>
      </w:pPr>
      <w:r>
        <w:rPr>
          <w:rFonts w:ascii="Arial" w:cs="Arial" w:eastAsia="Arial" w:hAnsi="Arial"/>
          <w:sz w:val="13"/>
          <w:szCs w:val="13"/>
          <w:b w:val="1"/>
          <w:bCs w:val="1"/>
          <w:color w:val="auto"/>
        </w:rPr>
        <w:t>9.07 Non-Reliance on the Administrative Agent and the Other Lenders</w:t>
      </w:r>
      <w:r>
        <w:rPr>
          <w:rFonts w:ascii="Arial" w:cs="Arial" w:eastAsia="Arial" w:hAnsi="Arial"/>
          <w:sz w:val="13"/>
          <w:szCs w:val="13"/>
          <w:color w:val="auto"/>
        </w:rPr>
        <w:t>. Each Lender and the L/C Issuer expressly acknowledges that the Administrative Agent has not made any</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Lender or the L/C Issuer as to any matter, including whether the Administrative Agent has disclosed material information in its (or its Related Parties’) possession. Each Lender and the L/C Issuer represents to the Administrative Agent that it has, independently and without reliance upon the Administrative Agent,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6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9.08</w:t>
      </w:r>
      <w:r>
        <w:rPr>
          <w:sz w:val="20"/>
          <w:szCs w:val="20"/>
          <w:color w:val="auto"/>
        </w:rPr>
        <w:tab/>
      </w:r>
      <w:r>
        <w:rPr>
          <w:rFonts w:ascii="Arial" w:cs="Arial" w:eastAsia="Arial" w:hAnsi="Arial"/>
          <w:sz w:val="11"/>
          <w:szCs w:val="11"/>
          <w:b w:val="1"/>
          <w:bCs w:val="1"/>
          <w:color w:val="auto"/>
        </w:rPr>
        <w:t>[Reserved]</w:t>
      </w:r>
      <w:r>
        <w:rPr>
          <w:rFonts w:ascii="Arial" w:cs="Arial" w:eastAsia="Arial" w:hAnsi="Arial"/>
          <w:sz w:val="11"/>
          <w:szCs w:val="11"/>
          <w:color w:val="auto"/>
        </w:rPr>
        <w:t>.</w:t>
      </w:r>
    </w:p>
    <w:p>
      <w:pPr>
        <w:spacing w:after="0" w:line="190" w:lineRule="exact"/>
        <w:rPr>
          <w:sz w:val="20"/>
          <w:szCs w:val="20"/>
          <w:color w:val="auto"/>
        </w:rPr>
      </w:pPr>
    </w:p>
    <w:p>
      <w:pPr>
        <w:ind w:right="140" w:firstLine="495"/>
        <w:spacing w:after="0" w:line="288" w:lineRule="auto"/>
        <w:rPr>
          <w:sz w:val="20"/>
          <w:szCs w:val="20"/>
          <w:color w:val="auto"/>
        </w:rPr>
      </w:pPr>
      <w:r>
        <w:rPr>
          <w:rFonts w:ascii="Arial" w:cs="Arial" w:eastAsia="Arial" w:hAnsi="Arial"/>
          <w:sz w:val="13"/>
          <w:szCs w:val="13"/>
          <w:b w:val="1"/>
          <w:bCs w:val="1"/>
          <w:color w:val="auto"/>
        </w:rPr>
        <w:t>9.09 Administrative Agent May File Proofs of Claim; Credit Bidding</w:t>
      </w:r>
      <w:r>
        <w:rPr>
          <w:rFonts w:ascii="Arial" w:cs="Arial" w:eastAsia="Arial" w:hAnsi="Arial"/>
          <w:sz w:val="13"/>
          <w:szCs w:val="13"/>
          <w:color w:val="auto"/>
        </w:rPr>
        <w:t>. In case of the pendency of any proceeding under any Debtor Relief Law or any other judicial proceeding relative to</w:t>
      </w:r>
      <w:r>
        <w:rPr>
          <w:rFonts w:ascii="Arial" w:cs="Arial" w:eastAsia="Arial" w:hAnsi="Arial"/>
          <w:sz w:val="13"/>
          <w:szCs w:val="13"/>
          <w:b w:val="1"/>
          <w:bCs w:val="1"/>
          <w:color w:val="auto"/>
        </w:rPr>
        <w:t xml:space="preserve"> </w:t>
      </w:r>
      <w:r>
        <w:rPr>
          <w:rFonts w:ascii="Arial" w:cs="Arial" w:eastAsia="Arial" w:hAnsi="Arial"/>
          <w:sz w:val="13"/>
          <w:szCs w:val="13"/>
          <w:color w:val="auto"/>
        </w:rPr>
        <w:t>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7" w:lineRule="exact"/>
        <w:rPr>
          <w:sz w:val="20"/>
          <w:szCs w:val="20"/>
          <w:color w:val="auto"/>
        </w:rPr>
      </w:pPr>
    </w:p>
    <w:p>
      <w:pPr>
        <w:jc w:val="both"/>
        <w:ind w:firstLine="498"/>
        <w:spacing w:after="0" w:line="278" w:lineRule="auto"/>
        <w:tabs>
          <w:tab w:leader="none" w:pos="785"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3"/>
          <w:szCs w:val="13"/>
          <w:u w:val="single" w:color="auto"/>
          <w:color w:val="auto"/>
        </w:rPr>
        <w:t>Sections 2.03(h)</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w:t>
      </w:r>
      <w:r>
        <w:rPr>
          <w:rFonts w:ascii="Arial" w:cs="Arial" w:eastAsia="Arial" w:hAnsi="Arial"/>
          <w:sz w:val="13"/>
          <w:szCs w:val="13"/>
          <w:color w:val="auto"/>
        </w:rPr>
        <w:t xml:space="preserve">, </w:t>
      </w:r>
      <w:r>
        <w:rPr>
          <w:rFonts w:ascii="Arial" w:cs="Arial" w:eastAsia="Arial" w:hAnsi="Arial"/>
          <w:sz w:val="13"/>
          <w:szCs w:val="13"/>
          <w:u w:val="single" w:color="auto"/>
          <w:color w:val="auto"/>
        </w:rPr>
        <w:t>2.09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11.04</w:t>
      </w:r>
      <w:r>
        <w:rPr>
          <w:rFonts w:ascii="Arial" w:cs="Arial" w:eastAsia="Arial" w:hAnsi="Arial"/>
          <w:sz w:val="13"/>
          <w:szCs w:val="13"/>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104</w:t>
      </w:r>
    </w:p>
    <w:p>
      <w:pPr>
        <w:sectPr>
          <w:pgSz w:w="11900" w:h="16838" w:orient="portrait"/>
          <w:cols w:equalWidth="0" w:num="1">
            <w:col w:w="11280"/>
          </w:cols>
          <w:pgMar w:left="300" w:top="129"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1"/>
          <w:szCs w:val="11"/>
          <w:color w:val="auto"/>
        </w:rPr>
        <w:t>to collect and receive any monies or other property payable or deliverable on any such claims and to distribute the same;</w:t>
      </w:r>
    </w:p>
    <w:p>
      <w:pPr>
        <w:spacing w:after="0" w:line="19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4"/>
          <w:szCs w:val="14"/>
          <w:u w:val="single" w:color="auto"/>
          <w:color w:val="auto"/>
        </w:rPr>
        <w:t>Sections 2.09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w:t>
      </w:r>
    </w:p>
    <w:p>
      <w:pPr>
        <w:spacing w:after="0" w:line="170"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4"/>
          <w:szCs w:val="14"/>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66" w:lineRule="exact"/>
        <w:rPr>
          <w:sz w:val="20"/>
          <w:szCs w:val="20"/>
          <w:color w:val="auto"/>
        </w:rPr>
      </w:pPr>
    </w:p>
    <w:p>
      <w:pPr>
        <w:ind w:firstLine="495"/>
        <w:spacing w:after="0" w:line="320" w:lineRule="auto"/>
        <w:rPr>
          <w:sz w:val="20"/>
          <w:szCs w:val="20"/>
          <w:color w:val="auto"/>
        </w:rPr>
      </w:pPr>
      <w:r>
        <w:rPr>
          <w:rFonts w:ascii="Arial" w:cs="Arial" w:eastAsia="Arial" w:hAnsi="Arial"/>
          <w:sz w:val="11"/>
          <w:szCs w:val="11"/>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(j)</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65" w:lineRule="exact"/>
        <w:rPr>
          <w:sz w:val="20"/>
          <w:szCs w:val="20"/>
          <w:color w:val="auto"/>
        </w:rPr>
      </w:pPr>
    </w:p>
    <w:p>
      <w:pPr>
        <w:ind w:right="420" w:firstLine="495"/>
        <w:spacing w:after="0" w:line="272" w:lineRule="auto"/>
        <w:rPr>
          <w:sz w:val="20"/>
          <w:szCs w:val="20"/>
          <w:color w:val="auto"/>
        </w:rPr>
      </w:pPr>
      <w:r>
        <w:rPr>
          <w:rFonts w:ascii="Arial" w:cs="Arial" w:eastAsia="Arial" w:hAnsi="Arial"/>
          <w:sz w:val="14"/>
          <w:szCs w:val="14"/>
          <w:b w:val="1"/>
          <w:bCs w:val="1"/>
          <w:color w:val="auto"/>
        </w:rPr>
        <w:t>9.10 Collateral and Guaranty Matters</w:t>
      </w:r>
      <w:r>
        <w:rPr>
          <w:rFonts w:ascii="Arial" w:cs="Arial" w:eastAsia="Arial" w:hAnsi="Arial"/>
          <w:sz w:val="14"/>
          <w:szCs w:val="14"/>
          <w:color w:val="auto"/>
        </w:rPr>
        <w:t>. Without limiting the provisions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9.09</w:t>
      </w:r>
      <w:r>
        <w:rPr>
          <w:rFonts w:ascii="Arial" w:cs="Arial" w:eastAsia="Arial" w:hAnsi="Arial"/>
          <w:sz w:val="14"/>
          <w:szCs w:val="14"/>
          <w:color w:val="auto"/>
        </w:rPr>
        <w:t>, each of the Lenders (including in its capacities as a potential Hedge Bank and a potential Cash</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Bank) and the L/C Issuer irrevocably authorize the Administrative Agent, at its option and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105</w:t>
      </w:r>
    </w:p>
    <w:p>
      <w:pPr>
        <w:sectPr>
          <w:pgSz w:w="11900" w:h="16838" w:orient="portrait"/>
          <w:cols w:equalWidth="0" w:num="1">
            <w:col w:w="11280"/>
          </w:cols>
          <w:pgMar w:left="300" w:top="129"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98"/>
        <w:spacing w:after="0" w:line="272" w:lineRule="auto"/>
        <w:tabs>
          <w:tab w:leader="none" w:pos="785" w:val="left"/>
        </w:tabs>
        <w:numPr>
          <w:ilvl w:val="0"/>
          <w:numId w:val="154"/>
        </w:numPr>
        <w:rPr>
          <w:rFonts w:ascii="Arial" w:cs="Arial" w:eastAsia="Arial" w:hAnsi="Arial"/>
          <w:sz w:val="13"/>
          <w:szCs w:val="13"/>
          <w:color w:val="auto"/>
        </w:rPr>
      </w:pPr>
      <w:r>
        <w:rPr>
          <w:rFonts w:ascii="Arial" w:cs="Arial" w:eastAsia="Arial" w:hAnsi="Arial"/>
          <w:sz w:val="13"/>
          <w:szCs w:val="13"/>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L/C Issuer shall have been made), (ii) that is sold or otherwise disposed of or to be sold or otherwise disposed of as part of or in connection with any sale or other disposition permitted hereunder or under any other Loan Document to a Person that is not a Loan Party, (iii) that constitutes “Excluded Property” (as such term is defined in the Security Agreement), or (iv) if approved, authorized or ratified in writing in accordance with </w:t>
      </w:r>
      <w:r>
        <w:rPr>
          <w:rFonts w:ascii="Arial" w:cs="Arial" w:eastAsia="Arial" w:hAnsi="Arial"/>
          <w:sz w:val="13"/>
          <w:szCs w:val="13"/>
          <w:u w:val="single" w:color="auto"/>
          <w:color w:val="auto"/>
        </w:rPr>
        <w:t>Section 11.01</w:t>
      </w:r>
      <w:r>
        <w:rPr>
          <w:rFonts w:ascii="Arial" w:cs="Arial" w:eastAsia="Arial" w:hAnsi="Arial"/>
          <w:sz w:val="13"/>
          <w:szCs w:val="13"/>
          <w:color w:val="auto"/>
        </w:rPr>
        <w:t>;</w:t>
      </w:r>
    </w:p>
    <w:p>
      <w:pPr>
        <w:spacing w:after="0" w:line="159" w:lineRule="exact"/>
        <w:rPr>
          <w:rFonts w:ascii="Arial" w:cs="Arial" w:eastAsia="Arial" w:hAnsi="Arial"/>
          <w:sz w:val="13"/>
          <w:szCs w:val="13"/>
          <w:color w:val="auto"/>
        </w:rPr>
      </w:pPr>
    </w:p>
    <w:p>
      <w:pPr>
        <w:ind w:left="800" w:hanging="302"/>
        <w:spacing w:after="0"/>
        <w:tabs>
          <w:tab w:leader="none" w:pos="8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to release any Guarantor from its obligations under the Guaranty if such Person ceases to be a Subsidiary as a result of a transaction permitted under the Loan Documents; and</w:t>
      </w:r>
    </w:p>
    <w:p>
      <w:pPr>
        <w:spacing w:after="0" w:line="201" w:lineRule="exact"/>
        <w:rPr>
          <w:rFonts w:ascii="Arial" w:cs="Arial" w:eastAsia="Arial" w:hAnsi="Arial"/>
          <w:sz w:val="13"/>
          <w:szCs w:val="13"/>
          <w:color w:val="auto"/>
        </w:rPr>
      </w:pPr>
    </w:p>
    <w:p>
      <w:pPr>
        <w:ind w:left="780" w:hanging="282"/>
        <w:spacing w:after="0"/>
        <w:tabs>
          <w:tab w:leader="none" w:pos="780" w:val="left"/>
        </w:tabs>
        <w:numPr>
          <w:ilvl w:val="0"/>
          <w:numId w:val="154"/>
        </w:numPr>
        <w:rPr>
          <w:rFonts w:ascii="Arial" w:cs="Arial" w:eastAsia="Arial" w:hAnsi="Arial"/>
          <w:sz w:val="11"/>
          <w:szCs w:val="11"/>
          <w:color w:val="auto"/>
        </w:rPr>
      </w:pPr>
      <w:r>
        <w:rPr>
          <w:rFonts w:ascii="Arial" w:cs="Arial" w:eastAsia="Arial" w:hAnsi="Arial"/>
          <w:sz w:val="11"/>
          <w:szCs w:val="11"/>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1"/>
          <w:szCs w:val="11"/>
          <w:u w:val="single" w:color="auto"/>
          <w:color w:val="auto"/>
        </w:rPr>
        <w:t>Section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7.01(i)</w:t>
      </w:r>
      <w:r>
        <w:rPr>
          <w:rFonts w:ascii="Arial" w:cs="Arial" w:eastAsia="Arial" w:hAnsi="Arial"/>
          <w:sz w:val="14"/>
          <w:szCs w:val="14"/>
          <w:color w:val="auto"/>
        </w:rPr>
        <w:t>.</w:t>
      </w:r>
    </w:p>
    <w:p>
      <w:pPr>
        <w:spacing w:after="0" w:line="180" w:lineRule="exact"/>
        <w:rPr>
          <w:sz w:val="20"/>
          <w:szCs w:val="20"/>
          <w:color w:val="auto"/>
        </w:rPr>
      </w:pPr>
    </w:p>
    <w:p>
      <w:pPr>
        <w:ind w:right="20" w:firstLine="495"/>
        <w:spacing w:after="0" w:line="251" w:lineRule="auto"/>
        <w:rPr>
          <w:sz w:val="20"/>
          <w:szCs w:val="20"/>
          <w:color w:val="auto"/>
        </w:rPr>
      </w:pPr>
      <w:r>
        <w:rPr>
          <w:rFonts w:ascii="Arial" w:cs="Arial" w:eastAsia="Arial" w:hAnsi="Arial"/>
          <w:sz w:val="14"/>
          <w:szCs w:val="14"/>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4"/>
          <w:szCs w:val="14"/>
          <w:u w:val="single" w:color="auto"/>
          <w:color w:val="auto"/>
        </w:rPr>
        <w:t>Section 9.10</w:t>
      </w:r>
      <w:r>
        <w:rPr>
          <w:rFonts w:ascii="Arial" w:cs="Arial" w:eastAsia="Arial" w:hAnsi="Arial"/>
          <w:sz w:val="14"/>
          <w:szCs w:val="14"/>
          <w:color w:val="auto"/>
        </w:rPr>
        <w:t xml:space="preserve">. In each case as specified in this </w:t>
      </w:r>
      <w:r>
        <w:rPr>
          <w:rFonts w:ascii="Arial" w:cs="Arial" w:eastAsia="Arial" w:hAnsi="Arial"/>
          <w:sz w:val="14"/>
          <w:szCs w:val="14"/>
          <w:u w:val="single" w:color="auto"/>
          <w:color w:val="auto"/>
        </w:rPr>
        <w:t>Section 9.10</w:t>
      </w:r>
      <w:r>
        <w:rPr>
          <w:rFonts w:ascii="Arial" w:cs="Arial" w:eastAsia="Arial" w:hAnsi="Arial"/>
          <w:sz w:val="14"/>
          <w:szCs w:val="14"/>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4"/>
          <w:szCs w:val="14"/>
          <w:u w:val="single" w:color="auto"/>
          <w:color w:val="auto"/>
        </w:rPr>
        <w:t>Section 9.10</w:t>
      </w:r>
      <w:r>
        <w:rPr>
          <w:rFonts w:ascii="Arial" w:cs="Arial" w:eastAsia="Arial" w:hAnsi="Arial"/>
          <w:sz w:val="14"/>
          <w:szCs w:val="14"/>
          <w:color w:val="auto"/>
        </w:rPr>
        <w:t>.</w:t>
      </w:r>
    </w:p>
    <w:p>
      <w:pPr>
        <w:spacing w:after="0" w:line="169" w:lineRule="exact"/>
        <w:rPr>
          <w:sz w:val="20"/>
          <w:szCs w:val="20"/>
          <w:color w:val="auto"/>
        </w:rPr>
      </w:pPr>
    </w:p>
    <w:p>
      <w:pPr>
        <w:ind w:right="60" w:firstLine="495"/>
        <w:spacing w:after="0" w:line="256" w:lineRule="auto"/>
        <w:rPr>
          <w:sz w:val="20"/>
          <w:szCs w:val="20"/>
          <w:color w:val="auto"/>
        </w:rPr>
      </w:pPr>
      <w:r>
        <w:rPr>
          <w:rFonts w:ascii="Arial" w:cs="Arial" w:eastAsia="Arial" w:hAnsi="Arial"/>
          <w:sz w:val="14"/>
          <w:szCs w:val="14"/>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62" w:lineRule="exact"/>
        <w:rPr>
          <w:sz w:val="20"/>
          <w:szCs w:val="20"/>
          <w:color w:val="auto"/>
        </w:rPr>
      </w:pPr>
    </w:p>
    <w:p>
      <w:pPr>
        <w:ind w:right="40" w:firstLine="495"/>
        <w:spacing w:after="0" w:line="272" w:lineRule="auto"/>
        <w:rPr>
          <w:sz w:val="20"/>
          <w:szCs w:val="20"/>
          <w:color w:val="auto"/>
        </w:rPr>
      </w:pPr>
      <w:r>
        <w:rPr>
          <w:rFonts w:ascii="Arial" w:cs="Arial" w:eastAsia="Arial" w:hAnsi="Arial"/>
          <w:sz w:val="13"/>
          <w:szCs w:val="13"/>
          <w:b w:val="1"/>
          <w:bCs w:val="1"/>
          <w:color w:val="auto"/>
        </w:rPr>
        <w:t>9.11 Secured Cash Management Agreements and Secured Hedge Agreements</w:t>
      </w:r>
      <w:r>
        <w:rPr>
          <w:rFonts w:ascii="Arial" w:cs="Arial" w:eastAsia="Arial" w:hAnsi="Arial"/>
          <w:sz w:val="13"/>
          <w:szCs w:val="13"/>
          <w:color w:val="auto"/>
        </w:rPr>
        <w:t>. Except as otherwise expressly set forth herein or in any Guaranty or any Collateral Document, no Cash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Management Bank or Hedge Bank that obtains the benefits of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34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9.12</w:t>
      </w:r>
      <w:r>
        <w:rPr>
          <w:sz w:val="20"/>
          <w:szCs w:val="20"/>
          <w:color w:val="auto"/>
        </w:rPr>
        <w:tab/>
      </w:r>
      <w:r>
        <w:rPr>
          <w:rFonts w:ascii="Arial" w:cs="Arial" w:eastAsia="Arial" w:hAnsi="Arial"/>
          <w:sz w:val="13"/>
          <w:szCs w:val="13"/>
          <w:b w:val="1"/>
          <w:bCs w:val="1"/>
          <w:color w:val="auto"/>
        </w:rPr>
        <w:t>Certain ERISA Matters</w:t>
      </w:r>
      <w:r>
        <w:rPr>
          <w:rFonts w:ascii="Arial" w:cs="Arial" w:eastAsia="Arial" w:hAnsi="Arial"/>
          <w:sz w:val="13"/>
          <w:szCs w:val="13"/>
          <w:color w:val="auto"/>
        </w:rPr>
        <w:t>.</w:t>
      </w:r>
    </w:p>
    <w:p>
      <w:pPr>
        <w:spacing w:after="0" w:line="194" w:lineRule="exact"/>
        <w:rPr>
          <w:sz w:val="20"/>
          <w:szCs w:val="20"/>
          <w:color w:val="auto"/>
        </w:rPr>
      </w:pPr>
    </w:p>
    <w:p>
      <w:pPr>
        <w:ind w:right="120" w:firstLine="498"/>
        <w:spacing w:after="0" w:line="256" w:lineRule="auto"/>
        <w:tabs>
          <w:tab w:leader="none" w:pos="78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106</w:t>
      </w:r>
    </w:p>
    <w:p>
      <w:pPr>
        <w:sectPr>
          <w:pgSz w:w="11900" w:h="16838" w:orient="portrait"/>
          <w:cols w:equalWidth="0" w:num="1">
            <w:col w:w="11280"/>
          </w:cols>
          <w:pgMar w:left="300" w:top="129"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460" w:firstLine="493"/>
        <w:spacing w:after="0" w:line="266" w:lineRule="auto"/>
        <w:tabs>
          <w:tab w:leader="none" w:pos="1262" w:val="left"/>
        </w:tabs>
        <w:numPr>
          <w:ilvl w:val="1"/>
          <w:numId w:val="156"/>
        </w:numPr>
        <w:rPr>
          <w:rFonts w:ascii="Arial" w:cs="Arial" w:eastAsia="Arial" w:hAnsi="Arial"/>
          <w:sz w:val="14"/>
          <w:szCs w:val="14"/>
          <w:color w:val="auto"/>
        </w:rPr>
      </w:pPr>
      <w:r>
        <w:rPr>
          <w:rFonts w:ascii="Arial" w:cs="Arial" w:eastAsia="Arial" w:hAnsi="Arial"/>
          <w:sz w:val="14"/>
          <w:szCs w:val="14"/>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8" w:lineRule="exact"/>
        <w:rPr>
          <w:rFonts w:ascii="Arial" w:cs="Arial" w:eastAsia="Arial" w:hAnsi="Arial"/>
          <w:sz w:val="14"/>
          <w:szCs w:val="14"/>
          <w:color w:val="auto"/>
        </w:rPr>
      </w:pPr>
    </w:p>
    <w:p>
      <w:pPr>
        <w:ind w:left="500" w:right="220" w:firstLine="493"/>
        <w:spacing w:after="0" w:line="251" w:lineRule="auto"/>
        <w:tabs>
          <w:tab w:leader="none" w:pos="130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4"/>
          <w:szCs w:val="14"/>
          <w:color w:val="auto"/>
        </w:rPr>
      </w:pPr>
    </w:p>
    <w:p>
      <w:pPr>
        <w:ind w:left="500" w:firstLine="493"/>
        <w:spacing w:after="0" w:line="319" w:lineRule="auto"/>
        <w:tabs>
          <w:tab w:leader="none" w:pos="1339" w:val="left"/>
        </w:tabs>
        <w:numPr>
          <w:ilvl w:val="1"/>
          <w:numId w:val="156"/>
        </w:numPr>
        <w:rPr>
          <w:rFonts w:ascii="Arial" w:cs="Arial" w:eastAsia="Arial" w:hAnsi="Arial"/>
          <w:sz w:val="11"/>
          <w:szCs w:val="11"/>
          <w:color w:val="auto"/>
        </w:rPr>
      </w:pPr>
      <w:r>
        <w:rPr>
          <w:rFonts w:ascii="Arial" w:cs="Arial" w:eastAsia="Arial" w:hAnsi="Arial"/>
          <w:sz w:val="11"/>
          <w:szCs w:val="1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ind w:left="500" w:right="480" w:hanging="2"/>
        <w:spacing w:after="0" w:line="251" w:lineRule="auto"/>
        <w:tabs>
          <w:tab w:leader="none" w:pos="695" w:val="left"/>
        </w:tabs>
        <w:numPr>
          <w:ilvl w:val="0"/>
          <w:numId w:val="157"/>
        </w:numPr>
        <w:rPr>
          <w:rFonts w:ascii="Arial" w:cs="Arial" w:eastAsia="Arial" w:hAnsi="Arial"/>
          <w:sz w:val="14"/>
          <w:szCs w:val="14"/>
          <w:color w:val="auto"/>
        </w:rPr>
      </w:pPr>
      <w:r>
        <w:rPr>
          <w:rFonts w:ascii="Arial" w:cs="Arial" w:eastAsia="Arial" w:hAnsi="Arial"/>
          <w:sz w:val="14"/>
          <w:szCs w:val="14"/>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9" w:lineRule="exact"/>
        <w:rPr>
          <w:rFonts w:ascii="Arial" w:cs="Arial" w:eastAsia="Arial" w:hAnsi="Arial"/>
          <w:sz w:val="14"/>
          <w:szCs w:val="14"/>
          <w:color w:val="auto"/>
        </w:rPr>
      </w:pPr>
    </w:p>
    <w:p>
      <w:pPr>
        <w:ind w:left="1320" w:hanging="327"/>
        <w:spacing w:after="0"/>
        <w:tabs>
          <w:tab w:leader="none" w:pos="132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such other representation, warranty and covenant as may be agreed in writing between the Administrative Agent, in its sole discretion, and such Lender.</w:t>
      </w:r>
    </w:p>
    <w:p>
      <w:pPr>
        <w:spacing w:after="0" w:line="190" w:lineRule="exact"/>
        <w:rPr>
          <w:sz w:val="20"/>
          <w:szCs w:val="20"/>
          <w:color w:val="auto"/>
        </w:rPr>
      </w:pPr>
    </w:p>
    <w:p>
      <w:pPr>
        <w:ind w:firstLine="498"/>
        <w:spacing w:after="0" w:line="272" w:lineRule="auto"/>
        <w:tabs>
          <w:tab w:leader="none" w:pos="793"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In addition, unless either (1)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in the immediately preceding </w:t>
      </w:r>
      <w:r>
        <w:rPr>
          <w:rFonts w:ascii="Arial" w:cs="Arial" w:eastAsia="Arial" w:hAnsi="Arial"/>
          <w:sz w:val="13"/>
          <w:szCs w:val="13"/>
          <w:u w:val="single" w:color="auto"/>
          <w:color w:val="auto"/>
        </w:rPr>
        <w:t>subsection (a)</w:t>
      </w:r>
      <w:r>
        <w:rPr>
          <w:rFonts w:ascii="Arial" w:cs="Arial" w:eastAsia="Arial" w:hAnsi="Arial"/>
          <w:sz w:val="13"/>
          <w:szCs w:val="13"/>
          <w:color w:val="auto"/>
        </w:rPr>
        <w:t xml:space="preserve"> is true with respect to a Lender or (2) a Lender has provided another representation, warranty and covenant in accordance with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in the immediately preceding </w:t>
      </w:r>
      <w:r>
        <w:rPr>
          <w:rFonts w:ascii="Arial" w:cs="Arial" w:eastAsia="Arial" w:hAnsi="Arial"/>
          <w:sz w:val="13"/>
          <w:szCs w:val="13"/>
          <w:u w:val="single" w:color="auto"/>
          <w:color w:val="auto"/>
        </w:rPr>
        <w:t>subsection (a)</w:t>
      </w:r>
      <w:r>
        <w:rPr>
          <w:rFonts w:ascii="Arial" w:cs="Arial" w:eastAsia="Arial" w:hAnsi="Arial"/>
          <w:sz w:val="13"/>
          <w:szCs w:val="13"/>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5" w:lineRule="exact"/>
        <w:rPr>
          <w:sz w:val="20"/>
          <w:szCs w:val="20"/>
          <w:color w:val="auto"/>
        </w:rPr>
      </w:pPr>
    </w:p>
    <w:p>
      <w:pPr>
        <w:ind w:right="20" w:firstLine="495"/>
        <w:spacing w:after="0" w:line="271" w:lineRule="auto"/>
        <w:rPr>
          <w:sz w:val="20"/>
          <w:szCs w:val="20"/>
          <w:color w:val="auto"/>
        </w:rPr>
      </w:pPr>
      <w:r>
        <w:rPr>
          <w:rFonts w:ascii="Arial" w:cs="Arial" w:eastAsia="Arial" w:hAnsi="Arial"/>
          <w:sz w:val="13"/>
          <w:szCs w:val="13"/>
          <w:b w:val="1"/>
          <w:bCs w:val="1"/>
          <w:color w:val="auto"/>
        </w:rPr>
        <w:t>9.13 Recovery of Erroneous Payments</w:t>
      </w:r>
      <w:r>
        <w:rPr>
          <w:rFonts w:ascii="Arial" w:cs="Arial" w:eastAsia="Arial" w:hAnsi="Arial"/>
          <w:sz w:val="13"/>
          <w:szCs w:val="13"/>
          <w:color w:val="auto"/>
        </w:rPr>
        <w:t>. Without limitation of any other provision in this Agreement, if at any time the Administrative Agent makes a payment hereunder in error to any</w:t>
      </w:r>
      <w:r>
        <w:rPr>
          <w:rFonts w:ascii="Arial" w:cs="Arial" w:eastAsia="Arial" w:hAnsi="Arial"/>
          <w:sz w:val="13"/>
          <w:szCs w:val="13"/>
          <w:b w:val="1"/>
          <w:bCs w:val="1"/>
          <w:color w:val="auto"/>
        </w:rPr>
        <w:t xml:space="preserve"> </w:t>
      </w:r>
      <w:r>
        <w:rPr>
          <w:rFonts w:ascii="Arial" w:cs="Arial" w:eastAsia="Arial" w:hAnsi="Arial"/>
          <w:sz w:val="13"/>
          <w:szCs w:val="13"/>
          <w:color w:val="auto"/>
        </w:rPr>
        <w:t>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107</w:t>
      </w:r>
    </w:p>
    <w:p>
      <w:pPr>
        <w:sectPr>
          <w:pgSz w:w="11900" w:h="16838" w:orient="portrait"/>
          <w:cols w:equalWidth="0" w:num="1">
            <w:col w:w="11280"/>
          </w:cols>
          <w:pgMar w:left="300" w:top="129"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CONTINUING GUARANTY</w:t>
      </w:r>
    </w:p>
    <w:p>
      <w:pPr>
        <w:spacing w:after="0" w:line="176" w:lineRule="exact"/>
        <w:rPr>
          <w:sz w:val="20"/>
          <w:szCs w:val="20"/>
          <w:color w:val="auto"/>
        </w:rPr>
      </w:pPr>
    </w:p>
    <w:p>
      <w:pPr>
        <w:ind w:right="20" w:firstLine="495"/>
        <w:spacing w:after="0" w:line="269" w:lineRule="auto"/>
        <w:rPr>
          <w:sz w:val="20"/>
          <w:szCs w:val="20"/>
          <w:color w:val="auto"/>
        </w:rPr>
      </w:pPr>
      <w:r>
        <w:rPr>
          <w:rFonts w:ascii="Arial" w:cs="Arial" w:eastAsia="Arial" w:hAnsi="Arial"/>
          <w:sz w:val="13"/>
          <w:szCs w:val="13"/>
          <w:b w:val="1"/>
          <w:bCs w:val="1"/>
          <w:color w:val="auto"/>
        </w:rPr>
        <w:t>10.01 Guaranty</w:t>
      </w:r>
      <w:r>
        <w:rPr>
          <w:rFonts w:ascii="Arial" w:cs="Arial" w:eastAsia="Arial" w:hAnsi="Arial"/>
          <w:sz w:val="13"/>
          <w:szCs w:val="13"/>
          <w:color w:val="auto"/>
        </w:rPr>
        <w:t>. Each Guarantor hereby absolutely and unconditionally guarantees, as a guaranty of payment and performance and not merely as a guaranty of collection, prompt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when due, whether at stated maturity, by required prepayment, upon acceleration, demand or otherwise, and at all times thereafter, of any and all of the Obligations, whether for principal, interest, premiums, fees, indemnities, damages, costs, expenses or otherwise, of the Borrower to the Secured Parties, and whether arising hereunder or under any other Loan Document, any Secured Cash Management Agreement or any Secured Hedge Agreement (including all renewals, extensions, amendments, refinancings and other modifications thereof and all costs, attorneys’ fees and expenses incurred by the Secured Parties in connection with the collection or enforcement thereof). Without limiting the generality of the foregoing, the Obligations shall include any such indebtedness, obligations, and liabilities, or portion thereof, which may be or hereafter become unenforceable or compromised or shall be an allowed or disallowed claim under any proceeding or case commenced by or against any Guarantor or the Borrower under any Debtor Relief Laws. The Administrative Agent’s books and records showing the amount of the Obligations shall be admissible in evidence in any action or proceeding, and shall be binding upon Guarantors, and conclusive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(other than payment in full of the Obligations (other than contingent indemnification obligations for which no claims have been made)) to the obligations of any Guarantor under this Guaranty, and each Guarantor hereby irrevocably waives any defenses it may now have or hereafter acquire in any way relating to any or all of the foregoing.</w:t>
      </w:r>
    </w:p>
    <w:p>
      <w:pPr>
        <w:spacing w:after="0" w:line="155" w:lineRule="exact"/>
        <w:rPr>
          <w:sz w:val="20"/>
          <w:szCs w:val="20"/>
          <w:color w:val="auto"/>
        </w:rPr>
      </w:pPr>
    </w:p>
    <w:p>
      <w:pPr>
        <w:ind w:right="60" w:firstLine="495"/>
        <w:spacing w:after="0" w:line="325" w:lineRule="auto"/>
        <w:rPr>
          <w:sz w:val="20"/>
          <w:szCs w:val="20"/>
          <w:color w:val="auto"/>
        </w:rPr>
      </w:pPr>
      <w:r>
        <w:rPr>
          <w:rFonts w:ascii="Arial" w:cs="Arial" w:eastAsia="Arial" w:hAnsi="Arial"/>
          <w:sz w:val="11"/>
          <w:szCs w:val="11"/>
          <w:b w:val="1"/>
          <w:bCs w:val="1"/>
          <w:color w:val="auto"/>
        </w:rPr>
        <w:t>10.02 Rights of Lenders</w:t>
      </w:r>
      <w:r>
        <w:rPr>
          <w:rFonts w:ascii="Arial" w:cs="Arial" w:eastAsia="Arial" w:hAnsi="Arial"/>
          <w:sz w:val="11"/>
          <w:szCs w:val="11"/>
          <w:color w:val="auto"/>
        </w:rPr>
        <w:t>. Each Guarantor consents and agrees that the Secured Parties may, at any time and from time to time, without notice or demand, and without affecting the</w:t>
      </w:r>
      <w:r>
        <w:rPr>
          <w:rFonts w:ascii="Arial" w:cs="Arial" w:eastAsia="Arial" w:hAnsi="Arial"/>
          <w:sz w:val="11"/>
          <w:szCs w:val="11"/>
          <w:b w:val="1"/>
          <w:bCs w:val="1"/>
          <w:color w:val="auto"/>
        </w:rPr>
        <w:t xml:space="preserve"> </w:t>
      </w:r>
      <w:r>
        <w:rPr>
          <w:rFonts w:ascii="Arial" w:cs="Arial" w:eastAsia="Arial" w:hAnsi="Arial"/>
          <w:sz w:val="11"/>
          <w:szCs w:val="11"/>
          <w:color w:val="auto"/>
        </w:rPr>
        <w:t>enforceability or continuing effectiveness hereof: (a) amend, extend, renew, compromise, discharge, accelerate or otherwise change the time for payment or the terms of the Obligations or any part thereof;</w:t>
      </w:r>
    </w:p>
    <w:p>
      <w:pPr>
        <w:spacing w:after="0" w:line="1" w:lineRule="exact"/>
        <w:rPr>
          <w:sz w:val="20"/>
          <w:szCs w:val="20"/>
          <w:color w:val="auto"/>
        </w:rPr>
      </w:pPr>
    </w:p>
    <w:p>
      <w:pPr>
        <w:ind w:right="40" w:firstLine="3"/>
        <w:spacing w:after="0" w:line="247" w:lineRule="auto"/>
        <w:tabs>
          <w:tab w:leader="none" w:pos="195"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take, hold, exchange, enforce, waive, release, fail to perfect, sell, or otherwise dispose of any security for the payment of this Guaranty or any Obligations; (c) apply such security and direct the order or manner of sale thereof as the Administrative Agent, the L/C Issuer and the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any Guarantor under this Guaranty or which, but for this provision, might operate as a discharge of any Guarantor.</w:t>
      </w:r>
    </w:p>
    <w:p>
      <w:pPr>
        <w:spacing w:after="0" w:line="169" w:lineRule="exact"/>
        <w:rPr>
          <w:sz w:val="20"/>
          <w:szCs w:val="20"/>
          <w:color w:val="auto"/>
        </w:rPr>
      </w:pPr>
    </w:p>
    <w:p>
      <w:pPr>
        <w:ind w:right="20" w:firstLine="495"/>
        <w:spacing w:after="0" w:line="329" w:lineRule="auto"/>
        <w:rPr>
          <w:sz w:val="20"/>
          <w:szCs w:val="20"/>
          <w:color w:val="auto"/>
        </w:rPr>
      </w:pPr>
      <w:r>
        <w:rPr>
          <w:rFonts w:ascii="Arial" w:cs="Arial" w:eastAsia="Arial" w:hAnsi="Arial"/>
          <w:sz w:val="11"/>
          <w:szCs w:val="11"/>
          <w:b w:val="1"/>
          <w:bCs w:val="1"/>
          <w:color w:val="auto"/>
        </w:rPr>
        <w:t xml:space="preserve">10.03 Certain Waivers. </w:t>
      </w:r>
      <w:r>
        <w:rPr>
          <w:rFonts w:ascii="Arial" w:cs="Arial" w:eastAsia="Arial" w:hAnsi="Arial"/>
          <w:sz w:val="11"/>
          <w:szCs w:val="11"/>
          <w:color w:val="auto"/>
        </w:rPr>
        <w:t>Each Guarantor waives (a) any defense arising by reason of any disability or other defense of the Borrower or any other guarantor, or the cessation from any cause</w:t>
      </w:r>
      <w:r>
        <w:rPr>
          <w:rFonts w:ascii="Arial" w:cs="Arial" w:eastAsia="Arial" w:hAnsi="Arial"/>
          <w:sz w:val="11"/>
          <w:szCs w:val="11"/>
          <w:b w:val="1"/>
          <w:bCs w:val="1"/>
          <w:color w:val="auto"/>
        </w:rPr>
        <w:t xml:space="preserve"> </w:t>
      </w:r>
      <w:r>
        <w:rPr>
          <w:rFonts w:ascii="Arial" w:cs="Arial" w:eastAsia="Arial" w:hAnsi="Arial"/>
          <w:sz w:val="11"/>
          <w:szCs w:val="11"/>
          <w:color w:val="auto"/>
        </w:rPr>
        <w:t>whatsoever (including any act or omission of any Secured Party) of the liability of the Borrower; (b) any defense based on any claim that Guarantors’ obligations exceed or are more burdensome than those of the Borrower; (c) the benefit of any statute of limitations affecting any Guarantor’s liability hereunder; (d) 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(other than payment in full of the Obligations (other than contingent indemnification obligations for which no claims have been made)).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108</w:t>
      </w:r>
    </w:p>
    <w:p>
      <w:pPr>
        <w:sectPr>
          <w:pgSz w:w="11900" w:h="16838" w:orient="portrait"/>
          <w:cols w:equalWidth="0" w:num="1">
            <w:col w:w="11280"/>
          </w:cols>
          <w:pgMar w:left="300" w:top="129"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95"/>
        <w:spacing w:after="0" w:line="411" w:lineRule="auto"/>
        <w:rPr>
          <w:sz w:val="20"/>
          <w:szCs w:val="20"/>
          <w:color w:val="auto"/>
        </w:rPr>
      </w:pPr>
      <w:r>
        <w:rPr>
          <w:rFonts w:ascii="Arial" w:cs="Arial" w:eastAsia="Arial" w:hAnsi="Arial"/>
          <w:sz w:val="11"/>
          <w:szCs w:val="11"/>
          <w:b w:val="1"/>
          <w:bCs w:val="1"/>
          <w:color w:val="auto"/>
        </w:rPr>
        <w:t>10.04 Obligations Independent</w:t>
      </w:r>
      <w:r>
        <w:rPr>
          <w:rFonts w:ascii="Arial" w:cs="Arial" w:eastAsia="Arial" w:hAnsi="Arial"/>
          <w:sz w:val="11"/>
          <w:szCs w:val="11"/>
          <w:color w:val="auto"/>
        </w:rPr>
        <w:t>. The obligations of each Guarantor hereunder are those of primary obligor, and not merely as surety, and are independent of the Obligations and the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of any other guarantor, and a separate action may be brought against any Guarantor to enforce this Guaranty whether or not the Borrower or any other person or entity is joined as a party.</w:t>
      </w:r>
    </w:p>
    <w:p>
      <w:pPr>
        <w:spacing w:after="0" w:line="82" w:lineRule="exact"/>
        <w:rPr>
          <w:sz w:val="20"/>
          <w:szCs w:val="20"/>
          <w:color w:val="auto"/>
        </w:rPr>
      </w:pPr>
    </w:p>
    <w:p>
      <w:pPr>
        <w:ind w:right="60" w:firstLine="495"/>
        <w:spacing w:after="0" w:line="254" w:lineRule="auto"/>
        <w:rPr>
          <w:sz w:val="20"/>
          <w:szCs w:val="20"/>
          <w:color w:val="auto"/>
        </w:rPr>
      </w:pPr>
      <w:r>
        <w:rPr>
          <w:rFonts w:ascii="Arial" w:cs="Arial" w:eastAsia="Arial" w:hAnsi="Arial"/>
          <w:sz w:val="14"/>
          <w:szCs w:val="14"/>
          <w:b w:val="1"/>
          <w:bCs w:val="1"/>
          <w:color w:val="auto"/>
        </w:rPr>
        <w:t xml:space="preserve">10.05 Subrogation. </w:t>
      </w:r>
      <w:r>
        <w:rPr>
          <w:rFonts w:ascii="Arial" w:cs="Arial" w:eastAsia="Arial" w:hAnsi="Arial"/>
          <w:sz w:val="14"/>
          <w:szCs w:val="14"/>
          <w:color w:val="auto"/>
        </w:rPr>
        <w:t>No Guarantor shall exercise any right of subrogation, contribution, indemnity, reimbursement or similar rights with respect to any payments it makes under this Guaranty</w:t>
      </w:r>
      <w:r>
        <w:rPr>
          <w:rFonts w:ascii="Arial" w:cs="Arial" w:eastAsia="Arial" w:hAnsi="Arial"/>
          <w:sz w:val="14"/>
          <w:szCs w:val="14"/>
          <w:b w:val="1"/>
          <w:bCs w:val="1"/>
          <w:color w:val="auto"/>
        </w:rPr>
        <w:t xml:space="preserve"> </w:t>
      </w:r>
      <w:r>
        <w:rPr>
          <w:rFonts w:ascii="Arial" w:cs="Arial" w:eastAsia="Arial" w:hAnsi="Arial"/>
          <w:sz w:val="14"/>
          <w:szCs w:val="14"/>
          <w:color w:val="auto"/>
        </w:rPr>
        <w:t>until all of the Obligations and any amounts payable under this Guaranty have been indefeasibly paid and performed in full and the Commitments and the Revolving Credit Facility is terminated. If any amounts are paid to any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64" w:lineRule="exact"/>
        <w:rPr>
          <w:sz w:val="20"/>
          <w:szCs w:val="20"/>
          <w:color w:val="auto"/>
        </w:rPr>
      </w:pPr>
    </w:p>
    <w:p>
      <w:pPr>
        <w:ind w:right="40" w:firstLine="495"/>
        <w:spacing w:after="0" w:line="271" w:lineRule="auto"/>
        <w:rPr>
          <w:sz w:val="20"/>
          <w:szCs w:val="20"/>
          <w:color w:val="auto"/>
        </w:rPr>
      </w:pPr>
      <w:r>
        <w:rPr>
          <w:rFonts w:ascii="Arial" w:cs="Arial" w:eastAsia="Arial" w:hAnsi="Arial"/>
          <w:sz w:val="13"/>
          <w:szCs w:val="13"/>
          <w:b w:val="1"/>
          <w:bCs w:val="1"/>
          <w:color w:val="auto"/>
        </w:rPr>
        <w:t xml:space="preserve">10.06 Termination; Reinstatement. </w:t>
      </w:r>
      <w:r>
        <w:rPr>
          <w:rFonts w:ascii="Arial" w:cs="Arial" w:eastAsia="Arial" w:hAnsi="Arial"/>
          <w:sz w:val="13"/>
          <w:szCs w:val="13"/>
          <w:color w:val="auto"/>
        </w:rPr>
        <w:t>This Guaranty is a continuing and irrevocable guaranty of all Obligations now or hereafter existing and shall remain in full force and effect until all</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and any other amounts payable under this Guaranty (other than contingent indemnification obligations for which no claims have been made) are indefeasibly paid in full in cash and the Commitments and the Revolving Credit Facility with respect to the Obligations are terminated. Notwithstanding the foregoing, this Guaranty shall continue in full force and effect or be revived, as the case may be, if any payment by or on behalf of the Borrower or any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Guarantors under this Section shall survive termination of this Guaranty.</w:t>
      </w:r>
    </w:p>
    <w:p>
      <w:pPr>
        <w:spacing w:after="0" w:line="155" w:lineRule="exact"/>
        <w:rPr>
          <w:sz w:val="20"/>
          <w:szCs w:val="20"/>
          <w:color w:val="auto"/>
        </w:rPr>
      </w:pPr>
    </w:p>
    <w:p>
      <w:pPr>
        <w:ind w:right="40" w:firstLine="495"/>
        <w:spacing w:after="0" w:line="252" w:lineRule="auto"/>
        <w:rPr>
          <w:sz w:val="20"/>
          <w:szCs w:val="20"/>
          <w:color w:val="auto"/>
        </w:rPr>
      </w:pPr>
      <w:r>
        <w:rPr>
          <w:rFonts w:ascii="Arial" w:cs="Arial" w:eastAsia="Arial" w:hAnsi="Arial"/>
          <w:sz w:val="14"/>
          <w:szCs w:val="14"/>
          <w:b w:val="1"/>
          <w:bCs w:val="1"/>
          <w:color w:val="auto"/>
        </w:rPr>
        <w:t xml:space="preserve">10.07 Subordination. </w:t>
      </w:r>
      <w:r>
        <w:rPr>
          <w:rFonts w:ascii="Arial" w:cs="Arial" w:eastAsia="Arial" w:hAnsi="Arial"/>
          <w:sz w:val="14"/>
          <w:szCs w:val="14"/>
          <w:color w:val="auto"/>
        </w:rPr>
        <w:t>Each Guarantor hereby subordinates the payment of all obligations and indebtedness of the Borrower owing to such Guarantor, whether now existing or hereafter arising,</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but not limited to any obligation of the Borrower to any Guarantor as subrogee of the Secured Parties or resulting from such Guarantor’s performance under this Guaranty, to the indefeasible payment in full in cash of all Obligations. If the Secured Parties so request, any such obligation or indebtedness of the Borrower to such Guarantor shall be enforced and performance received by such Guarantor as trustee for the Secured Parties and the proceeds thereof shall be paid over to the Secured Parties on account of the Obligations, but without reducing or affecting in any manner the liability of such Guarantor under this Guaranty.</w:t>
      </w:r>
    </w:p>
    <w:p>
      <w:pPr>
        <w:spacing w:after="0" w:line="166" w:lineRule="exact"/>
        <w:rPr>
          <w:sz w:val="20"/>
          <w:szCs w:val="20"/>
          <w:color w:val="auto"/>
        </w:rPr>
      </w:pPr>
    </w:p>
    <w:p>
      <w:pPr>
        <w:ind w:right="220" w:firstLine="495"/>
        <w:spacing w:after="0" w:line="311" w:lineRule="auto"/>
        <w:rPr>
          <w:sz w:val="20"/>
          <w:szCs w:val="20"/>
          <w:color w:val="auto"/>
        </w:rPr>
      </w:pPr>
      <w:r>
        <w:rPr>
          <w:rFonts w:ascii="Arial" w:cs="Arial" w:eastAsia="Arial" w:hAnsi="Arial"/>
          <w:sz w:val="13"/>
          <w:szCs w:val="13"/>
          <w:b w:val="1"/>
          <w:bCs w:val="1"/>
          <w:color w:val="auto"/>
        </w:rPr>
        <w:t xml:space="preserve">10.08 Stay of Acceleration. </w:t>
      </w:r>
      <w:r>
        <w:rPr>
          <w:rFonts w:ascii="Arial" w:cs="Arial" w:eastAsia="Arial" w:hAnsi="Arial"/>
          <w:sz w:val="13"/>
          <w:szCs w:val="13"/>
          <w:color w:val="auto"/>
        </w:rPr>
        <w:t>If acceleration of the time for payment of any of the Obligations is stayed, in connection with any case commenced by or against any Guarantor or the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under any Debtor Relief Laws, or otherwise, all such amounts shall nonetheless be payable by Guarantors immediately upon demand by the Secured Parties.</w:t>
      </w:r>
    </w:p>
    <w:p>
      <w:pPr>
        <w:spacing w:after="0" w:line="128" w:lineRule="exact"/>
        <w:rPr>
          <w:sz w:val="20"/>
          <w:szCs w:val="20"/>
          <w:color w:val="auto"/>
        </w:rPr>
      </w:pPr>
    </w:p>
    <w:p>
      <w:pPr>
        <w:ind w:right="40" w:firstLine="495"/>
        <w:spacing w:after="0" w:line="280" w:lineRule="auto"/>
        <w:rPr>
          <w:sz w:val="20"/>
          <w:szCs w:val="20"/>
          <w:color w:val="auto"/>
        </w:rPr>
      </w:pPr>
      <w:r>
        <w:rPr>
          <w:rFonts w:ascii="Arial" w:cs="Arial" w:eastAsia="Arial" w:hAnsi="Arial"/>
          <w:sz w:val="13"/>
          <w:szCs w:val="13"/>
          <w:b w:val="1"/>
          <w:bCs w:val="1"/>
          <w:color w:val="auto"/>
        </w:rPr>
        <w:t>10.09 Condition of Borrower</w:t>
      </w:r>
      <w:r>
        <w:rPr>
          <w:rFonts w:ascii="Arial" w:cs="Arial" w:eastAsia="Arial" w:hAnsi="Arial"/>
          <w:sz w:val="13"/>
          <w:szCs w:val="13"/>
          <w:color w:val="auto"/>
        </w:rPr>
        <w:t>. Each Guarantor acknowledges and agrees that it has the sole responsibility for, and has adequate means of, obtaining from the Borrower and any other guarantor</w:t>
      </w:r>
      <w:r>
        <w:rPr>
          <w:rFonts w:ascii="Arial" w:cs="Arial" w:eastAsia="Arial" w:hAnsi="Arial"/>
          <w:sz w:val="13"/>
          <w:szCs w:val="13"/>
          <w:b w:val="1"/>
          <w:bCs w:val="1"/>
          <w:color w:val="auto"/>
        </w:rPr>
        <w:t xml:space="preserve"> </w:t>
      </w:r>
      <w:r>
        <w:rPr>
          <w:rFonts w:ascii="Arial" w:cs="Arial" w:eastAsia="Arial" w:hAnsi="Arial"/>
          <w:sz w:val="13"/>
          <w:szCs w:val="13"/>
          <w:color w:val="auto"/>
        </w:rPr>
        <w:t>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any Guarantor any information relating to the business, operations or financial condition of the Borrower or any other guarantor (such Guarantor waiving any duty on the part of the Secured Parties to disclose such information and any defense relating to the failure to provide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109</w:t>
      </w:r>
    </w:p>
    <w:p>
      <w:pPr>
        <w:sectPr>
          <w:pgSz w:w="11900" w:h="16838" w:orient="portrait"/>
          <w:cols w:equalWidth="0" w:num="1">
            <w:col w:w="11280"/>
          </w:cols>
          <w:pgMar w:left="300" w:top="129"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495"/>
        <w:spacing w:after="0" w:line="259" w:lineRule="auto"/>
        <w:rPr>
          <w:sz w:val="20"/>
          <w:szCs w:val="20"/>
          <w:color w:val="auto"/>
        </w:rPr>
      </w:pPr>
      <w:r>
        <w:rPr>
          <w:rFonts w:ascii="Arial" w:cs="Arial" w:eastAsia="Arial" w:hAnsi="Arial"/>
          <w:sz w:val="14"/>
          <w:szCs w:val="14"/>
          <w:b w:val="1"/>
          <w:bCs w:val="1"/>
          <w:color w:val="auto"/>
        </w:rPr>
        <w:t>10.10 Limitation on Guaranty</w:t>
      </w:r>
      <w:r>
        <w:rPr>
          <w:rFonts w:ascii="Arial" w:cs="Arial" w:eastAsia="Arial" w:hAnsi="Arial"/>
          <w:sz w:val="14"/>
          <w:szCs w:val="14"/>
          <w:color w:val="auto"/>
        </w:rPr>
        <w:t>. Notwithstanding any provision to the contrary contained herein, to the extent the obligations of a Guarantor shall be adjudicated to be invalid or unenforceable</w:t>
      </w:r>
      <w:r>
        <w:rPr>
          <w:rFonts w:ascii="Arial" w:cs="Arial" w:eastAsia="Arial" w:hAnsi="Arial"/>
          <w:sz w:val="14"/>
          <w:szCs w:val="14"/>
          <w:b w:val="1"/>
          <w:bCs w:val="1"/>
          <w:color w:val="auto"/>
        </w:rPr>
        <w:t xml:space="preserve"> </w:t>
      </w:r>
      <w:r>
        <w:rPr>
          <w:rFonts w:ascii="Arial" w:cs="Arial" w:eastAsia="Arial" w:hAnsi="Arial"/>
          <w:sz w:val="14"/>
          <w:szCs w:val="14"/>
          <w:color w:val="auto"/>
        </w:rPr>
        <w:t>for any reason (including, without limitation, because of any Applicable Law relating to fraudulent conveyances or transfers) then the obligations of such Guarantor hereunder shall be limited to the maximum amount that is permissible under Applicable Law (as now or hereinafter in effect).</w:t>
      </w:r>
    </w:p>
    <w:p>
      <w:pPr>
        <w:spacing w:after="0" w:line="159" w:lineRule="exact"/>
        <w:rPr>
          <w:sz w:val="20"/>
          <w:szCs w:val="20"/>
          <w:color w:val="auto"/>
        </w:rPr>
      </w:pPr>
    </w:p>
    <w:p>
      <w:pPr>
        <w:ind w:right="20" w:firstLine="495"/>
        <w:spacing w:after="0" w:line="272" w:lineRule="auto"/>
        <w:rPr>
          <w:sz w:val="20"/>
          <w:szCs w:val="20"/>
          <w:color w:val="auto"/>
        </w:rPr>
      </w:pPr>
      <w:r>
        <w:rPr>
          <w:rFonts w:ascii="Arial" w:cs="Arial" w:eastAsia="Arial" w:hAnsi="Arial"/>
          <w:sz w:val="13"/>
          <w:szCs w:val="13"/>
          <w:b w:val="1"/>
          <w:bCs w:val="1"/>
          <w:color w:val="auto"/>
        </w:rPr>
        <w:t>10.11 Keepwell</w:t>
      </w:r>
      <w:r>
        <w:rPr>
          <w:rFonts w:ascii="Arial" w:cs="Arial" w:eastAsia="Arial" w:hAnsi="Arial"/>
          <w:sz w:val="13"/>
          <w:szCs w:val="13"/>
          <w:color w:val="auto"/>
        </w:rPr>
        <w:t>. The Borrower at the time the Guaranty or the grant of the security interest hereunder, in each case, by any Specified Loan Party, becomes effective with respect to any Swap</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this Guaranty and the other Loan Documents in respect of such Swap Obligation (but, in each case, only up to the maximum amount of such liability that can be hereby incurred without rendering the Borrower’s obligations and undertakings under this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voidable under Applicable Law relating to fraudulent conveyance or fraudulent transfer, and not for any greater amount). The obligations and undertakings of the Borrower under this Section shall remain in full force and effect until the Obligations have been indefeasibly paid and performed in full. The Borrower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76" w:lineRule="exact"/>
        <w:rPr>
          <w:sz w:val="20"/>
          <w:szCs w:val="20"/>
          <w:color w:val="auto"/>
        </w:rPr>
      </w:pPr>
    </w:p>
    <w:p>
      <w:pPr>
        <w:ind w:right="40" w:firstLine="495"/>
        <w:spacing w:after="0" w:line="254" w:lineRule="auto"/>
        <w:rPr>
          <w:sz w:val="20"/>
          <w:szCs w:val="20"/>
          <w:color w:val="auto"/>
        </w:rPr>
      </w:pPr>
      <w:r>
        <w:rPr>
          <w:rFonts w:ascii="Arial" w:cs="Arial" w:eastAsia="Arial" w:hAnsi="Arial"/>
          <w:sz w:val="14"/>
          <w:szCs w:val="14"/>
          <w:b w:val="1"/>
          <w:bCs w:val="1"/>
          <w:color w:val="auto"/>
        </w:rPr>
        <w:t>11.01 Amendments, Etc</w:t>
      </w:r>
      <w:r>
        <w:rPr>
          <w:rFonts w:ascii="Arial" w:cs="Arial" w:eastAsia="Arial" w:hAnsi="Arial"/>
          <w:sz w:val="14"/>
          <w:szCs w:val="14"/>
          <w:color w:val="auto"/>
        </w:rPr>
        <w:t>. Subject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3.03</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last paragraph of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11.01</w:t>
      </w:r>
      <w:r>
        <w:rPr>
          <w:rFonts w:ascii="Arial" w:cs="Arial" w:eastAsia="Arial" w:hAnsi="Arial"/>
          <w:sz w:val="14"/>
          <w:szCs w:val="14"/>
          <w:color w:val="auto"/>
        </w:rPr>
        <w:t>, no amendment or waiver of any provision of this Agreement or any other Loan Document, and no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amendment, waiver or consent shall:</w:t>
      </w:r>
    </w:p>
    <w:p>
      <w:pPr>
        <w:spacing w:after="0" w:line="168" w:lineRule="exact"/>
        <w:rPr>
          <w:sz w:val="20"/>
          <w:szCs w:val="20"/>
          <w:color w:val="auto"/>
        </w:rPr>
      </w:pPr>
    </w:p>
    <w:p>
      <w:pPr>
        <w:ind w:left="780" w:hanging="282"/>
        <w:spacing w:after="0"/>
        <w:tabs>
          <w:tab w:leader="none" w:pos="7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waive any condition set forth in </w:t>
      </w:r>
      <w:r>
        <w:rPr>
          <w:rFonts w:ascii="Arial" w:cs="Arial" w:eastAsia="Arial" w:hAnsi="Arial"/>
          <w:sz w:val="11"/>
          <w:szCs w:val="11"/>
          <w:u w:val="single" w:color="auto"/>
          <w:color w:val="auto"/>
        </w:rPr>
        <w:t>Section 4.01</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 4.01(b)(i)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(c)</w:t>
      </w:r>
      <w:r>
        <w:rPr>
          <w:rFonts w:ascii="Arial" w:cs="Arial" w:eastAsia="Arial" w:hAnsi="Arial"/>
          <w:sz w:val="11"/>
          <w:szCs w:val="11"/>
          <w:color w:val="auto"/>
        </w:rPr>
        <w:t xml:space="preserve">), or, in the case of the initial Credit Extension, </w:t>
      </w:r>
      <w:r>
        <w:rPr>
          <w:rFonts w:ascii="Arial" w:cs="Arial" w:eastAsia="Arial" w:hAnsi="Arial"/>
          <w:sz w:val="11"/>
          <w:szCs w:val="11"/>
          <w:u w:val="single" w:color="auto"/>
          <w:color w:val="auto"/>
        </w:rPr>
        <w:t>Section 4.02</w:t>
      </w:r>
      <w:r>
        <w:rPr>
          <w:rFonts w:ascii="Arial" w:cs="Arial" w:eastAsia="Arial" w:hAnsi="Arial"/>
          <w:sz w:val="11"/>
          <w:szCs w:val="11"/>
          <w:color w:val="auto"/>
        </w:rPr>
        <w:t>, without the written consent of each Lender;</w:t>
      </w:r>
    </w:p>
    <w:p>
      <w:pPr>
        <w:spacing w:after="0" w:line="224" w:lineRule="exact"/>
        <w:rPr>
          <w:rFonts w:ascii="Arial" w:cs="Arial" w:eastAsia="Arial" w:hAnsi="Arial"/>
          <w:sz w:val="11"/>
          <w:szCs w:val="11"/>
          <w:color w:val="auto"/>
        </w:rPr>
      </w:pPr>
    </w:p>
    <w:p>
      <w:pPr>
        <w:ind w:left="800" w:hanging="302"/>
        <w:spacing w:after="0"/>
        <w:tabs>
          <w:tab w:leader="none" w:pos="8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extend or increase the Commitment of any Lender (or reinstate any Commitment terminated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 without the written consent of such Lender;</w:t>
      </w:r>
    </w:p>
    <w:p>
      <w:pPr>
        <w:spacing w:after="0" w:line="189" w:lineRule="exact"/>
        <w:rPr>
          <w:rFonts w:ascii="Arial" w:cs="Arial" w:eastAsia="Arial" w:hAnsi="Arial"/>
          <w:sz w:val="14"/>
          <w:szCs w:val="14"/>
          <w:color w:val="auto"/>
        </w:rPr>
      </w:pPr>
    </w:p>
    <w:p>
      <w:pPr>
        <w:ind w:right="100" w:firstLine="498"/>
        <w:spacing w:after="0" w:line="266" w:lineRule="auto"/>
        <w:tabs>
          <w:tab w:leader="none" w:pos="785" w:val="left"/>
        </w:tabs>
        <w:numPr>
          <w:ilvl w:val="0"/>
          <w:numId w:val="160"/>
        </w:numPr>
        <w:rPr>
          <w:rFonts w:ascii="Arial" w:cs="Arial" w:eastAsia="Arial" w:hAnsi="Arial"/>
          <w:sz w:val="14"/>
          <w:szCs w:val="14"/>
          <w:color w:val="auto"/>
        </w:rPr>
      </w:pPr>
      <w:r>
        <w:rPr>
          <w:rFonts w:ascii="Arial" w:cs="Arial" w:eastAsia="Arial" w:hAnsi="Arial"/>
          <w:sz w:val="14"/>
          <w:szCs w:val="14"/>
          <w:color w:val="auto"/>
        </w:rPr>
        <w:t>postpone any date fixed by this Agreement or any other Loan Document for any payment of principal, interest, fees or other amounts due to the Lenders (or any of them) hereunder or under such other Loan Document without the written consent of each Lender entitled to such payment;</w:t>
      </w:r>
    </w:p>
    <w:p>
      <w:pPr>
        <w:spacing w:after="0" w:line="158" w:lineRule="exact"/>
        <w:rPr>
          <w:rFonts w:ascii="Arial" w:cs="Arial" w:eastAsia="Arial" w:hAnsi="Arial"/>
          <w:sz w:val="14"/>
          <w:szCs w:val="14"/>
          <w:color w:val="auto"/>
        </w:rPr>
      </w:pPr>
    </w:p>
    <w:p>
      <w:pPr>
        <w:jc w:val="both"/>
        <w:ind w:right="20" w:firstLine="498"/>
        <w:spacing w:after="0" w:line="343" w:lineRule="auto"/>
        <w:tabs>
          <w:tab w:leader="none" w:pos="793"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reduce the principal of, or the rate of interest specified herein on, any Loan or L/C Borrowing, or (subject to </w:t>
      </w:r>
      <w:r>
        <w:rPr>
          <w:rFonts w:ascii="Arial" w:cs="Arial" w:eastAsia="Arial" w:hAnsi="Arial"/>
          <w:sz w:val="11"/>
          <w:szCs w:val="11"/>
          <w:u w:val="single" w:color="auto"/>
          <w:color w:val="auto"/>
        </w:rPr>
        <w:t>clause (iv</w:t>
      </w:r>
      <w:r>
        <w:rPr>
          <w:rFonts w:ascii="Arial" w:cs="Arial" w:eastAsia="Arial" w:hAnsi="Arial"/>
          <w:sz w:val="11"/>
          <w:szCs w:val="11"/>
          <w:color w:val="auto"/>
        </w:rPr>
        <w:t xml:space="preserve">) of the second proviso to this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any fees or other amounts payable hereunder or under any other Loan Document, or change the manner of computation of any financial ratio (including any change in any applicable defined term) used in determining the Applicable Rate that would result in a reduction of any interest rate on any Loan or any fee payable hereunder without the written consent of each Lender entitled to such amount;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only the consent of the Required Lenders shall be necessary to amend the definition of “Default Rate” or to waive any obligation of the Borrower to pay interest or Letter of Credit Fees at the Default Rate;</w:t>
      </w:r>
    </w:p>
    <w:p>
      <w:pPr>
        <w:spacing w:after="0" w:line="122" w:lineRule="exact"/>
        <w:rPr>
          <w:rFonts w:ascii="Arial" w:cs="Arial" w:eastAsia="Arial" w:hAnsi="Arial"/>
          <w:sz w:val="11"/>
          <w:szCs w:val="11"/>
          <w:color w:val="auto"/>
        </w:rPr>
      </w:pPr>
    </w:p>
    <w:p>
      <w:pPr>
        <w:ind w:right="140" w:firstLine="498"/>
        <w:spacing w:after="0" w:line="266" w:lineRule="auto"/>
        <w:tabs>
          <w:tab w:leader="none" w:pos="785"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without the prior written consent of each Lender directly affected thereby, modify (i) </w:t>
      </w:r>
      <w:r>
        <w:rPr>
          <w:rFonts w:ascii="Arial" w:cs="Arial" w:eastAsia="Arial" w:hAnsi="Arial"/>
          <w:sz w:val="14"/>
          <w:szCs w:val="14"/>
          <w:u w:val="single" w:color="auto"/>
          <w:color w:val="auto"/>
        </w:rPr>
        <w:t>Section 8.03</w:t>
      </w:r>
      <w:r>
        <w:rPr>
          <w:rFonts w:ascii="Arial" w:cs="Arial" w:eastAsia="Arial" w:hAnsi="Arial"/>
          <w:sz w:val="14"/>
          <w:szCs w:val="14"/>
          <w:color w:val="auto"/>
        </w:rPr>
        <w:t xml:space="preserve"> or (ii) the order of application of any reduction in the Commitments or any prepayment of Loans from the application thereof set forth in the applicable provisions of </w:t>
      </w:r>
      <w:r>
        <w:rPr>
          <w:rFonts w:ascii="Arial" w:cs="Arial" w:eastAsia="Arial" w:hAnsi="Arial"/>
          <w:sz w:val="14"/>
          <w:szCs w:val="14"/>
          <w:u w:val="single" w:color="auto"/>
          <w:color w:val="auto"/>
        </w:rPr>
        <w:t>Section 2.05(b)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2.06(b)</w:t>
      </w:r>
      <w:r>
        <w:rPr>
          <w:rFonts w:ascii="Arial" w:cs="Arial" w:eastAsia="Arial" w:hAnsi="Arial"/>
          <w:sz w:val="14"/>
          <w:szCs w:val="14"/>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110</w:t>
      </w:r>
    </w:p>
    <w:p>
      <w:pPr>
        <w:sectPr>
          <w:pgSz w:w="11900" w:h="16838" w:orient="portrait"/>
          <w:cols w:equalWidth="0" w:num="1">
            <w:col w:w="11280"/>
          </w:cols>
          <w:pgMar w:left="300" w:top="129"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498"/>
        <w:spacing w:after="0" w:line="256" w:lineRule="auto"/>
        <w:tabs>
          <w:tab w:leader="none" w:pos="77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change any provision of this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11.01(f)</w:t>
      </w:r>
      <w:r>
        <w:rPr>
          <w:rFonts w:ascii="Arial" w:cs="Arial" w:eastAsia="Arial" w:hAnsi="Arial"/>
          <w:sz w:val="14"/>
          <w:szCs w:val="14"/>
          <w:color w:val="auto"/>
        </w:rPr>
        <w:t>), without the written consent of each Lender;</w:t>
      </w:r>
    </w:p>
    <w:p>
      <w:pPr>
        <w:spacing w:after="0" w:line="165" w:lineRule="exact"/>
        <w:rPr>
          <w:rFonts w:ascii="Arial" w:cs="Arial" w:eastAsia="Arial" w:hAnsi="Arial"/>
          <w:sz w:val="14"/>
          <w:szCs w:val="14"/>
          <w:color w:val="auto"/>
        </w:rPr>
      </w:pPr>
    </w:p>
    <w:p>
      <w:pPr>
        <w:ind w:left="800" w:hanging="302"/>
        <w:spacing w:after="0"/>
        <w:tabs>
          <w:tab w:leader="none" w:pos="80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release all or substantially all of the Collateral in any transaction or series of related transactions, without the written consent of each Lender;</w:t>
      </w:r>
    </w:p>
    <w:p>
      <w:pPr>
        <w:spacing w:after="0" w:line="189" w:lineRule="exact"/>
        <w:rPr>
          <w:rFonts w:ascii="Arial" w:cs="Arial" w:eastAsia="Arial" w:hAnsi="Arial"/>
          <w:sz w:val="14"/>
          <w:szCs w:val="14"/>
          <w:color w:val="auto"/>
        </w:rPr>
      </w:pPr>
    </w:p>
    <w:p>
      <w:pPr>
        <w:ind w:right="380" w:firstLine="498"/>
        <w:spacing w:after="0" w:line="266" w:lineRule="auto"/>
        <w:tabs>
          <w:tab w:leader="none" w:pos="793"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4"/>
          <w:szCs w:val="14"/>
          <w:u w:val="single" w:color="auto"/>
          <w:color w:val="auto"/>
        </w:rPr>
        <w:t>Section 9.10</w:t>
      </w:r>
      <w:r>
        <w:rPr>
          <w:rFonts w:ascii="Arial" w:cs="Arial" w:eastAsia="Arial" w:hAnsi="Arial"/>
          <w:sz w:val="14"/>
          <w:szCs w:val="14"/>
          <w:color w:val="auto"/>
        </w:rPr>
        <w:t xml:space="preserve"> (in which case such release may be made by the Administrative Agent acting alone);</w:t>
      </w:r>
    </w:p>
    <w:p>
      <w:pPr>
        <w:spacing w:after="0" w:line="158" w:lineRule="exact"/>
        <w:rPr>
          <w:rFonts w:ascii="Arial" w:cs="Arial" w:eastAsia="Arial" w:hAnsi="Arial"/>
          <w:sz w:val="14"/>
          <w:szCs w:val="14"/>
          <w:color w:val="auto"/>
        </w:rPr>
      </w:pPr>
    </w:p>
    <w:p>
      <w:pPr>
        <w:ind w:right="420" w:firstLine="498"/>
        <w:spacing w:after="0" w:line="266" w:lineRule="auto"/>
        <w:tabs>
          <w:tab w:leader="none" w:pos="76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without the prior written consent of each Lender directly affected thereby, subordinate, or have the effect of subordinating, the Obligations hereunder to any other Indebtedness or other obligation (other than Permitted Priority Indebtedness incurred in accordance with Section 7.02 hereof); or</w:t>
      </w:r>
    </w:p>
    <w:p>
      <w:pPr>
        <w:spacing w:after="0" w:line="158" w:lineRule="exact"/>
        <w:rPr>
          <w:rFonts w:ascii="Arial" w:cs="Arial" w:eastAsia="Arial" w:hAnsi="Arial"/>
          <w:sz w:val="14"/>
          <w:szCs w:val="14"/>
          <w:color w:val="auto"/>
        </w:rPr>
      </w:pPr>
    </w:p>
    <w:p>
      <w:pPr>
        <w:ind w:left="760" w:hanging="262"/>
        <w:spacing w:after="0"/>
        <w:tabs>
          <w:tab w:leader="none" w:pos="76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impose any greater restriction on the ability of any Lender to assign any of its rights or obligations hereunder without the written consent of the Required Lenders;</w:t>
      </w:r>
    </w:p>
    <w:p>
      <w:pPr>
        <w:spacing w:after="0" w:line="190"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 xml:space="preserve">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and the maturity date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60" w:lineRule="exact"/>
        <w:rPr>
          <w:sz w:val="20"/>
          <w:szCs w:val="20"/>
          <w:color w:val="auto"/>
        </w:rPr>
      </w:pPr>
    </w:p>
    <w:p>
      <w:pPr>
        <w:ind w:firstLine="495"/>
        <w:spacing w:after="0" w:line="272" w:lineRule="auto"/>
        <w:rPr>
          <w:sz w:val="20"/>
          <w:szCs w:val="20"/>
          <w:color w:val="auto"/>
        </w:rPr>
      </w:pPr>
      <w:r>
        <w:rPr>
          <w:rFonts w:ascii="Arial" w:cs="Arial" w:eastAsia="Arial" w:hAnsi="Arial"/>
          <w:sz w:val="13"/>
          <w:szCs w:val="13"/>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or determine that any amendments, modifications or supplements are necessary to this Agreement or to any other Loan Document (including the schedules and exhibits thereto) in connection with the incurrence by the Borrower of Permitted Priority Debt, then the Administrative Agent and the Borrower shall be permitted to amend, modify or supplement such provision to cure such ambiguity, omission, mistake, typographical error or other defect or to amend, modify or supplement this Agreement or any other Loan Document (including the schedules and exhibits thereto) as necessary in connection with the incurrence by the Borrower of such Permitted Priority Debt, and such amendment shall become effective without any further action or consent of any other party to this Agreement.</w:t>
      </w:r>
    </w:p>
    <w:p>
      <w:pPr>
        <w:spacing w:after="0" w:line="155" w:lineRule="exact"/>
        <w:rPr>
          <w:sz w:val="20"/>
          <w:szCs w:val="20"/>
          <w:color w:val="auto"/>
        </w:rPr>
      </w:pPr>
    </w:p>
    <w:p>
      <w:pPr>
        <w:ind w:firstLine="495"/>
        <w:spacing w:after="0" w:line="254" w:lineRule="auto"/>
        <w:rPr>
          <w:sz w:val="20"/>
          <w:szCs w:val="20"/>
          <w:color w:val="auto"/>
        </w:rPr>
      </w:pPr>
      <w:r>
        <w:rPr>
          <w:rFonts w:ascii="Arial" w:cs="Arial" w:eastAsia="Arial" w:hAnsi="Arial"/>
          <w:sz w:val="14"/>
          <w:szCs w:val="14"/>
          <w:b w:val="1"/>
          <w:bCs w:val="1"/>
          <w:color w:val="auto"/>
        </w:rPr>
        <w:t>11.02 Notices; Effectiveness; Electronic Communications</w:t>
      </w:r>
      <w:r>
        <w:rPr>
          <w:rFonts w:ascii="Arial" w:cs="Arial" w:eastAsia="Arial" w:hAnsi="Arial"/>
          <w:sz w:val="14"/>
          <w:szCs w:val="14"/>
          <w:color w:val="auto"/>
        </w:rPr>
        <w:t>. (a)</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Notices Generally</w:t>
      </w:r>
      <w:r>
        <w:rPr>
          <w:rFonts w:ascii="Arial" w:cs="Arial" w:eastAsia="Arial" w:hAnsi="Arial"/>
          <w:sz w:val="14"/>
          <w:szCs w:val="14"/>
          <w:color w:val="auto"/>
        </w:rPr>
        <w:t>. Except in the case of notices and other communications expressly permitted to be given by telephone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except as provided in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111</w:t>
      </w:r>
    </w:p>
    <w:p>
      <w:pPr>
        <w:sectPr>
          <w:pgSz w:w="11900" w:h="16838" w:orient="portrait"/>
          <w:cols w:equalWidth="0" w:num="1">
            <w:col w:w="11280"/>
          </w:cols>
          <w:pgMar w:left="300" w:top="129"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80" w:firstLine="493"/>
        <w:spacing w:after="0" w:line="266" w:lineRule="auto"/>
        <w:tabs>
          <w:tab w:leader="none" w:pos="126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 xml:space="preserve">if to the Borrower, any Guarantor, the Administrative Agent, the L/C Issuer or the Swing Line Lender, to the address, facsimile number, electronic mail address or telephone number specified for such Person on </w:t>
      </w:r>
      <w:r>
        <w:rPr>
          <w:rFonts w:ascii="Arial" w:cs="Arial" w:eastAsia="Arial" w:hAnsi="Arial"/>
          <w:sz w:val="14"/>
          <w:szCs w:val="14"/>
          <w:u w:val="single" w:color="auto"/>
          <w:color w:val="auto"/>
        </w:rPr>
        <w:t>Schedule 11.02(a)</w:t>
      </w:r>
      <w:r>
        <w:rPr>
          <w:rFonts w:ascii="Arial" w:cs="Arial" w:eastAsia="Arial" w:hAnsi="Arial"/>
          <w:sz w:val="14"/>
          <w:szCs w:val="14"/>
          <w:color w:val="auto"/>
        </w:rPr>
        <w:t>; and</w:t>
      </w:r>
    </w:p>
    <w:p>
      <w:pPr>
        <w:spacing w:after="0" w:line="158" w:lineRule="exact"/>
        <w:rPr>
          <w:rFonts w:ascii="Arial" w:cs="Arial" w:eastAsia="Arial" w:hAnsi="Arial"/>
          <w:sz w:val="14"/>
          <w:szCs w:val="14"/>
          <w:color w:val="auto"/>
        </w:rPr>
      </w:pPr>
    </w:p>
    <w:p>
      <w:pPr>
        <w:ind w:left="500" w:right="40" w:firstLine="493"/>
        <w:spacing w:after="0" w:line="256" w:lineRule="auto"/>
        <w:tabs>
          <w:tab w:leader="none" w:pos="13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below shall be effective as provided in such </w:t>
      </w:r>
      <w:r>
        <w:rPr>
          <w:rFonts w:ascii="Arial" w:cs="Arial" w:eastAsia="Arial" w:hAnsi="Arial"/>
          <w:sz w:val="14"/>
          <w:szCs w:val="14"/>
          <w:u w:val="single" w:color="auto"/>
          <w:color w:val="auto"/>
        </w:rPr>
        <w:t>subsection (b)</w:t>
      </w:r>
      <w:r>
        <w:rPr>
          <w:rFonts w:ascii="Arial" w:cs="Arial" w:eastAsia="Arial" w:hAnsi="Arial"/>
          <w:sz w:val="14"/>
          <w:szCs w:val="14"/>
          <w:color w:val="auto"/>
        </w:rPr>
        <w:t>.</w:t>
      </w:r>
    </w:p>
    <w:p>
      <w:pPr>
        <w:spacing w:after="0" w:line="170" w:lineRule="exact"/>
        <w:rPr>
          <w:sz w:val="20"/>
          <w:szCs w:val="20"/>
          <w:color w:val="auto"/>
        </w:rPr>
      </w:pPr>
    </w:p>
    <w:p>
      <w:pPr>
        <w:ind w:right="180" w:firstLine="498"/>
        <w:spacing w:after="0" w:line="274" w:lineRule="auto"/>
        <w:tabs>
          <w:tab w:leader="none" w:pos="793"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Electronic Communications</w:t>
      </w:r>
      <w:r>
        <w:rPr>
          <w:rFonts w:ascii="Arial" w:cs="Arial" w:eastAsia="Arial" w:hAnsi="Arial"/>
          <w:sz w:val="13"/>
          <w:szCs w:val="13"/>
          <w:color w:val="auto"/>
        </w:rPr>
        <w:t xml:space="preserve">. Notices and other communications to the Lenders and the L/C Issuer hereunder may be delivered or furnished by electronic communication (including e-mail, FpML messaging, and Internet or intranet websites) pursuant to procedures approved by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to any Lender or the L/C Issuer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157" w:lineRule="exact"/>
        <w:rPr>
          <w:sz w:val="20"/>
          <w:szCs w:val="20"/>
          <w:color w:val="auto"/>
        </w:rPr>
      </w:pPr>
    </w:p>
    <w:p>
      <w:pPr>
        <w:ind w:right="40" w:firstLine="495"/>
        <w:spacing w:after="0" w:line="274" w:lineRule="auto"/>
        <w:rPr>
          <w:sz w:val="20"/>
          <w:szCs w:val="20"/>
          <w:color w:val="auto"/>
        </w:rPr>
      </w:pPr>
      <w:r>
        <w:rPr>
          <w:rFonts w:ascii="Arial" w:cs="Arial" w:eastAsia="Arial" w:hAnsi="Arial"/>
          <w:sz w:val="13"/>
          <w:szCs w:val="13"/>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of notification that such notice or communication is available and identifying the website address therefor;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both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57" w:lineRule="exact"/>
        <w:rPr>
          <w:sz w:val="20"/>
          <w:szCs w:val="20"/>
          <w:color w:val="auto"/>
        </w:rPr>
      </w:pPr>
    </w:p>
    <w:p>
      <w:pPr>
        <w:ind w:right="20" w:firstLine="498"/>
        <w:spacing w:after="0" w:line="271" w:lineRule="auto"/>
        <w:tabs>
          <w:tab w:leader="none" w:pos="785"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The Platform</w:t>
      </w:r>
      <w:r>
        <w:rPr>
          <w:rFonts w:ascii="Arial" w:cs="Arial" w:eastAsia="Arial" w:hAnsi="Arial"/>
          <w:sz w:val="13"/>
          <w:szCs w:val="13"/>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3"/>
          <w:szCs w:val="13"/>
          <w:u w:val="single" w:color="auto"/>
          <w:color w:val="auto"/>
        </w:rPr>
        <w:t>Agent Parties</w:t>
      </w:r>
      <w:r>
        <w:rPr>
          <w:rFonts w:ascii="Arial" w:cs="Arial" w:eastAsia="Arial" w:hAnsi="Arial"/>
          <w:sz w:val="13"/>
          <w:szCs w:val="13"/>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112</w:t>
      </w:r>
    </w:p>
    <w:p>
      <w:pPr>
        <w:sectPr>
          <w:pgSz w:w="11900" w:h="16838" w:orient="portrait"/>
          <w:cols w:equalWidth="0" w:num="1">
            <w:col w:w="11280"/>
          </w:cols>
          <w:pgMar w:left="300" w:top="129"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327" w:lineRule="auto"/>
        <w:tabs>
          <w:tab w:leader="none" w:pos="793" w:val="left"/>
        </w:tabs>
        <w:numPr>
          <w:ilvl w:val="0"/>
          <w:numId w:val="165"/>
        </w:numPr>
        <w:rPr>
          <w:rFonts w:ascii="Arial" w:cs="Arial" w:eastAsia="Arial" w:hAnsi="Arial"/>
          <w:sz w:val="11"/>
          <w:szCs w:val="11"/>
          <w:color w:val="auto"/>
        </w:rPr>
      </w:pPr>
      <w:r>
        <w:rPr>
          <w:rFonts w:ascii="Arial" w:cs="Arial" w:eastAsia="Arial" w:hAnsi="Arial"/>
          <w:sz w:val="11"/>
          <w:szCs w:val="11"/>
          <w:u w:val="single" w:color="auto"/>
          <w:color w:val="auto"/>
        </w:rPr>
        <w:t>Change of Address, Etc</w:t>
      </w:r>
      <w:r>
        <w:rPr>
          <w:rFonts w:ascii="Arial" w:cs="Arial" w:eastAsia="Arial" w:hAnsi="Arial"/>
          <w:sz w:val="11"/>
          <w:szCs w:val="11"/>
          <w:color w:val="auto"/>
        </w:rPr>
        <w:t>. Each of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99" w:lineRule="exact"/>
        <w:rPr>
          <w:rFonts w:ascii="Arial" w:cs="Arial" w:eastAsia="Arial" w:hAnsi="Arial"/>
          <w:sz w:val="11"/>
          <w:szCs w:val="11"/>
          <w:color w:val="auto"/>
        </w:rPr>
      </w:pPr>
    </w:p>
    <w:p>
      <w:pPr>
        <w:ind w:right="60" w:firstLine="498"/>
        <w:spacing w:after="0" w:line="330" w:lineRule="auto"/>
        <w:tabs>
          <w:tab w:leader="none" w:pos="785" w:val="left"/>
        </w:tabs>
        <w:numPr>
          <w:ilvl w:val="0"/>
          <w:numId w:val="165"/>
        </w:numPr>
        <w:rPr>
          <w:rFonts w:ascii="Arial" w:cs="Arial" w:eastAsia="Arial" w:hAnsi="Arial"/>
          <w:sz w:val="11"/>
          <w:szCs w:val="11"/>
          <w:color w:val="auto"/>
        </w:rPr>
      </w:pPr>
      <w:r>
        <w:rPr>
          <w:rFonts w:ascii="Arial" w:cs="Arial" w:eastAsia="Arial" w:hAnsi="Arial"/>
          <w:sz w:val="11"/>
          <w:szCs w:val="11"/>
          <w:u w:val="single" w:color="auto"/>
          <w:color w:val="auto"/>
        </w:rPr>
        <w:t>Reliance by Administrative Agent, L/C Issuer and Lenders</w:t>
      </w:r>
      <w:r>
        <w:rPr>
          <w:rFonts w:ascii="Arial" w:cs="Arial" w:eastAsia="Arial" w:hAnsi="Arial"/>
          <w:sz w:val="11"/>
          <w:szCs w:val="11"/>
          <w:color w:val="auto"/>
        </w:rPr>
        <w:t>. The Administrative Agent, the L/C Issuer and the Lenders shall be entitled to rely and act upon any notices (including telephonic notices,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provided that such indemnity shall not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297" w:lineRule="exact"/>
        <w:rPr>
          <w:rFonts w:ascii="Arial" w:cs="Arial" w:eastAsia="Arial" w:hAnsi="Arial"/>
          <w:sz w:val="11"/>
          <w:szCs w:val="11"/>
          <w:color w:val="auto"/>
        </w:rPr>
      </w:pPr>
    </w:p>
    <w:p>
      <w:pPr>
        <w:ind w:left="780" w:hanging="282"/>
        <w:spacing w:after="0"/>
        <w:tabs>
          <w:tab w:leader="none" w:pos="780"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ERISA Plans</w:t>
      </w:r>
      <w:r>
        <w:rPr>
          <w:rFonts w:ascii="Arial" w:cs="Arial" w:eastAsia="Arial" w:hAnsi="Arial"/>
          <w:sz w:val="13"/>
          <w:szCs w:val="13"/>
          <w:color w:val="auto"/>
        </w:rPr>
        <w:t>. In the event that, following the Closing Date, the Borrower or any ERISA Affiliate maintains or contributes to a Pension Plan or Multiemployer Plan not listed in Schedule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11.02(f), notice will be provided in accordance with Section 11.02(a) as soon as practicable.</w:t>
      </w:r>
    </w:p>
    <w:p>
      <w:pPr>
        <w:spacing w:after="0" w:line="176" w:lineRule="exact"/>
        <w:rPr>
          <w:sz w:val="20"/>
          <w:szCs w:val="20"/>
          <w:color w:val="auto"/>
        </w:rPr>
      </w:pPr>
    </w:p>
    <w:p>
      <w:pPr>
        <w:ind w:right="80" w:firstLine="495"/>
        <w:spacing w:after="0" w:line="254" w:lineRule="auto"/>
        <w:rPr>
          <w:sz w:val="20"/>
          <w:szCs w:val="20"/>
          <w:color w:val="auto"/>
        </w:rPr>
      </w:pPr>
      <w:r>
        <w:rPr>
          <w:rFonts w:ascii="Arial" w:cs="Arial" w:eastAsia="Arial" w:hAnsi="Arial"/>
          <w:sz w:val="14"/>
          <w:szCs w:val="14"/>
          <w:b w:val="1"/>
          <w:bCs w:val="1"/>
          <w:color w:val="auto"/>
        </w:rPr>
        <w:t>11.03 No Waiver; Cumulative Remedies; Enforcement</w:t>
      </w:r>
      <w:r>
        <w:rPr>
          <w:rFonts w:ascii="Arial" w:cs="Arial" w:eastAsia="Arial" w:hAnsi="Arial"/>
          <w:sz w:val="14"/>
          <w:szCs w:val="14"/>
          <w:color w:val="auto"/>
        </w:rPr>
        <w:t>. No failure by any Lender, the L/C Issuer or the Administrative Agent to exercise, and no delay by any such Person in exercising, any</w:t>
      </w:r>
      <w:r>
        <w:rPr>
          <w:rFonts w:ascii="Arial" w:cs="Arial" w:eastAsia="Arial" w:hAnsi="Arial"/>
          <w:sz w:val="14"/>
          <w:szCs w:val="14"/>
          <w:b w:val="1"/>
          <w:bCs w:val="1"/>
          <w:color w:val="auto"/>
        </w:rPr>
        <w:t xml:space="preserve"> </w:t>
      </w:r>
      <w:r>
        <w:rPr>
          <w:rFonts w:ascii="Arial" w:cs="Arial" w:eastAsia="Arial" w:hAnsi="Arial"/>
          <w:sz w:val="14"/>
          <w:szCs w:val="14"/>
          <w:color w:val="auto"/>
        </w:rPr>
        <w:t>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8" w:lineRule="exact"/>
        <w:rPr>
          <w:sz w:val="20"/>
          <w:szCs w:val="20"/>
          <w:color w:val="auto"/>
        </w:rPr>
      </w:pPr>
    </w:p>
    <w:p>
      <w:pPr>
        <w:ind w:right="20" w:firstLine="495"/>
        <w:spacing w:after="0" w:line="270" w:lineRule="auto"/>
        <w:rPr>
          <w:sz w:val="20"/>
          <w:szCs w:val="20"/>
          <w:color w:val="auto"/>
        </w:rPr>
      </w:pPr>
      <w:r>
        <w:rPr>
          <w:rFonts w:ascii="Arial" w:cs="Arial" w:eastAsia="Arial" w:hAnsi="Arial"/>
          <w:sz w:val="13"/>
          <w:szCs w:val="13"/>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for the benefit of all the Lenders and the L/C Issuer;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3"/>
          <w:szCs w:val="13"/>
          <w:u w:val="single" w:color="auto"/>
          <w:color w:val="auto"/>
        </w:rPr>
        <w:t>Section 11.08</w:t>
      </w:r>
      <w:r>
        <w:rPr>
          <w:rFonts w:ascii="Arial" w:cs="Arial" w:eastAsia="Arial" w:hAnsi="Arial"/>
          <w:sz w:val="13"/>
          <w:szCs w:val="13"/>
          <w:color w:val="auto"/>
        </w:rPr>
        <w:t xml:space="preserve"> (subject to the terms of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at any time there is no Person acting as Administrative Agent hereunder and under the other Loan Documents, then (i) the Required Lenders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113</w:t>
      </w:r>
    </w:p>
    <w:p>
      <w:pPr>
        <w:sectPr>
          <w:pgSz w:w="11900" w:h="16838" w:orient="portrait"/>
          <w:cols w:equalWidth="0" w:num="1">
            <w:col w:w="11280"/>
          </w:cols>
          <w:pgMar w:left="300" w:top="129"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 xml:space="preserve">rights otherwise ascribed to the Administrative Agent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and (ii) in addition to the matters set forth in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the preceding proviso and subject to </w:t>
      </w:r>
      <w:r>
        <w:rPr>
          <w:rFonts w:ascii="Arial" w:cs="Arial" w:eastAsia="Arial" w:hAnsi="Arial"/>
          <w:sz w:val="14"/>
          <w:szCs w:val="14"/>
          <w:u w:val="single" w:color="auto"/>
          <w:color w:val="auto"/>
        </w:rPr>
        <w:t>Section 2.13</w:t>
      </w:r>
      <w:r>
        <w:rPr>
          <w:rFonts w:ascii="Arial" w:cs="Arial" w:eastAsia="Arial" w:hAnsi="Arial"/>
          <w:sz w:val="14"/>
          <w:szCs w:val="14"/>
          <w:color w:val="auto"/>
        </w:rPr>
        <w:t>, any Lender may, with the consent of the Required Lenders, enforce any rights and remedies available to it and as authorized by the Required Lenders.</w:t>
      </w:r>
    </w:p>
    <w:p>
      <w:pPr>
        <w:spacing w:after="0" w:line="155" w:lineRule="exact"/>
        <w:rPr>
          <w:sz w:val="20"/>
          <w:szCs w:val="20"/>
          <w:color w:val="auto"/>
        </w:rPr>
      </w:pPr>
    </w:p>
    <w:p>
      <w:pPr>
        <w:ind w:firstLine="495"/>
        <w:spacing w:after="0" w:line="322" w:lineRule="auto"/>
        <w:rPr>
          <w:sz w:val="20"/>
          <w:szCs w:val="20"/>
          <w:color w:val="auto"/>
        </w:rPr>
      </w:pPr>
      <w:r>
        <w:rPr>
          <w:rFonts w:ascii="Arial" w:cs="Arial" w:eastAsia="Arial" w:hAnsi="Arial"/>
          <w:sz w:val="11"/>
          <w:szCs w:val="11"/>
          <w:b w:val="1"/>
          <w:bCs w:val="1"/>
          <w:color w:val="auto"/>
        </w:rPr>
        <w:t>11.04 Expenses; Indemnity; Damage Waiver</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Costs and Expenses</w:t>
      </w:r>
      <w:r>
        <w:rPr>
          <w:rFonts w:ascii="Arial" w:cs="Arial" w:eastAsia="Arial" w:hAnsi="Arial"/>
          <w:sz w:val="11"/>
          <w:szCs w:val="11"/>
          <w:color w:val="auto"/>
        </w:rPr>
        <w:t>. The Borrower shall pay (i) all reasonable and documented out-of-pocket expenses incurred by the Administrative Agent</w:t>
      </w:r>
      <w:r>
        <w:rPr>
          <w:rFonts w:ascii="Arial" w:cs="Arial" w:eastAsia="Arial" w:hAnsi="Arial"/>
          <w:sz w:val="11"/>
          <w:szCs w:val="11"/>
          <w:b w:val="1"/>
          <w:bCs w:val="1"/>
          <w:color w:val="auto"/>
        </w:rPr>
        <w:t xml:space="preserve"> </w:t>
      </w:r>
      <w:r>
        <w:rPr>
          <w:rFonts w:ascii="Arial" w:cs="Arial" w:eastAsia="Arial" w:hAnsi="Arial"/>
          <w:sz w:val="11"/>
          <w:szCs w:val="11"/>
          <w:color w:val="auto"/>
        </w:rPr>
        <w:t>and its Affiliates (including the reasonable fees, charges and disbursements of counsel for the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(but limited, in the case of fees, charges and disbursements of counsel, to the reasonable and documented, out-of-pocket fees, charges and disbursements of one (1) primary counsel for the Administrative Agent and its Affiliates, taken as a whole, and, if the Administrative Agent reasonably determines that primary counsel does not have the relevant specialty or local expertise, of one (1) special counsel to the Administrative Agent and its Affiliates, taken as a whole, in each relevant specialty and one (1) local counsel to the Administrative Agent and its Affiliates, taken as a whole, in each relevant jurisdiction, and, in the event of any actual or potential conflict of interest, one (1) additional primary counsel, one (1) additional special counsel for each relevant specialty and one (1) additional local counsel for each relevant jurisdiction for each group of similarly situated Persons subject to such conflict, (ii) all reasonable and documented out-of-pocket expenses incurred by the L/C Issuer in connection with the issuance, amendment, extension, reinstatement or renewal of any Letter of Credit or any demand for payment thereunder and (iii) all reasonable and documented out-of-pocket expenses incurred by the Administrative Agent, any Lender or the L/C Issuer (including the reasonable fees, charges and disbursements of one outside counsel for the Administrative Agent, any Lender or the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114</w:t>
      </w:r>
    </w:p>
    <w:p>
      <w:pPr>
        <w:sectPr>
          <w:pgSz w:w="11900" w:h="16838" w:orient="portrait"/>
          <w:cols w:equalWidth="0" w:num="1">
            <w:col w:w="11280"/>
          </w:cols>
          <w:pgMar w:left="300" w:top="129"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266" w:lineRule="auto"/>
        <w:tabs>
          <w:tab w:leader="none" w:pos="793"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3"/>
          <w:szCs w:val="13"/>
          <w:u w:val="single" w:color="auto"/>
          <w:color w:val="auto"/>
        </w:rPr>
        <w:t>Indemnitee</w:t>
      </w:r>
      <w:r>
        <w:rPr>
          <w:rFonts w:ascii="Arial" w:cs="Arial" w:eastAsia="Arial" w:hAnsi="Arial"/>
          <w:sz w:val="13"/>
          <w:szCs w:val="13"/>
          <w:color w:val="auto"/>
        </w:rPr>
        <w:t xml:space="preserve">”) against, and hold each Indemnitee harmless from, any and all losses, claims, damages, liabilities and related expenses (including the fees, charges and disbursements of any counsel for any Indemnitee but limited, in the case of fees, charges and disbursements of counsel of the Indemnitees, to the reasonable and documented, out-of-pocket fees, charges and disbursements of one (1) primary counsel for the Indemnitees, taken as a whole, and, if the Indemnitees reasonably determine that primary counsel does not have the relevant specialty or local expertise, of one (1) special counsel to the Indemnitees, taken as a whole, in each relevant specialty and one (1) local counsel to the Indemnitees, taken as a whole, in each relevant jurisdiction, and, in the event of any actual or potential conflict of interest, one (1) additional primary counsel, one (1) additional special counsel for each relevant specialty and one (1) additional local counsel for each relevant jurisdiction for each group of similarly situated Indemnitees subject to such conflict),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Loan Party against an Indemnitee for a material breach in bad faith of such Indemnitee’s obligations hereunder or under any other Loan Document, if such Loan Party has obtained a final and non-appealable judgment in its favor on such claim as determined by a court of competent jurisdiction or (z) arise solely from a dispute among the Indemnitees (except when and to the extent that one of the Indemnitees party to such dispute was acting in its capacity or in fulfilling its role as Administrative Agent, L/C Issuer, Swing Line Lender or any similar role under this Agreement or any other Loan Document) that does not involve any act or omission of the Loan Parties and their Affiliates. Without limiting the provisions of </w:t>
      </w:r>
      <w:r>
        <w:rPr>
          <w:rFonts w:ascii="Arial" w:cs="Arial" w:eastAsia="Arial" w:hAnsi="Arial"/>
          <w:sz w:val="13"/>
          <w:szCs w:val="13"/>
          <w:u w:val="single" w:color="auto"/>
          <w:color w:val="auto"/>
        </w:rPr>
        <w:t>Section 3.01(c)</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11.04(b)</w:t>
      </w:r>
      <w:r>
        <w:rPr>
          <w:rFonts w:ascii="Arial" w:cs="Arial" w:eastAsia="Arial" w:hAnsi="Arial"/>
          <w:sz w:val="13"/>
          <w:szCs w:val="13"/>
          <w:color w:val="auto"/>
        </w:rPr>
        <w:t xml:space="preserve"> shall not apply with respect to Taxes other than any Taxes that represent losses, claims, damages, etc. arising from any non-Tax claim. Notwithstanding the foregoing, each Indemnitee shall be obligated to refund or return any and all amounts paid by a Loan Party under this paragraph to such Indemnitee to the extent such Indemnitee is subsequently determined, by a court of competent jurisdiction by final and nonappealable judgment, to not be entitled to payment of such amounts in accordance with the terms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115</w:t>
      </w:r>
    </w:p>
    <w:p>
      <w:pPr>
        <w:sectPr>
          <w:pgSz w:w="11900" w:h="16838" w:orient="portrait"/>
          <w:cols w:equalWidth="0" w:num="1">
            <w:col w:w="11280"/>
          </w:cols>
          <w:pgMar w:left="300" w:top="129"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498"/>
        <w:spacing w:after="0" w:line="327" w:lineRule="auto"/>
        <w:tabs>
          <w:tab w:leader="none" w:pos="785" w:val="left"/>
        </w:tabs>
        <w:numPr>
          <w:ilvl w:val="0"/>
          <w:numId w:val="167"/>
        </w:numPr>
        <w:rPr>
          <w:rFonts w:ascii="Arial" w:cs="Arial" w:eastAsia="Arial" w:hAnsi="Arial"/>
          <w:sz w:val="11"/>
          <w:szCs w:val="11"/>
          <w:color w:val="auto"/>
        </w:rPr>
      </w:pPr>
      <w:r>
        <w:rPr>
          <w:rFonts w:ascii="Arial" w:cs="Arial" w:eastAsia="Arial" w:hAnsi="Arial"/>
          <w:sz w:val="11"/>
          <w:szCs w:val="11"/>
          <w:u w:val="single" w:color="auto"/>
          <w:color w:val="auto"/>
        </w:rPr>
        <w:t>Reimbursement by Lenders</w:t>
      </w:r>
      <w:r>
        <w:rPr>
          <w:rFonts w:ascii="Arial" w:cs="Arial" w:eastAsia="Arial" w:hAnsi="Arial"/>
          <w:sz w:val="11"/>
          <w:szCs w:val="11"/>
          <w:color w:val="auto"/>
        </w:rPr>
        <w:t xml:space="preserve">. To the extent that the Borrower for any reason fails to indefeasibly pay any amount required under </w:t>
      </w:r>
      <w:r>
        <w:rPr>
          <w:rFonts w:ascii="Arial" w:cs="Arial" w:eastAsia="Arial" w:hAnsi="Arial"/>
          <w:sz w:val="11"/>
          <w:szCs w:val="11"/>
          <w:u w:val="single" w:color="auto"/>
          <w:color w:val="auto"/>
        </w:rPr>
        <w:t>subsection (a)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1"/>
          <w:szCs w:val="11"/>
          <w:u w:val="single" w:color="auto"/>
          <w:color w:val="auto"/>
        </w:rPr>
        <w:t>subsection (c)</w:t>
      </w:r>
      <w:r>
        <w:rPr>
          <w:rFonts w:ascii="Arial" w:cs="Arial" w:eastAsia="Arial" w:hAnsi="Arial"/>
          <w:sz w:val="11"/>
          <w:szCs w:val="11"/>
          <w:color w:val="auto"/>
        </w:rPr>
        <w:t xml:space="preserve"> are subject to the provisions of </w:t>
      </w:r>
      <w:r>
        <w:rPr>
          <w:rFonts w:ascii="Arial" w:cs="Arial" w:eastAsia="Arial" w:hAnsi="Arial"/>
          <w:sz w:val="11"/>
          <w:szCs w:val="11"/>
          <w:u w:val="single" w:color="auto"/>
          <w:color w:val="auto"/>
        </w:rPr>
        <w:t>Section 2.12(d)</w:t>
      </w:r>
      <w:r>
        <w:rPr>
          <w:rFonts w:ascii="Arial" w:cs="Arial" w:eastAsia="Arial" w:hAnsi="Arial"/>
          <w:sz w:val="11"/>
          <w:szCs w:val="11"/>
          <w:color w:val="auto"/>
        </w:rPr>
        <w:t>.</w:t>
      </w:r>
    </w:p>
    <w:p>
      <w:pPr>
        <w:spacing w:after="0" w:line="299" w:lineRule="exact"/>
        <w:rPr>
          <w:rFonts w:ascii="Arial" w:cs="Arial" w:eastAsia="Arial" w:hAnsi="Arial"/>
          <w:sz w:val="11"/>
          <w:szCs w:val="11"/>
          <w:color w:val="auto"/>
        </w:rPr>
      </w:pPr>
    </w:p>
    <w:p>
      <w:pPr>
        <w:ind w:right="40" w:firstLine="498"/>
        <w:spacing w:after="0" w:line="272" w:lineRule="auto"/>
        <w:tabs>
          <w:tab w:leader="none" w:pos="793"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Waiver of Consequential Damages, Etc</w:t>
      </w:r>
      <w:r>
        <w:rPr>
          <w:rFonts w:ascii="Arial" w:cs="Arial" w:eastAsia="Arial" w:hAnsi="Arial"/>
          <w:sz w:val="13"/>
          <w:szCs w:val="13"/>
          <w:color w:val="auto"/>
        </w:rPr>
        <w:t xml:space="preserve">. To the fullest extent permitted by Applicable Law, no party hereto shall assert, and each party hereto hereby waives, and acknowledges that no other Person shall have, any claim against any other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3"/>
          <w:szCs w:val="13"/>
          <w:u w:val="single" w:color="auto"/>
          <w:color w:val="auto"/>
        </w:rPr>
        <w:t>subsection (b)</w:t>
      </w:r>
      <w:r>
        <w:rPr>
          <w:rFonts w:ascii="Arial" w:cs="Arial" w:eastAsia="Arial" w:hAnsi="Arial"/>
          <w:sz w:val="13"/>
          <w:szCs w:val="13"/>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59" w:lineRule="exact"/>
        <w:rPr>
          <w:rFonts w:ascii="Arial" w:cs="Arial" w:eastAsia="Arial" w:hAnsi="Arial"/>
          <w:sz w:val="13"/>
          <w:szCs w:val="13"/>
          <w:color w:val="auto"/>
        </w:rPr>
      </w:pPr>
    </w:p>
    <w:p>
      <w:pPr>
        <w:ind w:left="780" w:hanging="282"/>
        <w:spacing w:after="0"/>
        <w:tabs>
          <w:tab w:leader="none" w:pos="780"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All amounts due under this Section shall be payable not later than ten Business Days after demand therefor.</w:t>
      </w:r>
    </w:p>
    <w:p>
      <w:pPr>
        <w:spacing w:after="0" w:line="189" w:lineRule="exact"/>
        <w:rPr>
          <w:rFonts w:ascii="Arial" w:cs="Arial" w:eastAsia="Arial" w:hAnsi="Arial"/>
          <w:sz w:val="14"/>
          <w:szCs w:val="14"/>
          <w:color w:val="auto"/>
        </w:rPr>
      </w:pPr>
    </w:p>
    <w:p>
      <w:pPr>
        <w:ind w:right="440" w:firstLine="498"/>
        <w:spacing w:after="0" w:line="305" w:lineRule="auto"/>
        <w:tabs>
          <w:tab w:leader="none" w:pos="770"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The agreements in this Section and the indemnity provisions of </w:t>
      </w:r>
      <w:r>
        <w:rPr>
          <w:rFonts w:ascii="Arial" w:cs="Arial" w:eastAsia="Arial" w:hAnsi="Arial"/>
          <w:sz w:val="13"/>
          <w:szCs w:val="13"/>
          <w:u w:val="single" w:color="auto"/>
          <w:color w:val="auto"/>
        </w:rPr>
        <w:t>Section 11.02(e)</w:t>
      </w:r>
      <w:r>
        <w:rPr>
          <w:rFonts w:ascii="Arial" w:cs="Arial" w:eastAsia="Arial" w:hAnsi="Arial"/>
          <w:sz w:val="13"/>
          <w:szCs w:val="13"/>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32" w:lineRule="exact"/>
        <w:rPr>
          <w:sz w:val="20"/>
          <w:szCs w:val="20"/>
          <w:color w:val="auto"/>
        </w:rPr>
      </w:pPr>
    </w:p>
    <w:p>
      <w:pPr>
        <w:ind w:right="20" w:firstLine="495"/>
        <w:spacing w:after="0" w:line="271" w:lineRule="auto"/>
        <w:rPr>
          <w:sz w:val="20"/>
          <w:szCs w:val="20"/>
          <w:color w:val="auto"/>
        </w:rPr>
      </w:pPr>
      <w:r>
        <w:rPr>
          <w:rFonts w:ascii="Arial" w:cs="Arial" w:eastAsia="Arial" w:hAnsi="Arial"/>
          <w:sz w:val="13"/>
          <w:szCs w:val="13"/>
          <w:b w:val="1"/>
          <w:bCs w:val="1"/>
          <w:color w:val="auto"/>
        </w:rPr>
        <w:t>11.05 Payments Set Aside</w:t>
      </w:r>
      <w:r>
        <w:rPr>
          <w:rFonts w:ascii="Arial" w:cs="Arial" w:eastAsia="Arial" w:hAnsi="Arial"/>
          <w:sz w:val="13"/>
          <w:szCs w:val="13"/>
          <w:color w:val="auto"/>
        </w:rPr>
        <w:t>. To the extent that any payment by or on behalf of the Borrower is made to the Administrative Agent, the L/C Issuer or any Lender, or the Administrative Agent,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interest thereon from the date of such demand to the date such payment is made at a rate per annum equal to the Federal Funds Rate from time to time in effect. The obligations of the Lenders and the L/C Issuer under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the preceding sentence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116</w:t>
      </w:r>
    </w:p>
    <w:p>
      <w:pPr>
        <w:sectPr>
          <w:pgSz w:w="11900" w:h="16838" w:orient="portrait"/>
          <w:cols w:equalWidth="0" w:num="1">
            <w:col w:w="11280"/>
          </w:cols>
          <w:pgMar w:left="300" w:top="129"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95"/>
        <w:spacing w:after="0" w:line="332" w:lineRule="auto"/>
        <w:rPr>
          <w:sz w:val="20"/>
          <w:szCs w:val="20"/>
          <w:color w:val="auto"/>
        </w:rPr>
      </w:pPr>
      <w:r>
        <w:rPr>
          <w:rFonts w:ascii="Arial" w:cs="Arial" w:eastAsia="Arial" w:hAnsi="Arial"/>
          <w:sz w:val="11"/>
          <w:szCs w:val="11"/>
          <w:b w:val="1"/>
          <w:bCs w:val="1"/>
          <w:color w:val="auto"/>
        </w:rPr>
        <w:t>11.06 Successors and Assigns</w:t>
      </w:r>
      <w:r>
        <w:rPr>
          <w:rFonts w:ascii="Arial" w:cs="Arial" w:eastAsia="Arial" w:hAnsi="Arial"/>
          <w:sz w:val="11"/>
          <w:szCs w:val="11"/>
          <w:color w:val="auto"/>
        </w:rPr>
        <w:t>. (a)</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Successors and Assigns Generally</w:t>
      </w:r>
      <w:r>
        <w:rPr>
          <w:rFonts w:ascii="Arial" w:cs="Arial" w:eastAsia="Arial" w:hAnsi="Arial"/>
          <w:sz w:val="11"/>
          <w:szCs w:val="11"/>
          <w:color w:val="auto"/>
        </w:rPr>
        <w:t>. The provisions of this Agreement shall be binding upon and inure to the benefit of the parties hereto and their respective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1"/>
          <w:szCs w:val="11"/>
          <w:u w:val="single" w:color="auto"/>
          <w:color w:val="auto"/>
        </w:rPr>
        <w:t>Section 11.06(b)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11.07(h)</w:t>
      </w:r>
      <w:r>
        <w:rPr>
          <w:rFonts w:ascii="Arial" w:cs="Arial" w:eastAsia="Arial" w:hAnsi="Arial"/>
          <w:sz w:val="11"/>
          <w:szCs w:val="11"/>
          <w:color w:val="auto"/>
        </w:rPr>
        <w:t xml:space="preserve">, (ii) by way of participation in accordance with the provisions of </w:t>
      </w:r>
      <w:r>
        <w:rPr>
          <w:rFonts w:ascii="Arial" w:cs="Arial" w:eastAsia="Arial" w:hAnsi="Arial"/>
          <w:sz w:val="11"/>
          <w:szCs w:val="11"/>
          <w:u w:val="single" w:color="auto"/>
          <w:color w:val="auto"/>
        </w:rPr>
        <w:t>Section 11.06(d)</w:t>
      </w:r>
      <w:r>
        <w:rPr>
          <w:rFonts w:ascii="Arial" w:cs="Arial" w:eastAsia="Arial" w:hAnsi="Arial"/>
          <w:sz w:val="11"/>
          <w:szCs w:val="11"/>
          <w:color w:val="auto"/>
        </w:rPr>
        <w:t xml:space="preserve">, or (iii) by way of pledge or assignment of a security interest subject to the restrictions of </w:t>
      </w:r>
      <w:r>
        <w:rPr>
          <w:rFonts w:ascii="Arial" w:cs="Arial" w:eastAsia="Arial" w:hAnsi="Arial"/>
          <w:sz w:val="11"/>
          <w:szCs w:val="11"/>
          <w:u w:val="single" w:color="auto"/>
          <w:color w:val="auto"/>
        </w:rPr>
        <w:t>Section 11.06(e)</w:t>
      </w:r>
      <w:r>
        <w:rPr>
          <w:rFonts w:ascii="Arial" w:cs="Arial" w:eastAsia="Arial" w:hAnsi="Arial"/>
          <w:sz w:val="11"/>
          <w:szCs w:val="11"/>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1"/>
          <w:szCs w:val="11"/>
          <w:u w:val="single" w:color="auto"/>
          <w:color w:val="auto"/>
        </w:rPr>
        <w:t>subsection (d)</w:t>
      </w:r>
      <w:r>
        <w:rPr>
          <w:rFonts w:ascii="Arial" w:cs="Arial" w:eastAsia="Arial" w:hAnsi="Arial"/>
          <w:sz w:val="11"/>
          <w:szCs w:val="11"/>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295" w:lineRule="exact"/>
        <w:rPr>
          <w:sz w:val="20"/>
          <w:szCs w:val="20"/>
          <w:color w:val="auto"/>
        </w:rPr>
      </w:pPr>
    </w:p>
    <w:p>
      <w:pPr>
        <w:ind w:right="60" w:firstLine="498"/>
        <w:spacing w:after="0" w:line="256" w:lineRule="auto"/>
        <w:tabs>
          <w:tab w:leader="none" w:pos="793"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Assignments by Lenders</w:t>
      </w:r>
      <w:r>
        <w:rPr>
          <w:rFonts w:ascii="Arial" w:cs="Arial" w:eastAsia="Arial" w:hAnsi="Arial"/>
          <w:sz w:val="14"/>
          <w:szCs w:val="14"/>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4"/>
          <w:szCs w:val="14"/>
          <w:u w:val="single" w:color="auto"/>
          <w:color w:val="auto"/>
        </w:rPr>
        <w:t>Section 11.06(b)</w:t>
      </w:r>
      <w:r>
        <w:rPr>
          <w:rFonts w:ascii="Arial" w:cs="Arial" w:eastAsia="Arial" w:hAnsi="Arial"/>
          <w:sz w:val="14"/>
          <w:szCs w:val="14"/>
          <w:color w:val="auto"/>
        </w:rPr>
        <w:t xml:space="preserve">, participations in L/C Obligations and in Swing Line Loans) at the time owing to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assignment shall be subject to the following conditions:</w:t>
      </w:r>
    </w:p>
    <w:p>
      <w:pPr>
        <w:spacing w:after="0" w:line="165" w:lineRule="exact"/>
        <w:rPr>
          <w:rFonts w:ascii="Arial" w:cs="Arial" w:eastAsia="Arial" w:hAnsi="Arial"/>
          <w:sz w:val="14"/>
          <w:szCs w:val="14"/>
          <w:color w:val="auto"/>
        </w:rPr>
      </w:pPr>
    </w:p>
    <w:p>
      <w:pPr>
        <w:ind w:left="1260" w:hanging="267"/>
        <w:spacing w:after="0"/>
        <w:tabs>
          <w:tab w:leader="none" w:pos="1260"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Minimum Amounts</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1000" w:firstLine="488"/>
        <w:spacing w:after="0" w:line="284" w:lineRule="auto"/>
        <w:tabs>
          <w:tab w:leader="none" w:pos="1823" w:val="left"/>
        </w:tabs>
        <w:numPr>
          <w:ilvl w:val="2"/>
          <w:numId w:val="168"/>
        </w:numPr>
        <w:rPr>
          <w:rFonts w:ascii="Arial" w:cs="Arial" w:eastAsia="Arial" w:hAnsi="Arial"/>
          <w:sz w:val="13"/>
          <w:szCs w:val="13"/>
          <w:color w:val="auto"/>
        </w:rPr>
      </w:pPr>
      <w:r>
        <w:rPr>
          <w:rFonts w:ascii="Arial" w:cs="Arial" w:eastAsia="Arial" w:hAnsi="Arial"/>
          <w:sz w:val="13"/>
          <w:szCs w:val="13"/>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Arial" w:cs="Arial" w:eastAsia="Arial" w:hAnsi="Arial"/>
          <w:sz w:val="13"/>
          <w:szCs w:val="13"/>
          <w:u w:val="single" w:color="auto"/>
          <w:color w:val="auto"/>
        </w:rPr>
        <w:t>subsection (b)(i)(B)</w:t>
      </w:r>
      <w:r>
        <w:rPr>
          <w:rFonts w:ascii="Arial" w:cs="Arial" w:eastAsia="Arial" w:hAnsi="Arial"/>
          <w:sz w:val="13"/>
          <w:szCs w:val="13"/>
          <w:color w:val="auto"/>
        </w:rPr>
        <w:t xml:space="preserve"> of this Section in the aggregate or in the case of an assignment to a Lender, an Affiliate of a Lender or an Approved Fund, no minimum amount need be assigned; and</w:t>
      </w:r>
    </w:p>
    <w:p>
      <w:pPr>
        <w:spacing w:after="0" w:line="149" w:lineRule="exact"/>
        <w:rPr>
          <w:rFonts w:ascii="Arial" w:cs="Arial" w:eastAsia="Arial" w:hAnsi="Arial"/>
          <w:sz w:val="13"/>
          <w:szCs w:val="13"/>
          <w:color w:val="auto"/>
        </w:rPr>
      </w:pPr>
    </w:p>
    <w:p>
      <w:pPr>
        <w:ind w:left="1000" w:right="20" w:firstLine="488"/>
        <w:spacing w:after="0" w:line="251" w:lineRule="auto"/>
        <w:tabs>
          <w:tab w:leader="none" w:pos="1816" w:val="left"/>
        </w:tabs>
        <w:numPr>
          <w:ilvl w:val="2"/>
          <w:numId w:val="168"/>
        </w:numPr>
        <w:rPr>
          <w:rFonts w:ascii="Arial" w:cs="Arial" w:eastAsia="Arial" w:hAnsi="Arial"/>
          <w:sz w:val="14"/>
          <w:szCs w:val="14"/>
          <w:color w:val="auto"/>
        </w:rPr>
      </w:pPr>
      <w:r>
        <w:rPr>
          <w:rFonts w:ascii="Arial" w:cs="Arial" w:eastAsia="Arial" w:hAnsi="Arial"/>
          <w:sz w:val="14"/>
          <w:szCs w:val="14"/>
          <w:color w:val="auto"/>
        </w:rPr>
        <w:t xml:space="preserve">in any case not described in </w:t>
      </w:r>
      <w:r>
        <w:rPr>
          <w:rFonts w:ascii="Arial" w:cs="Arial" w:eastAsia="Arial" w:hAnsi="Arial"/>
          <w:sz w:val="14"/>
          <w:szCs w:val="14"/>
          <w:u w:val="single" w:color="auto"/>
          <w:color w:val="auto"/>
        </w:rPr>
        <w:t>subsection (b)(i)(A)</w:t>
      </w:r>
      <w:r>
        <w:rPr>
          <w:rFonts w:ascii="Arial" w:cs="Arial" w:eastAsia="Arial" w:hAnsi="Arial"/>
          <w:sz w:val="14"/>
          <w:szCs w:val="14"/>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168" w:lineRule="exact"/>
        <w:rPr>
          <w:rFonts w:ascii="Arial" w:cs="Arial" w:eastAsia="Arial" w:hAnsi="Arial"/>
          <w:sz w:val="14"/>
          <w:szCs w:val="14"/>
          <w:color w:val="auto"/>
        </w:rPr>
      </w:pPr>
    </w:p>
    <w:p>
      <w:pPr>
        <w:ind w:left="500" w:right="240" w:firstLine="493"/>
        <w:spacing w:after="0" w:line="404" w:lineRule="auto"/>
        <w:tabs>
          <w:tab w:leader="none" w:pos="1300" w:val="left"/>
        </w:tabs>
        <w:numPr>
          <w:ilvl w:val="1"/>
          <w:numId w:val="168"/>
        </w:numPr>
        <w:rPr>
          <w:rFonts w:ascii="Arial" w:cs="Arial" w:eastAsia="Arial" w:hAnsi="Arial"/>
          <w:sz w:val="11"/>
          <w:szCs w:val="11"/>
          <w:color w:val="auto"/>
        </w:rPr>
      </w:pPr>
      <w:r>
        <w:rPr>
          <w:rFonts w:ascii="Arial" w:cs="Arial" w:eastAsia="Arial" w:hAnsi="Arial"/>
          <w:sz w:val="11"/>
          <w:szCs w:val="11"/>
          <w:u w:val="single" w:color="auto"/>
          <w:color w:val="auto"/>
        </w:rPr>
        <w:t>Proportionate Amounts</w:t>
      </w:r>
      <w:r>
        <w:rPr>
          <w:rFonts w:ascii="Arial" w:cs="Arial" w:eastAsia="Arial" w:hAnsi="Arial"/>
          <w:sz w:val="11"/>
          <w:szCs w:val="11"/>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1"/>
          <w:szCs w:val="11"/>
          <w:u w:val="single" w:color="auto"/>
          <w:color w:val="auto"/>
        </w:rPr>
        <w:t>subsection (ii)</w:t>
      </w:r>
      <w:r>
        <w:rPr>
          <w:rFonts w:ascii="Arial" w:cs="Arial" w:eastAsia="Arial" w:hAnsi="Arial"/>
          <w:sz w:val="11"/>
          <w:szCs w:val="11"/>
          <w:color w:val="auto"/>
        </w:rPr>
        <w:t xml:space="preserve"> shall not apply to the Swing Line Lender’s rights and obligations in respect of Swing Line Loans.</w:t>
      </w:r>
    </w:p>
    <w:p>
      <w:pPr>
        <w:spacing w:after="0" w:line="89" w:lineRule="exact"/>
        <w:rPr>
          <w:rFonts w:ascii="Arial" w:cs="Arial" w:eastAsia="Arial" w:hAnsi="Arial"/>
          <w:sz w:val="11"/>
          <w:szCs w:val="11"/>
          <w:color w:val="auto"/>
        </w:rPr>
      </w:pPr>
    </w:p>
    <w:p>
      <w:pPr>
        <w:ind w:left="1340" w:hanging="347"/>
        <w:spacing w:after="0"/>
        <w:tabs>
          <w:tab w:leader="none" w:pos="1340"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Required Consents</w:t>
      </w:r>
      <w:r>
        <w:rPr>
          <w:rFonts w:ascii="Arial" w:cs="Arial" w:eastAsia="Arial" w:hAnsi="Arial"/>
          <w:sz w:val="14"/>
          <w:szCs w:val="14"/>
          <w:color w:val="auto"/>
        </w:rPr>
        <w:t xml:space="preserve">. No consent shall be required for any assignment except to the extent required by </w:t>
      </w:r>
      <w:r>
        <w:rPr>
          <w:rFonts w:ascii="Arial" w:cs="Arial" w:eastAsia="Arial" w:hAnsi="Arial"/>
          <w:sz w:val="14"/>
          <w:szCs w:val="14"/>
          <w:u w:val="single" w:color="auto"/>
          <w:color w:val="auto"/>
        </w:rPr>
        <w:t>subsection (b)(i)(B)</w:t>
      </w:r>
      <w:r>
        <w:rPr>
          <w:rFonts w:ascii="Arial" w:cs="Arial" w:eastAsia="Arial" w:hAnsi="Arial"/>
          <w:sz w:val="14"/>
          <w:szCs w:val="14"/>
          <w:color w:val="auto"/>
        </w:rPr>
        <w:t xml:space="preserve"> of this Section and, in addition:</w:t>
      </w:r>
    </w:p>
    <w:p>
      <w:pPr>
        <w:spacing w:after="0" w:line="189" w:lineRule="exact"/>
        <w:rPr>
          <w:rFonts w:ascii="Arial" w:cs="Arial" w:eastAsia="Arial" w:hAnsi="Arial"/>
          <w:sz w:val="14"/>
          <w:szCs w:val="14"/>
          <w:color w:val="auto"/>
        </w:rPr>
      </w:pPr>
    </w:p>
    <w:p>
      <w:pPr>
        <w:ind w:left="1000" w:firstLine="488"/>
        <w:spacing w:after="0" w:line="278" w:lineRule="auto"/>
        <w:tabs>
          <w:tab w:leader="none" w:pos="1823" w:val="left"/>
        </w:tabs>
        <w:numPr>
          <w:ilvl w:val="2"/>
          <w:numId w:val="168"/>
        </w:numPr>
        <w:rPr>
          <w:rFonts w:ascii="Arial" w:cs="Arial" w:eastAsia="Arial" w:hAnsi="Arial"/>
          <w:sz w:val="13"/>
          <w:szCs w:val="13"/>
          <w:color w:val="auto"/>
        </w:rPr>
      </w:pPr>
      <w:r>
        <w:rPr>
          <w:rFonts w:ascii="Arial" w:cs="Arial" w:eastAsia="Arial" w:hAnsi="Arial"/>
          <w:sz w:val="13"/>
          <w:szCs w:val="13"/>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Borrower’s consent shall not be required during the primary syndication of the credit facility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117</w:t>
      </w:r>
    </w:p>
    <w:p>
      <w:pPr>
        <w:sectPr>
          <w:pgSz w:w="11900" w:h="16838" w:orient="portrait"/>
          <w:cols w:equalWidth="0" w:num="1">
            <w:col w:w="11280"/>
          </w:cols>
          <w:pgMar w:left="300" w:top="129"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right="60" w:firstLine="488"/>
        <w:spacing w:after="0" w:line="266" w:lineRule="auto"/>
        <w:tabs>
          <w:tab w:leader="none" w:pos="1316"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consent of the Administrative Agent (such consent not to be unreasonably withheld or delayed) shall be required for assignments in respect of any Commitment if such assignment is to a Person that is not a Lender, an Affiliate of such Lender or an Approved Fund with respect to such Lender; and</w:t>
      </w:r>
    </w:p>
    <w:p>
      <w:pPr>
        <w:spacing w:after="0" w:line="158" w:lineRule="exact"/>
        <w:rPr>
          <w:rFonts w:ascii="Arial" w:cs="Arial" w:eastAsia="Arial" w:hAnsi="Arial"/>
          <w:sz w:val="14"/>
          <w:szCs w:val="14"/>
          <w:color w:val="auto"/>
        </w:rPr>
      </w:pPr>
    </w:p>
    <w:p>
      <w:pPr>
        <w:ind w:left="1300" w:hanging="312"/>
        <w:spacing w:after="0"/>
        <w:tabs>
          <w:tab w:leader="none" w:pos="130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consent of the L/C Issuer and the Swing Line Lender shall be required for any assignment.</w:t>
      </w:r>
    </w:p>
    <w:p>
      <w:pPr>
        <w:spacing w:after="0" w:line="189" w:lineRule="exact"/>
        <w:rPr>
          <w:rFonts w:ascii="Arial" w:cs="Arial" w:eastAsia="Arial" w:hAnsi="Arial"/>
          <w:sz w:val="14"/>
          <w:szCs w:val="14"/>
          <w:color w:val="auto"/>
        </w:rPr>
      </w:pPr>
    </w:p>
    <w:p>
      <w:pPr>
        <w:ind w:right="100" w:firstLine="493"/>
        <w:spacing w:after="0" w:line="256" w:lineRule="auto"/>
        <w:tabs>
          <w:tab w:leader="none" w:pos="831"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5" w:lineRule="exact"/>
        <w:rPr>
          <w:rFonts w:ascii="Arial" w:cs="Arial" w:eastAsia="Arial" w:hAnsi="Arial"/>
          <w:sz w:val="14"/>
          <w:szCs w:val="14"/>
          <w:color w:val="auto"/>
        </w:rPr>
      </w:pPr>
    </w:p>
    <w:p>
      <w:pPr>
        <w:ind w:right="140" w:firstLine="493"/>
        <w:spacing w:after="0" w:line="256" w:lineRule="auto"/>
        <w:tabs>
          <w:tab w:leader="none" w:pos="793"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No Assignment to Certain Persons</w:t>
      </w:r>
      <w:r>
        <w:rPr>
          <w:rFonts w:ascii="Arial" w:cs="Arial" w:eastAsia="Arial" w:hAnsi="Arial"/>
          <w:sz w:val="14"/>
          <w:szCs w:val="14"/>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4"/>
          <w:szCs w:val="14"/>
          <w:u w:val="single" w:color="auto"/>
          <w:color w:val="auto"/>
        </w:rPr>
        <w:t>clause (B)</w:t>
      </w:r>
      <w:r>
        <w:rPr>
          <w:rFonts w:ascii="Arial" w:cs="Arial" w:eastAsia="Arial" w:hAnsi="Arial"/>
          <w:sz w:val="14"/>
          <w:szCs w:val="14"/>
          <w:color w:val="auto"/>
        </w:rPr>
        <w:t>, or (C) to a natural Person (or a holding company, investment vehicle or trust for, or owned and operated by or for the primary benefit of one or more natural Persons).</w:t>
      </w:r>
    </w:p>
    <w:p>
      <w:pPr>
        <w:spacing w:after="0" w:line="165" w:lineRule="exact"/>
        <w:rPr>
          <w:rFonts w:ascii="Arial" w:cs="Arial" w:eastAsia="Arial" w:hAnsi="Arial"/>
          <w:sz w:val="14"/>
          <w:szCs w:val="14"/>
          <w:color w:val="auto"/>
        </w:rPr>
      </w:pPr>
    </w:p>
    <w:p>
      <w:pPr>
        <w:ind w:right="140" w:firstLine="493"/>
        <w:spacing w:after="0" w:line="269" w:lineRule="auto"/>
        <w:tabs>
          <w:tab w:leader="none" w:pos="831"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Certain Additional Payments</w:t>
      </w:r>
      <w:r>
        <w:rPr>
          <w:rFonts w:ascii="Arial" w:cs="Arial" w:eastAsia="Arial" w:hAnsi="Arial"/>
          <w:sz w:val="13"/>
          <w:szCs w:val="13"/>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subsection, then the assignee of such interest shall be deemed to be a Defaulting Lender for all purposes of this Agreement until such compliance occurs.</w:t>
      </w:r>
    </w:p>
    <w:p>
      <w:pPr>
        <w:spacing w:after="0" w:line="162" w:lineRule="exact"/>
        <w:rPr>
          <w:rFonts w:ascii="Arial" w:cs="Arial" w:eastAsia="Arial" w:hAnsi="Arial"/>
          <w:sz w:val="13"/>
          <w:szCs w:val="13"/>
          <w:color w:val="auto"/>
        </w:rPr>
      </w:pPr>
    </w:p>
    <w:p>
      <w:pPr>
        <w:ind w:right="20" w:firstLine="493"/>
        <w:spacing w:after="0" w:line="269" w:lineRule="auto"/>
        <w:tabs>
          <w:tab w:leader="none" w:pos="869" w:val="left"/>
        </w:tabs>
        <w:numPr>
          <w:ilvl w:val="0"/>
          <w:numId w:val="170"/>
        </w:numPr>
        <w:rPr>
          <w:rFonts w:ascii="Arial" w:cs="Arial" w:eastAsia="Arial" w:hAnsi="Arial"/>
          <w:sz w:val="13"/>
          <w:szCs w:val="13"/>
          <w:color w:val="auto"/>
        </w:rPr>
      </w:pPr>
      <w:r>
        <w:rPr>
          <w:rFonts w:ascii="Arial" w:cs="Arial" w:eastAsia="Arial" w:hAnsi="Arial"/>
          <w:sz w:val="13"/>
          <w:szCs w:val="13"/>
          <w:color w:val="auto"/>
        </w:rPr>
        <w:t xml:space="preserve">Subject to acceptance and recording thereof by the Administrative Agent pursuant to </w:t>
      </w:r>
      <w:r>
        <w:rPr>
          <w:rFonts w:ascii="Arial" w:cs="Arial" w:eastAsia="Arial" w:hAnsi="Arial"/>
          <w:sz w:val="13"/>
          <w:szCs w:val="13"/>
          <w:u w:val="single" w:color="auto"/>
          <w:color w:val="auto"/>
        </w:rPr>
        <w:t>subsection (c)</w:t>
      </w:r>
      <w:r>
        <w:rPr>
          <w:rFonts w:ascii="Arial" w:cs="Arial" w:eastAsia="Arial" w:hAnsi="Arial"/>
          <w:sz w:val="13"/>
          <w:szCs w:val="13"/>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11.04</w:t>
      </w:r>
      <w:r>
        <w:rPr>
          <w:rFonts w:ascii="Arial" w:cs="Arial" w:eastAsia="Arial" w:hAnsi="Arial"/>
          <w:sz w:val="13"/>
          <w:szCs w:val="13"/>
          <w:color w:val="auto"/>
        </w:rPr>
        <w:t xml:space="preserve"> with respect to facts and circumstances occurring prior to the effective date of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3"/>
          <w:szCs w:val="13"/>
          <w:u w:val="single" w:color="auto"/>
          <w:color w:val="auto"/>
        </w:rPr>
        <w:t>subsection (d)</w:t>
      </w:r>
      <w:r>
        <w:rPr>
          <w:rFonts w:ascii="Arial" w:cs="Arial" w:eastAsia="Arial" w:hAnsi="Arial"/>
          <w:sz w:val="13"/>
          <w:szCs w:val="13"/>
          <w:color w:val="auto"/>
        </w:rPr>
        <w:t xml:space="preserve">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118</w:t>
      </w:r>
    </w:p>
    <w:p>
      <w:pPr>
        <w:sectPr>
          <w:pgSz w:w="11900" w:h="16838" w:orient="portrait"/>
          <w:cols w:equalWidth="0" w:num="1">
            <w:col w:w="10780"/>
          </w:cols>
          <w:pgMar w:left="800" w:top="129"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8"/>
        <w:spacing w:after="0" w:line="250" w:lineRule="auto"/>
        <w:tabs>
          <w:tab w:leader="none" w:pos="785"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Register</w:t>
      </w:r>
      <w:r>
        <w:rPr>
          <w:rFonts w:ascii="Arial" w:cs="Arial" w:eastAsia="Arial" w:hAnsi="Arial"/>
          <w:sz w:val="14"/>
          <w:szCs w:val="14"/>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9" w:lineRule="exact"/>
        <w:rPr>
          <w:rFonts w:ascii="Arial" w:cs="Arial" w:eastAsia="Arial" w:hAnsi="Arial"/>
          <w:sz w:val="14"/>
          <w:szCs w:val="14"/>
          <w:color w:val="auto"/>
        </w:rPr>
      </w:pPr>
    </w:p>
    <w:p>
      <w:pPr>
        <w:ind w:right="60" w:firstLine="498"/>
        <w:spacing w:after="0" w:line="271" w:lineRule="auto"/>
        <w:tabs>
          <w:tab w:leader="none" w:pos="793"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11.04(c)</w:t>
      </w:r>
      <w:r>
        <w:rPr>
          <w:rFonts w:ascii="Arial" w:cs="Arial" w:eastAsia="Arial" w:hAnsi="Arial"/>
          <w:sz w:val="13"/>
          <w:szCs w:val="13"/>
          <w:color w:val="auto"/>
        </w:rPr>
        <w:t xml:space="preserve"> without regard to the existence of any participation.</w:t>
      </w:r>
    </w:p>
    <w:p>
      <w:pPr>
        <w:spacing w:after="0" w:line="159" w:lineRule="exact"/>
        <w:rPr>
          <w:sz w:val="20"/>
          <w:szCs w:val="20"/>
          <w:color w:val="auto"/>
        </w:rPr>
      </w:pPr>
    </w:p>
    <w:p>
      <w:pPr>
        <w:ind w:right="60" w:firstLine="495"/>
        <w:spacing w:after="0" w:line="319" w:lineRule="auto"/>
        <w:rPr>
          <w:sz w:val="20"/>
          <w:szCs w:val="20"/>
          <w:color w:val="auto"/>
        </w:rPr>
      </w:pPr>
      <w:r>
        <w:rPr>
          <w:rFonts w:ascii="Arial" w:cs="Arial" w:eastAsia="Arial" w:hAnsi="Arial"/>
          <w:sz w:val="11"/>
          <w:szCs w:val="1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that affects such Participant. The Borrower agrees that each Participant shall be entitled to the benefits of </w:t>
      </w:r>
      <w:r>
        <w:rPr>
          <w:rFonts w:ascii="Arial" w:cs="Arial" w:eastAsia="Arial" w:hAnsi="Arial"/>
          <w:sz w:val="11"/>
          <w:szCs w:val="11"/>
          <w:u w:val="single" w:color="auto"/>
          <w:color w:val="auto"/>
        </w:rPr>
        <w:t>Sections 3.01</w:t>
      </w:r>
      <w:r>
        <w:rPr>
          <w:rFonts w:ascii="Arial" w:cs="Arial" w:eastAsia="Arial" w:hAnsi="Arial"/>
          <w:sz w:val="11"/>
          <w:szCs w:val="11"/>
          <w:color w:val="auto"/>
        </w:rPr>
        <w:t xml:space="preserve">,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3.05</w:t>
      </w:r>
      <w:r>
        <w:rPr>
          <w:rFonts w:ascii="Arial" w:cs="Arial" w:eastAsia="Arial" w:hAnsi="Arial"/>
          <w:sz w:val="11"/>
          <w:szCs w:val="11"/>
          <w:color w:val="auto"/>
        </w:rPr>
        <w:t xml:space="preserve"> to the same extent as if it were a Lender and had acquired its interest by assignment pursuant to </w:t>
      </w:r>
      <w:r>
        <w:rPr>
          <w:rFonts w:ascii="Arial" w:cs="Arial" w:eastAsia="Arial" w:hAnsi="Arial"/>
          <w:sz w:val="11"/>
          <w:szCs w:val="11"/>
          <w:u w:val="single" w:color="auto"/>
          <w:color w:val="auto"/>
        </w:rPr>
        <w:t>subsection (b)</w:t>
      </w:r>
      <w:r>
        <w:rPr>
          <w:rFonts w:ascii="Arial" w:cs="Arial" w:eastAsia="Arial" w:hAnsi="Arial"/>
          <w:sz w:val="11"/>
          <w:szCs w:val="11"/>
          <w:color w:val="auto"/>
        </w:rPr>
        <w:t xml:space="preserve"> of this Section (it being understood that the documentation required under </w:t>
      </w:r>
      <w:r>
        <w:rPr>
          <w:rFonts w:ascii="Arial" w:cs="Arial" w:eastAsia="Arial" w:hAnsi="Arial"/>
          <w:sz w:val="11"/>
          <w:szCs w:val="11"/>
          <w:u w:val="single" w:color="auto"/>
          <w:color w:val="auto"/>
        </w:rPr>
        <w:t>Section 3.01(g)</w:t>
      </w:r>
      <w:r>
        <w:rPr>
          <w:rFonts w:ascii="Arial" w:cs="Arial" w:eastAsia="Arial" w:hAnsi="Arial"/>
          <w:sz w:val="11"/>
          <w:szCs w:val="11"/>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1"/>
          <w:szCs w:val="11"/>
          <w:u w:val="single" w:color="auto"/>
          <w:color w:val="auto"/>
        </w:rPr>
        <w:t>subsection (b)</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11.06</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(A) agrees to be subject to the provisions of </w:t>
      </w:r>
      <w:r>
        <w:rPr>
          <w:rFonts w:ascii="Arial" w:cs="Arial" w:eastAsia="Arial" w:hAnsi="Arial"/>
          <w:sz w:val="11"/>
          <w:szCs w:val="11"/>
          <w:u w:val="single" w:color="auto"/>
          <w:color w:val="auto"/>
        </w:rPr>
        <w:t>Sections 3.06</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11.13</w:t>
      </w:r>
      <w:r>
        <w:rPr>
          <w:rFonts w:ascii="Arial" w:cs="Arial" w:eastAsia="Arial" w:hAnsi="Arial"/>
          <w:sz w:val="11"/>
          <w:szCs w:val="11"/>
          <w:color w:val="auto"/>
        </w:rPr>
        <w:t xml:space="preserve"> as if it were an assignee under </w:t>
      </w:r>
      <w:r>
        <w:rPr>
          <w:rFonts w:ascii="Arial" w:cs="Arial" w:eastAsia="Arial" w:hAnsi="Arial"/>
          <w:sz w:val="11"/>
          <w:szCs w:val="11"/>
          <w:u w:val="single" w:color="auto"/>
          <w:color w:val="auto"/>
        </w:rPr>
        <w:t>subsection (b)</w:t>
      </w:r>
      <w:r>
        <w:rPr>
          <w:rFonts w:ascii="Arial" w:cs="Arial" w:eastAsia="Arial" w:hAnsi="Arial"/>
          <w:sz w:val="11"/>
          <w:szCs w:val="11"/>
          <w:color w:val="auto"/>
        </w:rPr>
        <w:t xml:space="preserve"> of this Section and (B) shall not be entitled to receive any greater payment under </w:t>
      </w:r>
      <w:r>
        <w:rPr>
          <w:rFonts w:ascii="Arial" w:cs="Arial" w:eastAsia="Arial" w:hAnsi="Arial"/>
          <w:sz w:val="11"/>
          <w:szCs w:val="11"/>
          <w:u w:val="single" w:color="auto"/>
          <w:color w:val="auto"/>
        </w:rPr>
        <w:t>Sections 3.01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1"/>
          <w:szCs w:val="11"/>
          <w:u w:val="single" w:color="auto"/>
          <w:color w:val="auto"/>
        </w:rPr>
        <w:t>Section 3.06</w:t>
      </w:r>
      <w:r>
        <w:rPr>
          <w:rFonts w:ascii="Arial" w:cs="Arial" w:eastAsia="Arial" w:hAnsi="Arial"/>
          <w:sz w:val="11"/>
          <w:szCs w:val="11"/>
          <w:color w:val="auto"/>
        </w:rPr>
        <w:t xml:space="preserve"> with respect to any Participant. To the extent permitted by law, each Participant also shall be entitled to the benefits of </w:t>
      </w:r>
      <w:r>
        <w:rPr>
          <w:rFonts w:ascii="Arial" w:cs="Arial" w:eastAsia="Arial" w:hAnsi="Arial"/>
          <w:sz w:val="11"/>
          <w:szCs w:val="11"/>
          <w:u w:val="single" w:color="auto"/>
          <w:color w:val="auto"/>
        </w:rPr>
        <w:t>Section 11.08</w:t>
      </w:r>
      <w:r>
        <w:rPr>
          <w:rFonts w:ascii="Arial" w:cs="Arial" w:eastAsia="Arial" w:hAnsi="Arial"/>
          <w:sz w:val="11"/>
          <w:szCs w:val="11"/>
          <w:color w:val="auto"/>
        </w:rPr>
        <w:t xml:space="preserve">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agrees to be subject to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1"/>
          <w:szCs w:val="11"/>
          <w:u w:val="single" w:color="auto"/>
          <w:color w:val="auto"/>
        </w:rPr>
        <w:t>Participant Register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119</w:t>
      </w:r>
    </w:p>
    <w:p>
      <w:pPr>
        <w:sectPr>
          <w:pgSz w:w="11900" w:h="16838" w:orient="portrait"/>
          <w:cols w:equalWidth="0" w:num="1">
            <w:col w:w="11280"/>
          </w:cols>
          <w:pgMar w:left="300" w:top="129"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98"/>
        <w:spacing w:after="0" w:line="256" w:lineRule="auto"/>
        <w:tabs>
          <w:tab w:leader="none" w:pos="785"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Certain Pledges</w:t>
      </w:r>
      <w:r>
        <w:rPr>
          <w:rFonts w:ascii="Arial" w:cs="Arial" w:eastAsia="Arial" w:hAnsi="Arial"/>
          <w:sz w:val="14"/>
          <w:szCs w:val="14"/>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pledge or assignment shall release such Lender from any of its obligations hereunder or substitute any such pledgee or assignee for such Lender as a party hereto.</w:t>
      </w:r>
    </w:p>
    <w:p>
      <w:pPr>
        <w:spacing w:after="0" w:line="165" w:lineRule="exact"/>
        <w:rPr>
          <w:rFonts w:ascii="Arial" w:cs="Arial" w:eastAsia="Arial" w:hAnsi="Arial"/>
          <w:sz w:val="14"/>
          <w:szCs w:val="14"/>
          <w:color w:val="auto"/>
        </w:rPr>
      </w:pPr>
    </w:p>
    <w:p>
      <w:pPr>
        <w:ind w:firstLine="498"/>
        <w:spacing w:after="0" w:line="268" w:lineRule="auto"/>
        <w:tabs>
          <w:tab w:leader="none" w:pos="77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Resignation as L/C Issuer or Swing Line Lender after Assignment</w:t>
      </w:r>
      <w:r>
        <w:rPr>
          <w:rFonts w:ascii="Arial" w:cs="Arial" w:eastAsia="Arial" w:hAnsi="Arial"/>
          <w:sz w:val="13"/>
          <w:szCs w:val="13"/>
          <w:color w:val="auto"/>
        </w:rPr>
        <w:t xml:space="preserve">. Notwithstanding anything to the contrary contained herein, if at any time Bank of America assigns all of its Commitment and Revolving Credit Loans pursuant to </w:t>
      </w:r>
      <w:r>
        <w:rPr>
          <w:rFonts w:ascii="Arial" w:cs="Arial" w:eastAsia="Arial" w:hAnsi="Arial"/>
          <w:sz w:val="13"/>
          <w:szCs w:val="13"/>
          <w:u w:val="single" w:color="auto"/>
          <w:color w:val="auto"/>
        </w:rPr>
        <w:t>subsection (b)</w:t>
      </w:r>
      <w:r>
        <w:rPr>
          <w:rFonts w:ascii="Arial" w:cs="Arial" w:eastAsia="Arial" w:hAnsi="Arial"/>
          <w:sz w:val="13"/>
          <w:szCs w:val="13"/>
          <w:color w:val="auto"/>
        </w:rPr>
        <w:t xml:space="preserve"> above, Bank of America may, (i) upon </w:t>
      </w:r>
      <w:r>
        <w:rPr>
          <w:rFonts w:ascii="Arial" w:cs="Arial" w:eastAsia="Arial" w:hAnsi="Arial"/>
          <w:sz w:val="13"/>
          <w:szCs w:val="13"/>
          <w:b w:val="1"/>
          <w:bCs w:val="1"/>
          <w:color w:val="auto"/>
        </w:rPr>
        <w:t>30</w:t>
      </w:r>
      <w:r>
        <w:rPr>
          <w:rFonts w:ascii="Arial" w:cs="Arial" w:eastAsia="Arial" w:hAnsi="Arial"/>
          <w:sz w:val="13"/>
          <w:szCs w:val="13"/>
          <w:color w:val="auto"/>
        </w:rPr>
        <w:t xml:space="preserve"> days’ notice to the Administrative Agent, the Borrower and the Lenders, resign as L/C Issuer and/or (ii) upon </w:t>
      </w:r>
      <w:r>
        <w:rPr>
          <w:rFonts w:ascii="Arial" w:cs="Arial" w:eastAsia="Arial" w:hAnsi="Arial"/>
          <w:sz w:val="13"/>
          <w:szCs w:val="13"/>
          <w:b w:val="1"/>
          <w:bCs w:val="1"/>
          <w:color w:val="auto"/>
        </w:rPr>
        <w:t>30</w:t>
      </w:r>
      <w:r>
        <w:rPr>
          <w:rFonts w:ascii="Arial" w:cs="Arial" w:eastAsia="Arial" w:hAnsi="Arial"/>
          <w:sz w:val="13"/>
          <w:szCs w:val="13"/>
          <w:color w:val="auto"/>
        </w:rPr>
        <w:t xml:space="preserve">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3"/>
          <w:szCs w:val="13"/>
          <w:u w:val="single" w:color="auto"/>
          <w:color w:val="auto"/>
        </w:rPr>
        <w:t>Section 2.03(f)</w:t>
      </w:r>
      <w:r>
        <w:rPr>
          <w:rFonts w:ascii="Arial" w:cs="Arial" w:eastAsia="Arial" w:hAnsi="Arial"/>
          <w:sz w:val="13"/>
          <w:szCs w:val="13"/>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3"/>
          <w:szCs w:val="13"/>
          <w:u w:val="single" w:color="auto"/>
          <w:color w:val="auto"/>
        </w:rPr>
        <w:t>Section 2.04(c)</w:t>
      </w:r>
      <w:r>
        <w:rPr>
          <w:rFonts w:ascii="Arial" w:cs="Arial" w:eastAsia="Arial" w:hAnsi="Arial"/>
          <w:sz w:val="13"/>
          <w:szCs w:val="13"/>
          <w:color w:val="auto"/>
        </w:rPr>
        <w:t>. Upon the appointment of a successor L/C Issuer and/or Swing Line Lender, (x) such successor shall succeed to and become vested with all of the rights, powers, privileges and duties of the retiring L/C Issuer or Swing Line Lender, as the case may be, and (y)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59" w:lineRule="exact"/>
        <w:rPr>
          <w:sz w:val="20"/>
          <w:szCs w:val="20"/>
          <w:color w:val="auto"/>
        </w:rPr>
      </w:pPr>
    </w:p>
    <w:p>
      <w:pPr>
        <w:ind w:firstLine="495"/>
        <w:spacing w:after="0" w:line="321" w:lineRule="auto"/>
        <w:rPr>
          <w:sz w:val="20"/>
          <w:szCs w:val="20"/>
          <w:color w:val="auto"/>
        </w:rPr>
      </w:pPr>
      <w:r>
        <w:rPr>
          <w:rFonts w:ascii="Arial" w:cs="Arial" w:eastAsia="Arial" w:hAnsi="Arial"/>
          <w:sz w:val="11"/>
          <w:szCs w:val="11"/>
          <w:b w:val="1"/>
          <w:bCs w:val="1"/>
          <w:color w:val="auto"/>
        </w:rPr>
        <w:t>11.07 Treatment of Certain Information; Confidentiality</w:t>
      </w:r>
      <w:r>
        <w:rPr>
          <w:rFonts w:ascii="Arial" w:cs="Arial" w:eastAsia="Arial" w:hAnsi="Arial"/>
          <w:sz w:val="11"/>
          <w:szCs w:val="11"/>
          <w:color w:val="auto"/>
        </w:rPr>
        <w:t>. Each of the Administrative Agent, the Lenders and the L/C Issuer agrees to maintain the confidentiality of the Information (as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1"/>
          <w:szCs w:val="11"/>
          <w:u w:val="single" w:color="auto"/>
          <w:color w:val="auto"/>
        </w:rPr>
        <w:t>Section 2.15</w:t>
      </w:r>
      <w:r>
        <w:rPr>
          <w:rFonts w:ascii="Arial" w:cs="Arial" w:eastAsia="Arial" w:hAnsi="Arial"/>
          <w:sz w:val="11"/>
          <w:szCs w:val="11"/>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w:t>
      </w:r>
      <w:r>
        <w:rPr>
          <w:rFonts w:ascii="Arial" w:cs="Arial" w:eastAsia="Arial" w:hAnsi="Arial"/>
          <w:sz w:val="11"/>
          <w:szCs w:val="11"/>
          <w:u w:val="single" w:color="auto"/>
          <w:color w:val="auto"/>
        </w:rPr>
        <w:t>Section 11.07</w:t>
      </w:r>
      <w:r>
        <w:rPr>
          <w:rFonts w:ascii="Arial" w:cs="Arial" w:eastAsia="Arial" w:hAnsi="Arial"/>
          <w:sz w:val="11"/>
          <w:szCs w:val="11"/>
          <w:color w:val="auto"/>
        </w:rPr>
        <w:t xml:space="preserve">, (y) becomes available to the Administrative Agent, any Lender, the L/C Issuer or any of their respective Affiliates on a nonconfidential basis from a source other than the Borrower or (z) is independently discovered or developed by a party hereto without utilizing any Information received from the Borrower or violating the terms of this </w:t>
      </w:r>
      <w:r>
        <w:rPr>
          <w:rFonts w:ascii="Arial" w:cs="Arial" w:eastAsia="Arial" w:hAnsi="Arial"/>
          <w:sz w:val="11"/>
          <w:szCs w:val="11"/>
          <w:u w:val="single" w:color="auto"/>
          <w:color w:val="auto"/>
        </w:rPr>
        <w:t>Section 11.07</w:t>
      </w:r>
      <w:r>
        <w:rPr>
          <w:rFonts w:ascii="Arial" w:cs="Arial" w:eastAsia="Arial" w:hAnsi="Arial"/>
          <w:sz w:val="11"/>
          <w:szCs w:val="11"/>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120</w:t>
      </w:r>
    </w:p>
    <w:p>
      <w:pPr>
        <w:sectPr>
          <w:pgSz w:w="11900" w:h="16838" w:orient="portrait"/>
          <w:cols w:equalWidth="0" w:num="1">
            <w:col w:w="11280"/>
          </w:cols>
          <w:pgMar w:left="300" w:top="129" w:right="3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495"/>
        <w:spacing w:after="0" w:line="274" w:lineRule="auto"/>
        <w:rPr>
          <w:sz w:val="20"/>
          <w:szCs w:val="20"/>
          <w:color w:val="auto"/>
        </w:rPr>
      </w:pPr>
      <w:r>
        <w:rPr>
          <w:rFonts w:ascii="Arial" w:cs="Arial" w:eastAsia="Arial" w:hAnsi="Arial"/>
          <w:sz w:val="13"/>
          <w:szCs w:val="13"/>
          <w:color w:val="auto"/>
        </w:rPr>
        <w:t>For purposes of this Section, “</w:t>
      </w:r>
      <w:r>
        <w:rPr>
          <w:rFonts w:ascii="Arial" w:cs="Arial" w:eastAsia="Arial" w:hAnsi="Arial"/>
          <w:sz w:val="13"/>
          <w:szCs w:val="13"/>
          <w:u w:val="single" w:color="auto"/>
          <w:color w:val="auto"/>
        </w:rPr>
        <w:t>Information</w:t>
      </w:r>
      <w:r>
        <w:rPr>
          <w:rFonts w:ascii="Arial" w:cs="Arial" w:eastAsia="Arial" w:hAnsi="Arial"/>
          <w:sz w:val="13"/>
          <w:szCs w:val="13"/>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7" w:lineRule="exact"/>
        <w:rPr>
          <w:sz w:val="20"/>
          <w:szCs w:val="20"/>
          <w:color w:val="auto"/>
        </w:rPr>
      </w:pPr>
    </w:p>
    <w:p>
      <w:pPr>
        <w:jc w:val="both"/>
        <w:ind w:right="40" w:firstLine="495"/>
        <w:spacing w:after="0" w:line="256" w:lineRule="auto"/>
        <w:rPr>
          <w:sz w:val="20"/>
          <w:szCs w:val="20"/>
          <w:color w:val="auto"/>
        </w:rPr>
      </w:pPr>
      <w:r>
        <w:rPr>
          <w:rFonts w:ascii="Arial" w:cs="Arial" w:eastAsia="Arial" w:hAnsi="Arial"/>
          <w:sz w:val="14"/>
          <w:szCs w:val="14"/>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2" w:lineRule="exact"/>
        <w:rPr>
          <w:sz w:val="20"/>
          <w:szCs w:val="20"/>
          <w:color w:val="auto"/>
        </w:rPr>
      </w:pPr>
    </w:p>
    <w:p>
      <w:pPr>
        <w:ind w:right="40" w:firstLine="495"/>
        <w:spacing w:after="0" w:line="322" w:lineRule="auto"/>
        <w:rPr>
          <w:sz w:val="20"/>
          <w:szCs w:val="20"/>
          <w:color w:val="auto"/>
        </w:rPr>
      </w:pPr>
      <w:r>
        <w:rPr>
          <w:rFonts w:ascii="Arial" w:cs="Arial" w:eastAsia="Arial" w:hAnsi="Arial"/>
          <w:sz w:val="11"/>
          <w:szCs w:val="11"/>
          <w:b w:val="1"/>
          <w:bCs w:val="1"/>
          <w:color w:val="auto"/>
        </w:rPr>
        <w:t>11.08 Right of Setoff</w:t>
      </w:r>
      <w:r>
        <w:rPr>
          <w:rFonts w:ascii="Arial" w:cs="Arial" w:eastAsia="Arial" w:hAnsi="Arial"/>
          <w:sz w:val="11"/>
          <w:szCs w:val="11"/>
          <w:color w:val="auto"/>
        </w:rPr>
        <w:t>. If an Event of Default shall have occurred and be continuing, each Lender, the L/C Issuer and each of their respective Affiliates is hereby authorized at any time and from</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or such Loan Party may be contingent or unmatured or are owed to a branch or office or Affiliate of such Lender or the L/C Issuer different from the branch, office or Affiliate holding such deposit or obligated on such indebtedness;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1"/>
          <w:szCs w:val="11"/>
          <w:u w:val="single" w:color="auto"/>
          <w:color w:val="auto"/>
        </w:rPr>
        <w:t>Section 2.17</w:t>
      </w:r>
      <w:r>
        <w:rPr>
          <w:rFonts w:ascii="Arial" w:cs="Arial" w:eastAsia="Arial" w:hAnsi="Arial"/>
          <w:sz w:val="11"/>
          <w:szCs w:val="11"/>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to give such notice shall not affect the validity of such setoff and application.</w:t>
      </w:r>
    </w:p>
    <w:p>
      <w:pPr>
        <w:spacing w:after="0" w:line="299" w:lineRule="exact"/>
        <w:rPr>
          <w:sz w:val="20"/>
          <w:szCs w:val="20"/>
          <w:color w:val="auto"/>
        </w:rPr>
      </w:pPr>
    </w:p>
    <w:p>
      <w:pPr>
        <w:ind w:right="20" w:firstLine="495"/>
        <w:spacing w:after="0" w:line="251" w:lineRule="auto"/>
        <w:rPr>
          <w:sz w:val="20"/>
          <w:szCs w:val="20"/>
          <w:color w:val="auto"/>
        </w:rPr>
      </w:pPr>
      <w:r>
        <w:rPr>
          <w:rFonts w:ascii="Arial" w:cs="Arial" w:eastAsia="Arial" w:hAnsi="Arial"/>
          <w:sz w:val="14"/>
          <w:szCs w:val="14"/>
          <w:b w:val="1"/>
          <w:bCs w:val="1"/>
          <w:color w:val="auto"/>
        </w:rPr>
        <w:t>11.09 Interest Rate Limitation</w:t>
      </w:r>
      <w:r>
        <w:rPr>
          <w:rFonts w:ascii="Arial" w:cs="Arial" w:eastAsia="Arial" w:hAnsi="Arial"/>
          <w:sz w:val="14"/>
          <w:szCs w:val="14"/>
          <w:color w:val="auto"/>
        </w:rPr>
        <w:t>. Notwithstanding anything to the contrary contained in any Loan Document, the interest paid or agreed to be paid under the Loan Documents shall not exceed</w:t>
      </w:r>
      <w:r>
        <w:rPr>
          <w:rFonts w:ascii="Arial" w:cs="Arial" w:eastAsia="Arial" w:hAnsi="Arial"/>
          <w:sz w:val="14"/>
          <w:szCs w:val="14"/>
          <w:b w:val="1"/>
          <w:bCs w:val="1"/>
          <w:color w:val="auto"/>
        </w:rPr>
        <w:t xml:space="preserve"> </w:t>
      </w:r>
      <w:r>
        <w:rPr>
          <w:rFonts w:ascii="Arial" w:cs="Arial" w:eastAsia="Arial" w:hAnsi="Arial"/>
          <w:sz w:val="14"/>
          <w:szCs w:val="14"/>
          <w:color w:val="auto"/>
        </w:rPr>
        <w:t>the maximum rate of non-usurious interest permitted by Applicable Law (the “</w:t>
      </w:r>
      <w:r>
        <w:rPr>
          <w:rFonts w:ascii="Arial" w:cs="Arial" w:eastAsia="Arial" w:hAnsi="Arial"/>
          <w:sz w:val="14"/>
          <w:szCs w:val="14"/>
          <w:u w:val="single" w:color="auto"/>
          <w:color w:val="auto"/>
        </w:rPr>
        <w:t>Maximum Rate</w:t>
      </w:r>
      <w:r>
        <w:rPr>
          <w:rFonts w:ascii="Arial" w:cs="Arial" w:eastAsia="Arial" w:hAnsi="Arial"/>
          <w:sz w:val="14"/>
          <w:szCs w:val="14"/>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121</w:t>
      </w:r>
    </w:p>
    <w:p>
      <w:pPr>
        <w:sectPr>
          <w:pgSz w:w="11900" w:h="16838" w:orient="portrait"/>
          <w:cols w:equalWidth="0" w:num="1">
            <w:col w:w="11280"/>
          </w:cols>
          <w:pgMar w:left="300" w:top="129"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495"/>
        <w:spacing w:after="0" w:line="252" w:lineRule="auto"/>
        <w:rPr>
          <w:sz w:val="20"/>
          <w:szCs w:val="20"/>
          <w:color w:val="auto"/>
        </w:rPr>
      </w:pPr>
      <w:r>
        <w:rPr>
          <w:rFonts w:ascii="Arial" w:cs="Arial" w:eastAsia="Arial" w:hAnsi="Arial"/>
          <w:sz w:val="14"/>
          <w:szCs w:val="14"/>
          <w:b w:val="1"/>
          <w:bCs w:val="1"/>
          <w:color w:val="auto"/>
        </w:rPr>
        <w:t>11.10 Integration; Effectiveness</w:t>
      </w:r>
      <w:r>
        <w:rPr>
          <w:rFonts w:ascii="Arial" w:cs="Arial" w:eastAsia="Arial" w:hAnsi="Arial"/>
          <w:sz w:val="14"/>
          <w:szCs w:val="14"/>
          <w:color w:val="auto"/>
        </w:rPr>
        <w:t>. This Agreement, the other Loan Documents, and any separate letter agreements with respect to fees payable to the Administrative Agent or the L/C Issuer,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4"/>
          <w:szCs w:val="14"/>
          <w:u w:val="single" w:color="auto"/>
          <w:color w:val="auto"/>
        </w:rPr>
        <w:t>Section 4.01</w:t>
      </w:r>
      <w:r>
        <w:rPr>
          <w:rFonts w:ascii="Arial" w:cs="Arial" w:eastAsia="Arial" w:hAnsi="Arial"/>
          <w:sz w:val="14"/>
          <w:szCs w:val="14"/>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66" w:lineRule="exact"/>
        <w:rPr>
          <w:sz w:val="20"/>
          <w:szCs w:val="20"/>
          <w:color w:val="auto"/>
        </w:rPr>
      </w:pPr>
    </w:p>
    <w:p>
      <w:pPr>
        <w:ind w:right="20" w:firstLine="495"/>
        <w:spacing w:after="0" w:line="252" w:lineRule="auto"/>
        <w:rPr>
          <w:sz w:val="20"/>
          <w:szCs w:val="20"/>
          <w:color w:val="auto"/>
        </w:rPr>
      </w:pPr>
      <w:r>
        <w:rPr>
          <w:rFonts w:ascii="Arial" w:cs="Arial" w:eastAsia="Arial" w:hAnsi="Arial"/>
          <w:sz w:val="14"/>
          <w:szCs w:val="14"/>
          <w:b w:val="1"/>
          <w:bCs w:val="1"/>
          <w:color w:val="auto"/>
        </w:rPr>
        <w:t>11.11 Survival of Representations and Warranties</w:t>
      </w:r>
      <w:r>
        <w:rPr>
          <w:rFonts w:ascii="Arial" w:cs="Arial" w:eastAsia="Arial" w:hAnsi="Arial"/>
          <w:sz w:val="14"/>
          <w:szCs w:val="14"/>
          <w:color w:val="auto"/>
        </w:rPr>
        <w:t>. All representations and warranties made hereunder and in any other Loan Document or other document delivered pursuant hereto or</w:t>
      </w:r>
      <w:r>
        <w:rPr>
          <w:rFonts w:ascii="Arial" w:cs="Arial" w:eastAsia="Arial" w:hAnsi="Arial"/>
          <w:sz w:val="14"/>
          <w:szCs w:val="14"/>
          <w:b w:val="1"/>
          <w:bCs w:val="1"/>
          <w:color w:val="auto"/>
        </w:rPr>
        <w:t xml:space="preserve"> </w:t>
      </w:r>
      <w:r>
        <w:rPr>
          <w:rFonts w:ascii="Arial" w:cs="Arial" w:eastAsia="Arial" w:hAnsi="Arial"/>
          <w:sz w:val="14"/>
          <w:szCs w:val="14"/>
          <w:color w:val="auto"/>
        </w:rPr>
        <w:t>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66" w:lineRule="exact"/>
        <w:rPr>
          <w:sz w:val="20"/>
          <w:szCs w:val="20"/>
          <w:color w:val="auto"/>
        </w:rPr>
      </w:pPr>
    </w:p>
    <w:p>
      <w:pPr>
        <w:ind w:firstLine="495"/>
        <w:spacing w:after="0" w:line="274" w:lineRule="auto"/>
        <w:rPr>
          <w:sz w:val="20"/>
          <w:szCs w:val="20"/>
          <w:color w:val="auto"/>
        </w:rPr>
      </w:pPr>
      <w:r>
        <w:rPr>
          <w:rFonts w:ascii="Arial" w:cs="Arial" w:eastAsia="Arial" w:hAnsi="Arial"/>
          <w:sz w:val="13"/>
          <w:szCs w:val="13"/>
          <w:b w:val="1"/>
          <w:bCs w:val="1"/>
          <w:color w:val="auto"/>
        </w:rPr>
        <w:t>11.12 Severability</w:t>
      </w:r>
      <w:r>
        <w:rPr>
          <w:rFonts w:ascii="Arial" w:cs="Arial" w:eastAsia="Arial" w:hAnsi="Arial"/>
          <w:sz w:val="13"/>
          <w:szCs w:val="13"/>
          <w:color w:val="auto"/>
        </w:rPr>
        <w:t>. If any provision of this Agreement or the other Loan Documents is held to be illegal, invalid or unenforceable, (a) the legality, validity and enforceability of the remaining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3"/>
          <w:szCs w:val="13"/>
          <w:u w:val="single" w:color="auto"/>
          <w:color w:val="auto"/>
        </w:rPr>
        <w:t>Section 11.12</w:t>
      </w:r>
      <w:r>
        <w:rPr>
          <w:rFonts w:ascii="Arial" w:cs="Arial" w:eastAsia="Arial" w:hAnsi="Arial"/>
          <w:sz w:val="13"/>
          <w:szCs w:val="13"/>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52" w:lineRule="exact"/>
        <w:rPr>
          <w:sz w:val="20"/>
          <w:szCs w:val="20"/>
          <w:color w:val="auto"/>
        </w:rPr>
      </w:pPr>
    </w:p>
    <w:p>
      <w:pPr>
        <w:ind w:right="80" w:firstLine="495"/>
        <w:spacing w:after="0" w:line="252" w:lineRule="auto"/>
        <w:rPr>
          <w:sz w:val="20"/>
          <w:szCs w:val="20"/>
          <w:color w:val="auto"/>
        </w:rPr>
      </w:pPr>
      <w:r>
        <w:rPr>
          <w:rFonts w:ascii="Arial" w:cs="Arial" w:eastAsia="Arial" w:hAnsi="Arial"/>
          <w:sz w:val="14"/>
          <w:szCs w:val="14"/>
          <w:b w:val="1"/>
          <w:bCs w:val="1"/>
          <w:color w:val="auto"/>
        </w:rPr>
        <w:t>11.13 Replacement of Lenders</w:t>
      </w:r>
      <w:r>
        <w:rPr>
          <w:rFonts w:ascii="Arial" w:cs="Arial" w:eastAsia="Arial" w:hAnsi="Arial"/>
          <w:sz w:val="14"/>
          <w:szCs w:val="14"/>
          <w:color w:val="auto"/>
        </w:rPr>
        <w:t>. If the Borrower is entitled to replace a Lender pursuant to the provisions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3.06</w:t>
      </w:r>
      <w:r>
        <w:rPr>
          <w:rFonts w:ascii="Arial" w:cs="Arial" w:eastAsia="Arial" w:hAnsi="Arial"/>
          <w:sz w:val="14"/>
          <w:szCs w:val="14"/>
          <w:color w:val="auto"/>
        </w:rPr>
        <w:t>, or if any Lender is a Defaulting Lender or a Non-Consenting Lender,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all of its interests, rights (other than its existing rights to payments pursuant to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3.04</w:t>
      </w:r>
      <w:r>
        <w:rPr>
          <w:rFonts w:ascii="Arial" w:cs="Arial" w:eastAsia="Arial" w:hAnsi="Arial"/>
          <w:sz w:val="14"/>
          <w:szCs w:val="14"/>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70" w:lineRule="exact"/>
        <w:rPr>
          <w:sz w:val="20"/>
          <w:szCs w:val="20"/>
          <w:color w:val="auto"/>
        </w:rPr>
      </w:pPr>
    </w:p>
    <w:p>
      <w:pPr>
        <w:ind w:left="780" w:hanging="282"/>
        <w:spacing w:after="0"/>
        <w:tabs>
          <w:tab w:leader="none" w:pos="7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the Borrower shall have paid to the Administrative Agent the assignment fee (if any) specified in </w:t>
      </w:r>
      <w:r>
        <w:rPr>
          <w:rFonts w:ascii="Arial" w:cs="Arial" w:eastAsia="Arial" w:hAnsi="Arial"/>
          <w:sz w:val="14"/>
          <w:szCs w:val="14"/>
          <w:u w:val="single" w:color="auto"/>
          <w:color w:val="auto"/>
        </w:rPr>
        <w:t>Section 11.06(b)</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right="20" w:firstLine="498"/>
        <w:spacing w:after="0" w:line="256" w:lineRule="auto"/>
        <w:tabs>
          <w:tab w:leader="none" w:pos="793"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4"/>
          <w:szCs w:val="14"/>
          <w:u w:val="single" w:color="auto"/>
          <w:color w:val="auto"/>
        </w:rPr>
        <w:t>Section 3.05</w:t>
      </w:r>
      <w:r>
        <w:rPr>
          <w:rFonts w:ascii="Arial" w:cs="Arial" w:eastAsia="Arial" w:hAnsi="Arial"/>
          <w:sz w:val="14"/>
          <w:szCs w:val="14"/>
          <w:color w:val="auto"/>
        </w:rPr>
        <w:t>) from the assignee (to the extent of such outstanding principal and accrued interest and fees) or the Borrower (in the case of all other amounts);</w:t>
      </w:r>
    </w:p>
    <w:p>
      <w:pPr>
        <w:spacing w:after="0" w:line="165" w:lineRule="exact"/>
        <w:rPr>
          <w:rFonts w:ascii="Arial" w:cs="Arial" w:eastAsia="Arial" w:hAnsi="Arial"/>
          <w:sz w:val="14"/>
          <w:szCs w:val="14"/>
          <w:color w:val="auto"/>
        </w:rPr>
      </w:pPr>
    </w:p>
    <w:p>
      <w:pPr>
        <w:ind w:right="260" w:firstLine="498"/>
        <w:spacing w:after="0" w:line="266" w:lineRule="auto"/>
        <w:tabs>
          <w:tab w:leader="none" w:pos="785"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in the case of any such assignment resulting from a claim for compensation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or payments required to be made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such assignment will result in a reduction in such compensation or payments thereafter;</w:t>
      </w:r>
    </w:p>
    <w:p>
      <w:pPr>
        <w:spacing w:after="0" w:line="158" w:lineRule="exact"/>
        <w:rPr>
          <w:rFonts w:ascii="Arial" w:cs="Arial" w:eastAsia="Arial" w:hAnsi="Arial"/>
          <w:sz w:val="14"/>
          <w:szCs w:val="14"/>
          <w:color w:val="auto"/>
        </w:rPr>
      </w:pPr>
    </w:p>
    <w:p>
      <w:pPr>
        <w:ind w:left="800" w:hanging="302"/>
        <w:spacing w:after="0"/>
        <w:tabs>
          <w:tab w:leader="none" w:pos="8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such assignment does not conflict with Applicable Laws; and</w:t>
      </w:r>
    </w:p>
    <w:p>
      <w:pPr>
        <w:spacing w:after="0" w:line="189" w:lineRule="exact"/>
        <w:rPr>
          <w:rFonts w:ascii="Arial" w:cs="Arial" w:eastAsia="Arial" w:hAnsi="Arial"/>
          <w:sz w:val="14"/>
          <w:szCs w:val="14"/>
          <w:color w:val="auto"/>
        </w:rPr>
      </w:pPr>
    </w:p>
    <w:p>
      <w:pPr>
        <w:ind w:left="780" w:hanging="282"/>
        <w:spacing w:after="0"/>
        <w:tabs>
          <w:tab w:leader="none" w:pos="78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in the case of an assignment resulting from a Lender becoming a Non-Consenting Lender, the applicable assignee shall have consented to the applicable amendment, waiver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122</w:t>
      </w:r>
    </w:p>
    <w:p>
      <w:pPr>
        <w:sectPr>
          <w:pgSz w:w="11900" w:h="16838" w:orient="portrait"/>
          <w:cols w:equalWidth="0" w:num="1">
            <w:col w:w="11280"/>
          </w:cols>
          <w:pgMar w:left="300" w:top="129"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495"/>
        <w:spacing w:after="0" w:line="266" w:lineRule="auto"/>
        <w:rPr>
          <w:sz w:val="20"/>
          <w:szCs w:val="20"/>
          <w:color w:val="auto"/>
        </w:rPr>
      </w:pPr>
      <w:r>
        <w:rPr>
          <w:rFonts w:ascii="Arial" w:cs="Arial" w:eastAsia="Arial" w:hAnsi="Arial"/>
          <w:sz w:val="14"/>
          <w:szCs w:val="14"/>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9" w:lineRule="exact"/>
        <w:rPr>
          <w:sz w:val="20"/>
          <w:szCs w:val="20"/>
          <w:color w:val="auto"/>
        </w:rPr>
      </w:pPr>
    </w:p>
    <w:p>
      <w:pPr>
        <w:ind w:right="120" w:firstLine="495"/>
        <w:spacing w:after="0" w:line="343" w:lineRule="auto"/>
        <w:rPr>
          <w:sz w:val="20"/>
          <w:szCs w:val="20"/>
          <w:color w:val="auto"/>
        </w:rPr>
      </w:pPr>
      <w:r>
        <w:rPr>
          <w:rFonts w:ascii="Arial" w:cs="Arial" w:eastAsia="Arial" w:hAnsi="Arial"/>
          <w:sz w:val="11"/>
          <w:szCs w:val="11"/>
          <w:color w:val="auto"/>
        </w:rPr>
        <w:t xml:space="preserve">Each party hereto agrees that (a) an assignment required pursuant to this </w:t>
      </w:r>
      <w:r>
        <w:rPr>
          <w:rFonts w:ascii="Arial" w:cs="Arial" w:eastAsia="Arial" w:hAnsi="Arial"/>
          <w:sz w:val="11"/>
          <w:szCs w:val="11"/>
          <w:u w:val="single" w:color="auto"/>
          <w:color w:val="auto"/>
        </w:rPr>
        <w:t>Section 11.13</w:t>
      </w:r>
      <w:r>
        <w:rPr>
          <w:rFonts w:ascii="Arial" w:cs="Arial" w:eastAsia="Arial" w:hAnsi="Arial"/>
          <w:sz w:val="11"/>
          <w:szCs w:val="11"/>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such documents shall be without recourse to or warranty by the parties thereto.</w:t>
      </w:r>
    </w:p>
    <w:p>
      <w:pPr>
        <w:spacing w:after="0" w:line="123" w:lineRule="exact"/>
        <w:rPr>
          <w:sz w:val="20"/>
          <w:szCs w:val="20"/>
          <w:color w:val="auto"/>
        </w:rPr>
      </w:pPr>
    </w:p>
    <w:p>
      <w:pPr>
        <w:ind w:firstLine="495"/>
        <w:spacing w:after="0" w:line="278" w:lineRule="auto"/>
        <w:rPr>
          <w:sz w:val="20"/>
          <w:szCs w:val="20"/>
          <w:color w:val="auto"/>
        </w:rPr>
      </w:pPr>
      <w:r>
        <w:rPr>
          <w:rFonts w:ascii="Arial" w:cs="Arial" w:eastAsia="Arial" w:hAnsi="Arial"/>
          <w:sz w:val="13"/>
          <w:szCs w:val="13"/>
          <w:color w:val="auto"/>
        </w:rPr>
        <w:t xml:space="preserve">Notwithstanding anything in this </w:t>
      </w:r>
      <w:r>
        <w:rPr>
          <w:rFonts w:ascii="Arial" w:cs="Arial" w:eastAsia="Arial" w:hAnsi="Arial"/>
          <w:sz w:val="13"/>
          <w:szCs w:val="13"/>
          <w:u w:val="single" w:color="auto"/>
          <w:color w:val="auto"/>
        </w:rPr>
        <w:t>Section 11.13</w:t>
      </w:r>
      <w:r>
        <w:rPr>
          <w:rFonts w:ascii="Arial" w:cs="Arial" w:eastAsia="Arial" w:hAnsi="Arial"/>
          <w:sz w:val="13"/>
          <w:szCs w:val="13"/>
          <w:color w:val="auto"/>
        </w:rPr>
        <w:t xml:space="preserve"> 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3"/>
          <w:szCs w:val="13"/>
          <w:u w:val="single" w:color="auto"/>
          <w:color w:val="auto"/>
        </w:rPr>
        <w:t>Section 9.06</w:t>
      </w:r>
      <w:r>
        <w:rPr>
          <w:rFonts w:ascii="Arial" w:cs="Arial" w:eastAsia="Arial" w:hAnsi="Arial"/>
          <w:sz w:val="13"/>
          <w:szCs w:val="13"/>
          <w:color w:val="auto"/>
        </w:rPr>
        <w:t>.</w:t>
      </w:r>
    </w:p>
    <w:p>
      <w:pPr>
        <w:spacing w:after="0" w:line="14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b w:val="1"/>
          <w:bCs w:val="1"/>
          <w:color w:val="auto"/>
        </w:rPr>
        <w:t>11.14</w:t>
      </w:r>
      <w:r>
        <w:rPr>
          <w:sz w:val="20"/>
          <w:szCs w:val="20"/>
          <w:color w:val="auto"/>
        </w:rPr>
        <w:tab/>
      </w:r>
      <w:r>
        <w:rPr>
          <w:rFonts w:ascii="Arial" w:cs="Arial" w:eastAsia="Arial" w:hAnsi="Arial"/>
          <w:sz w:val="11"/>
          <w:szCs w:val="11"/>
          <w:b w:val="1"/>
          <w:bCs w:val="1"/>
          <w:color w:val="auto"/>
        </w:rPr>
        <w:t>Governing Law; Jurisdiction; Etc</w:t>
      </w:r>
      <w:r>
        <w:rPr>
          <w:rFonts w:ascii="Arial" w:cs="Arial" w:eastAsia="Arial" w:hAnsi="Arial"/>
          <w:sz w:val="11"/>
          <w:szCs w:val="11"/>
          <w:color w:val="auto"/>
        </w:rPr>
        <w:t>.</w:t>
      </w:r>
    </w:p>
    <w:p>
      <w:pPr>
        <w:spacing w:after="0" w:line="18" w:lineRule="exact"/>
        <w:rPr>
          <w:sz w:val="20"/>
          <w:szCs w:val="20"/>
          <w:color w:val="auto"/>
        </w:rPr>
      </w:pPr>
    </w:p>
    <w:p>
      <w:pPr>
        <w:jc w:val="both"/>
        <w:ind w:right="160" w:firstLine="498"/>
        <w:spacing w:after="0" w:line="247" w:lineRule="auto"/>
        <w:tabs>
          <w:tab w:leader="none" w:pos="782"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3" w:lineRule="exact"/>
        <w:rPr>
          <w:rFonts w:ascii="Arial" w:cs="Arial" w:eastAsia="Arial" w:hAnsi="Arial"/>
          <w:sz w:val="14"/>
          <w:szCs w:val="14"/>
          <w:color w:val="auto"/>
        </w:rPr>
      </w:pPr>
    </w:p>
    <w:p>
      <w:pPr>
        <w:ind w:right="40" w:firstLine="498"/>
        <w:spacing w:after="0" w:line="247" w:lineRule="auto"/>
        <w:tabs>
          <w:tab w:leader="none" w:pos="793"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123</w:t>
      </w:r>
    </w:p>
    <w:p>
      <w:pPr>
        <w:sectPr>
          <w:pgSz w:w="11900" w:h="16838" w:orient="portrait"/>
          <w:cols w:equalWidth="0" w:num="1">
            <w:col w:w="11280"/>
          </w:cols>
          <w:pgMar w:left="300" w:top="129"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98"/>
        <w:spacing w:after="0" w:line="251" w:lineRule="auto"/>
        <w:tabs>
          <w:tab w:leader="none" w:pos="785"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WAIVER OF VENUE</w:t>
      </w:r>
      <w:r>
        <w:rPr>
          <w:rFonts w:ascii="Arial" w:cs="Arial" w:eastAsia="Arial" w:hAnsi="Arial"/>
          <w:sz w:val="14"/>
          <w:szCs w:val="14"/>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8" w:lineRule="exact"/>
        <w:rPr>
          <w:rFonts w:ascii="Arial" w:cs="Arial" w:eastAsia="Arial" w:hAnsi="Arial"/>
          <w:sz w:val="14"/>
          <w:szCs w:val="14"/>
          <w:color w:val="auto"/>
        </w:rPr>
      </w:pPr>
    </w:p>
    <w:p>
      <w:pPr>
        <w:ind w:right="280" w:firstLine="498"/>
        <w:spacing w:after="0" w:line="305" w:lineRule="auto"/>
        <w:tabs>
          <w:tab w:leader="none" w:pos="793"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SERVICE OF PROCESS</w:t>
      </w:r>
      <w:r>
        <w:rPr>
          <w:rFonts w:ascii="Arial" w:cs="Arial" w:eastAsia="Arial" w:hAnsi="Arial"/>
          <w:sz w:val="13"/>
          <w:szCs w:val="13"/>
          <w:color w:val="auto"/>
        </w:rPr>
        <w:t xml:space="preserve">. EACH PARTY HERETO IRREVOCABLY CONSENTS TO SERVICE OF PROCESS IN THE MANNER PROVIDED FOR NOTICES IN </w:t>
      </w:r>
      <w:r>
        <w:rPr>
          <w:rFonts w:ascii="Arial" w:cs="Arial" w:eastAsia="Arial" w:hAnsi="Arial"/>
          <w:sz w:val="13"/>
          <w:szCs w:val="13"/>
          <w:u w:val="single" w:color="auto"/>
          <w:color w:val="auto"/>
        </w:rPr>
        <w:t>SECTION 11.02</w:t>
      </w:r>
      <w:r>
        <w:rPr>
          <w:rFonts w:ascii="Arial" w:cs="Arial" w:eastAsia="Arial" w:hAnsi="Arial"/>
          <w:sz w:val="13"/>
          <w:szCs w:val="13"/>
          <w:color w:val="auto"/>
        </w:rPr>
        <w:t>. NOTHING IN THIS AGREEMENT WILL AFFECT THE RIGHT OF ANY PARTY HERETO TO SERVE PROCESS IN ANY OTHER MANNER PERMITTED BY APPLICABLE LAW</w:t>
      </w:r>
    </w:p>
    <w:p>
      <w:pPr>
        <w:spacing w:after="0" w:line="132" w:lineRule="exact"/>
        <w:rPr>
          <w:sz w:val="20"/>
          <w:szCs w:val="20"/>
          <w:color w:val="auto"/>
        </w:rPr>
      </w:pPr>
    </w:p>
    <w:p>
      <w:pPr>
        <w:ind w:firstLine="495"/>
        <w:spacing w:after="0" w:line="274" w:lineRule="auto"/>
        <w:rPr>
          <w:sz w:val="20"/>
          <w:szCs w:val="20"/>
          <w:color w:val="auto"/>
        </w:rPr>
      </w:pPr>
      <w:r>
        <w:rPr>
          <w:rFonts w:ascii="Arial" w:cs="Arial" w:eastAsia="Arial" w:hAnsi="Arial"/>
          <w:sz w:val="13"/>
          <w:szCs w:val="13"/>
          <w:b w:val="1"/>
          <w:bCs w:val="1"/>
          <w:color w:val="auto"/>
        </w:rPr>
        <w:t>11.15 WAIVER OF JURY TRIAL</w:t>
      </w:r>
      <w:r>
        <w:rPr>
          <w:rFonts w:ascii="Arial" w:cs="Arial" w:eastAsia="Arial" w:hAnsi="Arial"/>
          <w:sz w:val="13"/>
          <w:szCs w:val="13"/>
          <w:color w:val="auto"/>
        </w:rPr>
        <w:t>. EACH PARTY HERETO HEREBY IRREVOCABLY WAIVES, TO THE FULLEST EXTENT PERMITTED BY APPLICABLE LAW, ANY RIGHT IT</w:t>
      </w:r>
      <w:r>
        <w:rPr>
          <w:rFonts w:ascii="Arial" w:cs="Arial" w:eastAsia="Arial" w:hAnsi="Arial"/>
          <w:sz w:val="13"/>
          <w:szCs w:val="13"/>
          <w:b w:val="1"/>
          <w:bCs w:val="1"/>
          <w:color w:val="auto"/>
        </w:rPr>
        <w:t xml:space="preserve"> </w:t>
      </w:r>
      <w:r>
        <w:rPr>
          <w:rFonts w:ascii="Arial" w:cs="Arial" w:eastAsia="Arial" w:hAnsi="Arial"/>
          <w:sz w:val="13"/>
          <w:szCs w:val="13"/>
          <w:color w:val="auto"/>
        </w:rPr>
        <w:t>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52" w:lineRule="exact"/>
        <w:rPr>
          <w:sz w:val="20"/>
          <w:szCs w:val="20"/>
          <w:color w:val="auto"/>
        </w:rPr>
      </w:pPr>
    </w:p>
    <w:p>
      <w:pPr>
        <w:ind w:firstLine="495"/>
        <w:spacing w:after="0" w:line="322" w:lineRule="auto"/>
        <w:rPr>
          <w:sz w:val="20"/>
          <w:szCs w:val="20"/>
          <w:color w:val="auto"/>
        </w:rPr>
      </w:pPr>
      <w:r>
        <w:rPr>
          <w:rFonts w:ascii="Arial" w:cs="Arial" w:eastAsia="Arial" w:hAnsi="Arial"/>
          <w:sz w:val="11"/>
          <w:szCs w:val="11"/>
          <w:b w:val="1"/>
          <w:bCs w:val="1"/>
          <w:color w:val="auto"/>
        </w:rPr>
        <w:t>11.16 No Advisory or Fiduciary Responsibility</w:t>
      </w:r>
      <w:r>
        <w:rPr>
          <w:rFonts w:ascii="Arial" w:cs="Arial" w:eastAsia="Arial" w:hAnsi="Arial"/>
          <w:sz w:val="11"/>
          <w:szCs w:val="11"/>
          <w:color w:val="auto"/>
        </w:rPr>
        <w:t>. In connection with all aspects of each transaction contemplated hereby (including in connection with any amendment, waiver or other</w:t>
      </w:r>
      <w:r>
        <w:rPr>
          <w:rFonts w:ascii="Arial" w:cs="Arial" w:eastAsia="Arial" w:hAnsi="Arial"/>
          <w:sz w:val="11"/>
          <w:szCs w:val="11"/>
          <w:b w:val="1"/>
          <w:bCs w:val="1"/>
          <w:color w:val="auto"/>
        </w:rPr>
        <w:t xml:space="preserve"> </w:t>
      </w:r>
      <w:r>
        <w:rPr>
          <w:rFonts w:ascii="Arial" w:cs="Arial" w:eastAsia="Arial" w:hAnsi="Arial"/>
          <w:sz w:val="11"/>
          <w:szCs w:val="11"/>
          <w:color w:val="auto"/>
        </w:rPr>
        <w:t>modification hereof or of any other Loan Document), each of the Borrower and each other Loan Party acknowledges and agrees that: (i) (A) the arranging and other services regarding this Agreement provided by the Administrative Agent and the Lenders are arm’s-length commercial transactions between the Borrower, the Loan Parties and their respective Affiliates, on the one hand, and the Administrative Agent and the Lenders, on the other hand, (B) each of the Borrower and the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the Administrative Agent and the Lenders each is and has been acting solely as a principal and, except as expressly agreed in writing by the relevant parties, has not been, is not, and will not be acting as an advisor, agent or fiduciary for the Borrower, the other Loan Parties or any of their respective Affiliates, or any other Person and (B) neither the Administrative Agent nor any Lender has any obligation to the Borrower, the other Loan Parties or any of their respective Affiliates with respect to the transactions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the other Loan Parties and their respective Affiliates, and neither the Administrative Agent nor any Lender has any obligation to disclose any of such interests to the Borrower, the other Loan Parties or their respective Affiliates. To the fullest extent permitted by law, each of the Borrower and the other Loan Parties hereby waives and releases any claims that it may have against the Administrative Agent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124</w:t>
      </w:r>
    </w:p>
    <w:p>
      <w:pPr>
        <w:sectPr>
          <w:pgSz w:w="11900" w:h="16838" w:orient="portrait"/>
          <w:cols w:equalWidth="0" w:num="1">
            <w:col w:w="11280"/>
          </w:cols>
          <w:pgMar w:left="300" w:top="129"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95"/>
        <w:spacing w:after="0" w:line="321" w:lineRule="auto"/>
        <w:rPr>
          <w:sz w:val="20"/>
          <w:szCs w:val="20"/>
          <w:color w:val="auto"/>
        </w:rPr>
      </w:pPr>
      <w:r>
        <w:rPr>
          <w:rFonts w:ascii="Arial" w:cs="Arial" w:eastAsia="Arial" w:hAnsi="Arial"/>
          <w:sz w:val="11"/>
          <w:szCs w:val="11"/>
          <w:b w:val="1"/>
          <w:bCs w:val="1"/>
          <w:color w:val="auto"/>
        </w:rPr>
        <w:t>11.17 Electronic Execution; Electronic Records; Counterparts</w:t>
      </w:r>
      <w:r>
        <w:rPr>
          <w:rFonts w:ascii="Arial" w:cs="Arial" w:eastAsia="Arial" w:hAnsi="Arial"/>
          <w:sz w:val="11"/>
          <w:szCs w:val="11"/>
          <w:color w:val="auto"/>
        </w:rPr>
        <w:t>. This Agreement, any Loan Document and any other Communication, including Communications required to be in writing,</w:t>
      </w:r>
      <w:r>
        <w:rPr>
          <w:rFonts w:ascii="Arial" w:cs="Arial" w:eastAsia="Arial" w:hAnsi="Arial"/>
          <w:sz w:val="11"/>
          <w:szCs w:val="11"/>
          <w:b w:val="1"/>
          <w:bCs w:val="1"/>
          <w:color w:val="auto"/>
        </w:rPr>
        <w:t xml:space="preserve"> </w:t>
      </w:r>
      <w:r>
        <w:rPr>
          <w:rFonts w:ascii="Arial" w:cs="Arial" w:eastAsia="Arial" w:hAnsi="Arial"/>
          <w:sz w:val="11"/>
          <w:szCs w:val="11"/>
          <w:color w:val="auto"/>
        </w:rPr>
        <w:t>may be in the form of an Electronic Record and may be executed using Electronic Signatures. The Borrower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Arial" w:cs="Arial" w:eastAsia="Arial" w:hAnsi="Arial"/>
          <w:sz w:val="11"/>
          <w:szCs w:val="11"/>
          <w:u w:val="single" w:color="auto"/>
          <w:color w:val="auto"/>
        </w:rPr>
        <w:t>Electronic Copy</w:t>
      </w:r>
      <w:r>
        <w:rPr>
          <w:rFonts w:ascii="Arial" w:cs="Arial" w:eastAsia="Arial" w:hAnsi="Arial"/>
          <w:sz w:val="11"/>
          <w:szCs w:val="11"/>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Swing Line Lender is under any obligation to accept an Electronic Signature in any form or in any format unless expressly agreed to by such Person pursuant to procedures approved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without limiting the foregoing, (a) to the extent the Administrative Agent, L/C Issuer and/or Swing Line Lender has agreed to accept such Electronic Signature, the Administrative Agent and each of the Lender Parties shall be entitled to rely on any such Electronic Signature purportedly given by or on behalf of the Borrower and/or any Lender Party without further verification and (b) upon the request of the Administrative Agent or any Lender Party, any Electronic Signature shall be promptly followed by such manually executed counterpart.</w:t>
      </w:r>
    </w:p>
    <w:p>
      <w:pPr>
        <w:spacing w:after="0" w:line="301" w:lineRule="exact"/>
        <w:rPr>
          <w:sz w:val="20"/>
          <w:szCs w:val="20"/>
          <w:color w:val="auto"/>
        </w:rPr>
      </w:pPr>
    </w:p>
    <w:p>
      <w:pPr>
        <w:ind w:right="160" w:firstLine="495"/>
        <w:spacing w:after="0" w:line="272" w:lineRule="auto"/>
        <w:rPr>
          <w:sz w:val="20"/>
          <w:szCs w:val="20"/>
          <w:color w:val="auto"/>
        </w:rPr>
      </w:pPr>
      <w:r>
        <w:rPr>
          <w:rFonts w:ascii="Arial" w:cs="Arial" w:eastAsia="Arial" w:hAnsi="Arial"/>
          <w:sz w:val="13"/>
          <w:szCs w:val="13"/>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59" w:lineRule="exact"/>
        <w:rPr>
          <w:sz w:val="20"/>
          <w:szCs w:val="20"/>
          <w:color w:val="auto"/>
        </w:rPr>
      </w:pPr>
    </w:p>
    <w:p>
      <w:pPr>
        <w:ind w:right="100" w:firstLine="495"/>
        <w:spacing w:after="0" w:line="278" w:lineRule="auto"/>
        <w:rPr>
          <w:sz w:val="20"/>
          <w:szCs w:val="20"/>
          <w:color w:val="auto"/>
        </w:rPr>
      </w:pPr>
      <w:r>
        <w:rPr>
          <w:rFonts w:ascii="Arial" w:cs="Arial" w:eastAsia="Arial" w:hAnsi="Arial"/>
          <w:sz w:val="13"/>
          <w:szCs w:val="13"/>
          <w:color w:val="auto"/>
        </w:rPr>
        <w:t>The Borrower and each Lender Party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125</w:t>
      </w:r>
    </w:p>
    <w:p>
      <w:pPr>
        <w:sectPr>
          <w:pgSz w:w="11900" w:h="16838" w:orient="portrait"/>
          <w:cols w:equalWidth="0" w:num="1">
            <w:col w:w="11280"/>
          </w:cols>
          <w:pgMar w:left="300" w:top="129"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495"/>
        <w:spacing w:after="0" w:line="337" w:lineRule="auto"/>
        <w:rPr>
          <w:sz w:val="20"/>
          <w:szCs w:val="20"/>
          <w:color w:val="auto"/>
        </w:rPr>
      </w:pPr>
      <w:r>
        <w:rPr>
          <w:rFonts w:ascii="Arial" w:cs="Arial" w:eastAsia="Arial" w:hAnsi="Arial"/>
          <w:sz w:val="11"/>
          <w:szCs w:val="11"/>
          <w:b w:val="1"/>
          <w:bCs w:val="1"/>
          <w:color w:val="auto"/>
        </w:rPr>
        <w:t>11.18 USA PATRIOT Act</w:t>
      </w:r>
      <w:r>
        <w:rPr>
          <w:rFonts w:ascii="Arial" w:cs="Arial" w:eastAsia="Arial" w:hAnsi="Arial"/>
          <w:sz w:val="11"/>
          <w:szCs w:val="11"/>
          <w:color w:val="auto"/>
        </w:rPr>
        <w:t>. Each Lender that is subject to the Act (as hereinafter defined) and the Administrative Agent (for itself and not on behalf of any Lender) hereby notifies the Borrower</w:t>
      </w:r>
      <w:r>
        <w:rPr>
          <w:rFonts w:ascii="Arial" w:cs="Arial" w:eastAsia="Arial" w:hAnsi="Arial"/>
          <w:sz w:val="11"/>
          <w:szCs w:val="11"/>
          <w:b w:val="1"/>
          <w:bCs w:val="1"/>
          <w:color w:val="auto"/>
        </w:rPr>
        <w:t xml:space="preserve"> </w:t>
      </w:r>
      <w:r>
        <w:rPr>
          <w:rFonts w:ascii="Arial" w:cs="Arial" w:eastAsia="Arial" w:hAnsi="Arial"/>
          <w:sz w:val="11"/>
          <w:szCs w:val="11"/>
          <w:color w:val="auto"/>
        </w:rPr>
        <w:t>that pursuant to the requirements of the USA PATRIOT Act (Title III of Pub. L. 107-56 (signed into law October 26, 2001)) (the “</w:t>
      </w:r>
      <w:r>
        <w:rPr>
          <w:rFonts w:ascii="Arial" w:cs="Arial" w:eastAsia="Arial" w:hAnsi="Arial"/>
          <w:sz w:val="11"/>
          <w:szCs w:val="11"/>
          <w:u w:val="single" w:color="auto"/>
          <w:color w:val="auto"/>
        </w:rPr>
        <w:t>Act</w:t>
      </w:r>
      <w:r>
        <w:rPr>
          <w:rFonts w:ascii="Arial" w:cs="Arial" w:eastAsia="Arial" w:hAnsi="Arial"/>
          <w:sz w:val="11"/>
          <w:szCs w:val="11"/>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23" w:lineRule="exact"/>
        <w:rPr>
          <w:sz w:val="20"/>
          <w:szCs w:val="20"/>
          <w:color w:val="auto"/>
        </w:rPr>
      </w:pPr>
    </w:p>
    <w:p>
      <w:pPr>
        <w:ind w:right="20" w:firstLine="495"/>
        <w:spacing w:after="0" w:line="280" w:lineRule="auto"/>
        <w:rPr>
          <w:sz w:val="20"/>
          <w:szCs w:val="20"/>
          <w:color w:val="auto"/>
        </w:rPr>
      </w:pPr>
      <w:r>
        <w:rPr>
          <w:rFonts w:ascii="Arial" w:cs="Arial" w:eastAsia="Arial" w:hAnsi="Arial"/>
          <w:sz w:val="13"/>
          <w:szCs w:val="13"/>
          <w:b w:val="1"/>
          <w:bCs w:val="1"/>
          <w:color w:val="auto"/>
        </w:rPr>
        <w:t>11.19 Acknowledgement and Consent to Bail-In of Affected Financial Institutions</w:t>
      </w:r>
      <w:r>
        <w:rPr>
          <w:rFonts w:ascii="Arial" w:cs="Arial" w:eastAsia="Arial" w:hAnsi="Arial"/>
          <w:sz w:val="13"/>
          <w:szCs w:val="13"/>
          <w:color w:val="auto"/>
        </w:rPr>
        <w:t>. Solely to the extent any Lender or the L/C Issuer that is an Affected Financial Institution is a party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2" w:lineRule="exact"/>
        <w:rPr>
          <w:sz w:val="20"/>
          <w:szCs w:val="20"/>
          <w:color w:val="auto"/>
        </w:rPr>
      </w:pPr>
    </w:p>
    <w:p>
      <w:pPr>
        <w:ind w:right="120" w:firstLine="498"/>
        <w:spacing w:after="0" w:line="266" w:lineRule="auto"/>
        <w:tabs>
          <w:tab w:leader="none" w:pos="785"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8" w:lineRule="exact"/>
        <w:rPr>
          <w:rFonts w:ascii="Arial" w:cs="Arial" w:eastAsia="Arial" w:hAnsi="Arial"/>
          <w:sz w:val="14"/>
          <w:szCs w:val="14"/>
          <w:color w:val="auto"/>
        </w:rPr>
      </w:pPr>
    </w:p>
    <w:p>
      <w:pPr>
        <w:ind w:left="800" w:hanging="302"/>
        <w:spacing w:after="0"/>
        <w:tabs>
          <w:tab w:leader="none" w:pos="80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effects of any Bail-In Action on any such liability, including, if applicable:</w:t>
      </w:r>
    </w:p>
    <w:p>
      <w:pPr>
        <w:spacing w:after="0" w:line="189" w:lineRule="exact"/>
        <w:rPr>
          <w:rFonts w:ascii="Arial" w:cs="Arial" w:eastAsia="Arial" w:hAnsi="Arial"/>
          <w:sz w:val="14"/>
          <w:szCs w:val="14"/>
          <w:color w:val="auto"/>
        </w:rPr>
      </w:pPr>
    </w:p>
    <w:p>
      <w:pPr>
        <w:ind w:left="1260" w:hanging="267"/>
        <w:spacing w:after="0"/>
        <w:tabs>
          <w:tab w:leader="none" w:pos="126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a reduction in full or in part or cancellation of any such liability;</w:t>
      </w:r>
    </w:p>
    <w:p>
      <w:pPr>
        <w:spacing w:after="0" w:line="189" w:lineRule="exact"/>
        <w:rPr>
          <w:rFonts w:ascii="Arial" w:cs="Arial" w:eastAsia="Arial" w:hAnsi="Arial"/>
          <w:sz w:val="14"/>
          <w:szCs w:val="14"/>
          <w:color w:val="auto"/>
        </w:rPr>
      </w:pPr>
    </w:p>
    <w:p>
      <w:pPr>
        <w:jc w:val="both"/>
        <w:ind w:left="500" w:right="160" w:firstLine="493"/>
        <w:spacing w:after="0" w:line="256" w:lineRule="auto"/>
        <w:tabs>
          <w:tab w:leader="none" w:pos="130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4"/>
          <w:szCs w:val="14"/>
          <w:color w:val="auto"/>
        </w:rPr>
      </w:pPr>
    </w:p>
    <w:p>
      <w:pPr>
        <w:ind w:left="1340" w:hanging="347"/>
        <w:spacing w:after="0"/>
        <w:tabs>
          <w:tab w:leader="none" w:pos="134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the variation of the terms of such liability in connection with the exercise of the Write-Down and Conversion Powers of the applicable Resolution Authority.</w:t>
      </w:r>
    </w:p>
    <w:p>
      <w:pPr>
        <w:spacing w:after="0" w:line="186" w:lineRule="exact"/>
        <w:rPr>
          <w:sz w:val="20"/>
          <w:szCs w:val="20"/>
          <w:color w:val="auto"/>
        </w:rPr>
      </w:pPr>
    </w:p>
    <w:p>
      <w:pPr>
        <w:ind w:right="40" w:firstLine="495"/>
        <w:spacing w:after="0" w:line="337" w:lineRule="auto"/>
        <w:rPr>
          <w:sz w:val="20"/>
          <w:szCs w:val="20"/>
          <w:color w:val="auto"/>
        </w:rPr>
      </w:pPr>
      <w:r>
        <w:rPr>
          <w:rFonts w:ascii="Arial" w:cs="Arial" w:eastAsia="Arial" w:hAnsi="Arial"/>
          <w:sz w:val="11"/>
          <w:szCs w:val="11"/>
          <w:b w:val="1"/>
          <w:bCs w:val="1"/>
          <w:color w:val="auto"/>
        </w:rPr>
        <w:t>11.20 Acknowledgement Regarding Any Supported QFCs</w:t>
      </w:r>
      <w:r>
        <w:rPr>
          <w:rFonts w:ascii="Arial" w:cs="Arial" w:eastAsia="Arial" w:hAnsi="Arial"/>
          <w:sz w:val="11"/>
          <w:szCs w:val="11"/>
          <w:color w:val="auto"/>
        </w:rPr>
        <w:t>. To the extent that the Loan Documents provide support, through a guarantee or otherwise, for any Swap Contract or any other</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or instrument that is a QFC (such support, “</w:t>
      </w:r>
      <w:r>
        <w:rPr>
          <w:rFonts w:ascii="Arial" w:cs="Arial" w:eastAsia="Arial" w:hAnsi="Arial"/>
          <w:sz w:val="11"/>
          <w:szCs w:val="11"/>
          <w:u w:val="single" w:color="auto"/>
          <w:color w:val="auto"/>
        </w:rPr>
        <w:t>QFC Credit Support</w:t>
      </w:r>
      <w:r>
        <w:rPr>
          <w:rFonts w:ascii="Arial" w:cs="Arial" w:eastAsia="Arial" w:hAnsi="Arial"/>
          <w:sz w:val="11"/>
          <w:szCs w:val="11"/>
          <w:color w:val="auto"/>
        </w:rPr>
        <w:t>”, and each such QFC, a “</w:t>
      </w:r>
      <w:r>
        <w:rPr>
          <w:rFonts w:ascii="Arial" w:cs="Arial" w:eastAsia="Arial" w:hAnsi="Arial"/>
          <w:sz w:val="11"/>
          <w:szCs w:val="11"/>
          <w:u w:val="single" w:color="auto"/>
          <w:color w:val="auto"/>
        </w:rPr>
        <w:t>Supported QFC</w:t>
      </w:r>
      <w:r>
        <w:rPr>
          <w:rFonts w:ascii="Arial" w:cs="Arial" w:eastAsia="Arial" w:hAnsi="Arial"/>
          <w:sz w:val="11"/>
          <w:szCs w:val="1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1"/>
          <w:szCs w:val="11"/>
          <w:u w:val="single" w:color="auto"/>
          <w:color w:val="auto"/>
        </w:rPr>
        <w:t>U.S. Special Resolution Regimes</w:t>
      </w:r>
      <w:r>
        <w:rPr>
          <w:rFonts w:ascii="Arial" w:cs="Arial" w:eastAsia="Arial" w:hAnsi="Arial"/>
          <w:sz w:val="11"/>
          <w:szCs w:val="1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126</w:t>
      </w:r>
    </w:p>
    <w:p>
      <w:pPr>
        <w:sectPr>
          <w:pgSz w:w="11900" w:h="16838" w:orient="portrait"/>
          <w:cols w:equalWidth="0" w:num="1">
            <w:col w:w="11280"/>
          </w:cols>
          <w:pgMar w:left="300" w:top="129"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98"/>
        <w:spacing w:after="0" w:line="326" w:lineRule="auto"/>
        <w:tabs>
          <w:tab w:leader="none" w:pos="785" w:val="left"/>
        </w:tabs>
        <w:numPr>
          <w:ilvl w:val="0"/>
          <w:numId w:val="177"/>
        </w:numPr>
        <w:rPr>
          <w:rFonts w:ascii="Arial" w:cs="Arial" w:eastAsia="Arial" w:hAnsi="Arial"/>
          <w:sz w:val="11"/>
          <w:szCs w:val="11"/>
          <w:color w:val="auto"/>
        </w:rPr>
      </w:pPr>
      <w:r>
        <w:rPr>
          <w:rFonts w:ascii="Arial" w:cs="Arial" w:eastAsia="Arial" w:hAnsi="Arial"/>
          <w:sz w:val="11"/>
          <w:szCs w:val="11"/>
          <w:color w:val="auto"/>
        </w:rPr>
        <w:t>In the event a Covered Entity that is party to a Supported QFC (each, a “</w:t>
      </w:r>
      <w:r>
        <w:rPr>
          <w:rFonts w:ascii="Arial" w:cs="Arial" w:eastAsia="Arial" w:hAnsi="Arial"/>
          <w:sz w:val="11"/>
          <w:szCs w:val="11"/>
          <w:u w:val="single" w:color="auto"/>
          <w:color w:val="auto"/>
        </w:rPr>
        <w:t>Covered Party</w:t>
      </w:r>
      <w:r>
        <w:rPr>
          <w:rFonts w:ascii="Arial" w:cs="Arial" w:eastAsia="Arial" w:hAnsi="Arial"/>
          <w:sz w:val="11"/>
          <w:szCs w:val="1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31" w:lineRule="exact"/>
        <w:rPr>
          <w:rFonts w:ascii="Arial" w:cs="Arial" w:eastAsia="Arial" w:hAnsi="Arial"/>
          <w:sz w:val="11"/>
          <w:szCs w:val="11"/>
          <w:color w:val="auto"/>
        </w:rPr>
      </w:pPr>
    </w:p>
    <w:p>
      <w:pPr>
        <w:ind w:left="780" w:hanging="282"/>
        <w:spacing w:after="0"/>
        <w:tabs>
          <w:tab w:leader="none" w:pos="7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xml:space="preserve">As used in this </w:t>
      </w:r>
      <w:r>
        <w:rPr>
          <w:rFonts w:ascii="Arial" w:cs="Arial" w:eastAsia="Arial" w:hAnsi="Arial"/>
          <w:sz w:val="14"/>
          <w:szCs w:val="14"/>
          <w:u w:val="single" w:color="auto"/>
          <w:color w:val="auto"/>
        </w:rPr>
        <w:t>Section 11.20</w:t>
      </w:r>
      <w:r>
        <w:rPr>
          <w:rFonts w:ascii="Arial" w:cs="Arial" w:eastAsia="Arial" w:hAnsi="Arial"/>
          <w:sz w:val="14"/>
          <w:szCs w:val="14"/>
          <w:color w:val="auto"/>
        </w:rPr>
        <w:t>, the following terms have the following meanings: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BHC Act Affiliate</w:t>
      </w:r>
      <w:r>
        <w:rPr>
          <w:rFonts w:ascii="Arial" w:cs="Arial" w:eastAsia="Arial" w:hAnsi="Arial"/>
          <w:sz w:val="14"/>
          <w:szCs w:val="14"/>
          <w:color w:val="auto"/>
        </w:rPr>
        <w:t>” of a party means an “affiliate” (as such term is defined under, and interpreted in accordance with, 12 U.S.C. 1841(k)) of such party.</w:t>
      </w:r>
    </w:p>
    <w:p>
      <w:pPr>
        <w:spacing w:after="0" w:line="190" w:lineRule="exact"/>
        <w:rPr>
          <w:sz w:val="20"/>
          <w:szCs w:val="20"/>
          <w:color w:val="auto"/>
        </w:rPr>
      </w:pPr>
    </w:p>
    <w:p>
      <w:pPr>
        <w:jc w:val="both"/>
        <w:ind w:left="1000" w:right="60" w:firstLine="990"/>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Entity</w:t>
      </w:r>
      <w:r>
        <w:rPr>
          <w:rFonts w:ascii="Arial" w:cs="Arial" w:eastAsia="Arial" w:hAnsi="Arial"/>
          <w:sz w:val="14"/>
          <w:szCs w:val="14"/>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Right</w:t>
      </w:r>
      <w:r>
        <w:rPr>
          <w:rFonts w:ascii="Arial" w:cs="Arial" w:eastAsia="Arial" w:hAnsi="Arial"/>
          <w:sz w:val="13"/>
          <w:szCs w:val="13"/>
          <w:color w:val="auto"/>
        </w:rPr>
        <w:t>” has the meaning assigned to that term in, and shall be interpreted in accordance with, 12 C.F.R. §§ 252.81, 47.2 or 382.1, as applicable.</w:t>
      </w: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QFC</w:t>
      </w:r>
      <w:r>
        <w:rPr>
          <w:rFonts w:ascii="Arial" w:cs="Arial" w:eastAsia="Arial" w:hAnsi="Arial"/>
          <w:sz w:val="14"/>
          <w:szCs w:val="14"/>
          <w:color w:val="auto"/>
        </w:rPr>
        <w:t>” has the meaning assigned to the term “qualified financial contract” in, and shall be interpreted in accordance with, 12 U.S.C. 5390(c)(8)(D).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127</w:t>
      </w:r>
    </w:p>
    <w:p>
      <w:pPr>
        <w:sectPr>
          <w:pgSz w:w="11900" w:h="16838" w:orient="portrait"/>
          <w:cols w:equalWidth="0" w:num="1">
            <w:col w:w="11280"/>
          </w:cols>
          <w:pgMar w:left="300" w:top="129" w:right="319" w:bottom="1440" w:gutter="0" w:footer="0" w:header="0"/>
        </w:sectPr>
      </w:pPr>
    </w:p>
    <w:bookmarkStart w:id="210" w:name="page211"/>
    <w:bookmarkEnd w:id="210"/>
    <w:p>
      <w:pPr>
        <w:ind w:left="10100"/>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IN WITNESS WHEREOF, </w:t>
      </w:r>
      <w:r>
        <w:rPr>
          <w:rFonts w:ascii="Arial" w:cs="Arial" w:eastAsia="Arial" w:hAnsi="Arial"/>
          <w:sz w:val="14"/>
          <w:szCs w:val="14"/>
          <w:color w:val="auto"/>
        </w:rPr>
        <w:t>the parties hereto have caused this Agreement to be duly executed as of the date first above written.</w:t>
      </w:r>
    </w:p>
    <w:p>
      <w:pPr>
        <w:spacing w:after="0" w:line="31"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BORROWER:</w:t>
      </w:r>
    </w:p>
    <w:p>
      <w:pPr>
        <w:spacing w:after="0" w:line="138"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TANDEM DIABETES CARE, INC.</w:t>
      </w:r>
    </w:p>
    <w:p>
      <w:pPr>
        <w:spacing w:after="0" w:line="127" w:lineRule="exact"/>
        <w:rPr>
          <w:sz w:val="20"/>
          <w:szCs w:val="20"/>
          <w:color w:val="auto"/>
        </w:rPr>
      </w:pPr>
    </w:p>
    <w:p>
      <w:pPr>
        <w:ind w:left="10300"/>
        <w:spacing w:after="0"/>
        <w:rPr>
          <w:sz w:val="20"/>
          <w:szCs w:val="20"/>
          <w:color w:val="auto"/>
        </w:rPr>
      </w:pPr>
      <w:r>
        <w:rPr>
          <w:rFonts w:ascii="Arial" w:cs="Arial" w:eastAsia="Arial" w:hAnsi="Arial"/>
          <w:sz w:val="14"/>
          <w:szCs w:val="14"/>
          <w:u w:val="single" w:color="auto"/>
          <w:color w:val="auto"/>
        </w:rPr>
        <w:t>/s/ Leigh</w:t>
      </w:r>
    </w:p>
    <w:p>
      <w:pPr>
        <w:ind w:left="6440"/>
        <w:spacing w:after="0"/>
        <w:tabs>
          <w:tab w:leader="none" w:pos="6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A. Vosseller</w:t>
      </w:r>
    </w:p>
    <w:p>
      <w:pPr>
        <w:ind w:left="10300"/>
        <w:spacing w:after="0" w:line="221" w:lineRule="auto"/>
        <w:rPr>
          <w:sz w:val="20"/>
          <w:szCs w:val="20"/>
          <w:color w:val="auto"/>
        </w:rPr>
      </w:pPr>
      <w:r>
        <w:rPr>
          <w:rFonts w:ascii="Arial" w:cs="Arial" w:eastAsia="Arial" w:hAnsi="Arial"/>
          <w:sz w:val="14"/>
          <w:szCs w:val="14"/>
          <w:u w:val="single" w:color="auto"/>
          <w:color w:val="auto"/>
        </w:rPr>
        <w:t>Leigh A.</w:t>
      </w:r>
    </w:p>
    <w:p>
      <w:pPr>
        <w:ind w:left="644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Vosseller</w:t>
      </w:r>
    </w:p>
    <w:p>
      <w:pPr>
        <w:jc w:val="right"/>
        <w:spacing w:after="0" w:line="221" w:lineRule="auto"/>
        <w:rPr>
          <w:sz w:val="20"/>
          <w:szCs w:val="20"/>
          <w:color w:val="auto"/>
        </w:rPr>
      </w:pPr>
      <w:r>
        <w:rPr>
          <w:rFonts w:ascii="Arial" w:cs="Arial" w:eastAsia="Arial" w:hAnsi="Arial"/>
          <w:sz w:val="14"/>
          <w:szCs w:val="14"/>
          <w:color w:val="auto"/>
        </w:rPr>
        <w:t>Executive</w:t>
      </w:r>
    </w:p>
    <w:p>
      <w:pPr>
        <w:ind w:left="6440"/>
        <w:spacing w:after="0"/>
        <w:rPr>
          <w:sz w:val="20"/>
          <w:szCs w:val="20"/>
          <w:color w:val="auto"/>
        </w:rPr>
      </w:pPr>
      <w:r>
        <w:rPr>
          <w:rFonts w:ascii="Arial" w:cs="Arial" w:eastAsia="Arial" w:hAnsi="Arial"/>
          <w:sz w:val="14"/>
          <w:szCs w:val="14"/>
          <w:color w:val="auto"/>
        </w:rPr>
        <w:t>Title:  Vice President, CFO &amp; Treasurer</w:t>
      </w:r>
    </w:p>
    <w:p>
      <w:pPr>
        <w:spacing w:after="0" w:line="200" w:lineRule="exact"/>
        <w:rPr>
          <w:sz w:val="20"/>
          <w:szCs w:val="20"/>
          <w:color w:val="auto"/>
        </w:rPr>
      </w:pPr>
    </w:p>
    <w:p>
      <w:pPr>
        <w:spacing w:after="0" w:line="262"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GUARANTOR:</w:t>
      </w:r>
    </w:p>
    <w:p>
      <w:pPr>
        <w:spacing w:after="0" w:line="138"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SUGARMATE, LLC</w:t>
      </w:r>
    </w:p>
    <w:p>
      <w:pPr>
        <w:spacing w:after="0" w:line="127" w:lineRule="exact"/>
        <w:rPr>
          <w:sz w:val="20"/>
          <w:szCs w:val="20"/>
          <w:color w:val="auto"/>
        </w:rPr>
      </w:pPr>
    </w:p>
    <w:p>
      <w:pPr>
        <w:ind w:left="10300"/>
        <w:spacing w:after="0"/>
        <w:rPr>
          <w:sz w:val="20"/>
          <w:szCs w:val="20"/>
          <w:color w:val="auto"/>
        </w:rPr>
      </w:pPr>
      <w:r>
        <w:rPr>
          <w:rFonts w:ascii="Arial" w:cs="Arial" w:eastAsia="Arial" w:hAnsi="Arial"/>
          <w:sz w:val="14"/>
          <w:szCs w:val="14"/>
          <w:u w:val="single" w:color="auto"/>
          <w:color w:val="auto"/>
        </w:rPr>
        <w:t>/s/ Leigh</w:t>
      </w:r>
    </w:p>
    <w:p>
      <w:pPr>
        <w:ind w:left="6440"/>
        <w:spacing w:after="0"/>
        <w:tabs>
          <w:tab w:leader="none" w:pos="6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A. Vosseller</w:t>
      </w:r>
    </w:p>
    <w:p>
      <w:pPr>
        <w:ind w:left="10300"/>
        <w:spacing w:after="0" w:line="221" w:lineRule="auto"/>
        <w:rPr>
          <w:sz w:val="20"/>
          <w:szCs w:val="20"/>
          <w:color w:val="auto"/>
        </w:rPr>
      </w:pPr>
      <w:r>
        <w:rPr>
          <w:rFonts w:ascii="Arial" w:cs="Arial" w:eastAsia="Arial" w:hAnsi="Arial"/>
          <w:sz w:val="14"/>
          <w:szCs w:val="14"/>
          <w:u w:val="single" w:color="auto"/>
          <w:color w:val="auto"/>
        </w:rPr>
        <w:t>Leigh A.</w:t>
      </w:r>
    </w:p>
    <w:p>
      <w:pPr>
        <w:ind w:left="644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Vosseller</w:t>
      </w:r>
    </w:p>
    <w:p>
      <w:pPr>
        <w:jc w:val="right"/>
        <w:spacing w:after="0" w:line="221" w:lineRule="auto"/>
        <w:rPr>
          <w:sz w:val="20"/>
          <w:szCs w:val="20"/>
          <w:color w:val="auto"/>
        </w:rPr>
      </w:pPr>
      <w:r>
        <w:rPr>
          <w:rFonts w:ascii="Arial" w:cs="Arial" w:eastAsia="Arial" w:hAnsi="Arial"/>
          <w:sz w:val="14"/>
          <w:szCs w:val="14"/>
          <w:color w:val="auto"/>
        </w:rPr>
        <w:t>Executive</w:t>
      </w:r>
    </w:p>
    <w:p>
      <w:pPr>
        <w:ind w:left="6440"/>
        <w:spacing w:after="0"/>
        <w:rPr>
          <w:sz w:val="20"/>
          <w:szCs w:val="20"/>
          <w:color w:val="auto"/>
        </w:rPr>
      </w:pPr>
      <w:r>
        <w:rPr>
          <w:rFonts w:ascii="Arial" w:cs="Arial" w:eastAsia="Arial" w:hAnsi="Arial"/>
          <w:sz w:val="14"/>
          <w:szCs w:val="14"/>
          <w:color w:val="auto"/>
        </w:rPr>
        <w:t>Title:  Vice President, CFO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Arial" w:cs="Arial" w:eastAsia="Arial" w:hAnsi="Arial"/>
          <w:sz w:val="11"/>
          <w:szCs w:val="11"/>
          <w:color w:val="auto"/>
        </w:rPr>
        <w:t>128</w:t>
      </w:r>
    </w:p>
    <w:p>
      <w:pPr>
        <w:sectPr>
          <w:pgSz w:w="11900" w:h="16838" w:orient="portrait"/>
          <w:cols w:equalWidth="0" w:num="1">
            <w:col w:w="10860"/>
          </w:cols>
          <w:pgMar w:left="800" w:top="129" w:right="239" w:bottom="1440" w:gutter="0" w:footer="0" w:header="0"/>
        </w:sectPr>
      </w:pPr>
    </w:p>
    <w:bookmarkStart w:id="211" w:name="page212"/>
    <w:bookmarkEnd w:id="211"/>
    <w:p>
      <w:pPr>
        <w:ind w:left="9460"/>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BANK OF AMERICA, N.A.,</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as Administrative Agent</w:t>
      </w:r>
    </w:p>
    <w:p>
      <w:pPr>
        <w:spacing w:after="0" w:line="123" w:lineRule="exact"/>
        <w:rPr>
          <w:sz w:val="20"/>
          <w:szCs w:val="20"/>
          <w:color w:val="auto"/>
        </w:rPr>
      </w:pPr>
    </w:p>
    <w:p>
      <w:pPr>
        <w:ind w:left="9660"/>
        <w:spacing w:after="0"/>
        <w:rPr>
          <w:sz w:val="20"/>
          <w:szCs w:val="20"/>
          <w:color w:val="auto"/>
        </w:rPr>
      </w:pPr>
      <w:r>
        <w:rPr>
          <w:rFonts w:ascii="Arial" w:cs="Arial" w:eastAsia="Arial" w:hAnsi="Arial"/>
          <w:sz w:val="14"/>
          <w:szCs w:val="14"/>
          <w:u w:val="single" w:color="auto"/>
          <w:color w:val="auto"/>
        </w:rPr>
        <w:t>/s/</w:t>
      </w:r>
    </w:p>
    <w:p>
      <w:pPr>
        <w:ind w:left="5800"/>
        <w:spacing w:after="0"/>
        <w:tabs>
          <w:tab w:leader="none" w:pos="61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Sebastian Lurie</w:t>
      </w:r>
    </w:p>
    <w:p>
      <w:pPr>
        <w:jc w:val="right"/>
        <w:spacing w:after="0" w:line="221" w:lineRule="auto"/>
        <w:rPr>
          <w:sz w:val="20"/>
          <w:szCs w:val="20"/>
          <w:color w:val="auto"/>
        </w:rPr>
      </w:pPr>
      <w:r>
        <w:rPr>
          <w:rFonts w:ascii="Arial" w:cs="Arial" w:eastAsia="Arial" w:hAnsi="Arial"/>
          <w:sz w:val="14"/>
          <w:szCs w:val="14"/>
          <w:u w:val="single" w:color="auto"/>
          <w:color w:val="auto"/>
        </w:rPr>
        <w:t>Sebastian</w:t>
      </w:r>
    </w:p>
    <w:p>
      <w:pPr>
        <w:ind w:left="58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Lurie</w:t>
      </w:r>
    </w:p>
    <w:p>
      <w:pPr>
        <w:ind w:left="9660"/>
        <w:spacing w:after="0" w:line="221" w:lineRule="auto"/>
        <w:rPr>
          <w:sz w:val="20"/>
          <w:szCs w:val="20"/>
          <w:color w:val="auto"/>
        </w:rPr>
      </w:pPr>
      <w:r>
        <w:rPr>
          <w:rFonts w:ascii="Arial" w:cs="Arial" w:eastAsia="Arial" w:hAnsi="Arial"/>
          <w:sz w:val="14"/>
          <w:szCs w:val="14"/>
          <w:u w:val="single" w:color="auto"/>
          <w:color w:val="auto"/>
        </w:rPr>
        <w:t>Senior</w:t>
      </w:r>
    </w:p>
    <w:p>
      <w:pPr>
        <w:ind w:left="58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20"/>
        <w:spacing w:after="0"/>
        <w:rPr>
          <w:sz w:val="20"/>
          <w:szCs w:val="20"/>
          <w:color w:val="auto"/>
        </w:rPr>
      </w:pPr>
      <w:r>
        <w:rPr>
          <w:rFonts w:ascii="Arial" w:cs="Arial" w:eastAsia="Arial" w:hAnsi="Arial"/>
          <w:sz w:val="11"/>
          <w:szCs w:val="11"/>
          <w:color w:val="auto"/>
        </w:rPr>
        <w:t>129</w:t>
      </w:r>
    </w:p>
    <w:p>
      <w:pPr>
        <w:sectPr>
          <w:pgSz w:w="11900" w:h="16838" w:orient="portrait"/>
          <w:cols w:equalWidth="0" w:num="1">
            <w:col w:w="10200"/>
          </w:cols>
          <w:pgMar w:left="1440" w:top="129" w:right="259" w:bottom="1440" w:gutter="0" w:footer="0" w:header="0"/>
        </w:sectPr>
      </w:pPr>
    </w:p>
    <w:bookmarkStart w:id="212" w:name="page213"/>
    <w:bookmarkEnd w:id="212"/>
    <w:p>
      <w:pPr>
        <w:ind w:left="9460"/>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BANK OF AMERICA, N.A.,</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as a Lender, L/C Issuer and Swing Line Lender</w:t>
      </w:r>
    </w:p>
    <w:p>
      <w:pPr>
        <w:spacing w:after="0" w:line="123" w:lineRule="exact"/>
        <w:rPr>
          <w:sz w:val="20"/>
          <w:szCs w:val="20"/>
          <w:color w:val="auto"/>
        </w:rPr>
      </w:pPr>
    </w:p>
    <w:p>
      <w:pPr>
        <w:ind w:left="9660"/>
        <w:spacing w:after="0"/>
        <w:rPr>
          <w:sz w:val="20"/>
          <w:szCs w:val="20"/>
          <w:color w:val="auto"/>
        </w:rPr>
      </w:pPr>
      <w:r>
        <w:rPr>
          <w:rFonts w:ascii="Arial" w:cs="Arial" w:eastAsia="Arial" w:hAnsi="Arial"/>
          <w:sz w:val="14"/>
          <w:szCs w:val="14"/>
          <w:u w:val="single" w:color="auto"/>
          <w:color w:val="auto"/>
        </w:rPr>
        <w:t>/s/</w:t>
      </w:r>
    </w:p>
    <w:p>
      <w:pPr>
        <w:ind w:left="5800"/>
        <w:spacing w:after="0"/>
        <w:tabs>
          <w:tab w:leader="none" w:pos="61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Sebastian Lurie</w:t>
      </w:r>
    </w:p>
    <w:p>
      <w:pPr>
        <w:jc w:val="right"/>
        <w:spacing w:after="0" w:line="221" w:lineRule="auto"/>
        <w:rPr>
          <w:sz w:val="20"/>
          <w:szCs w:val="20"/>
          <w:color w:val="auto"/>
        </w:rPr>
      </w:pPr>
      <w:r>
        <w:rPr>
          <w:rFonts w:ascii="Arial" w:cs="Arial" w:eastAsia="Arial" w:hAnsi="Arial"/>
          <w:sz w:val="14"/>
          <w:szCs w:val="14"/>
          <w:u w:val="single" w:color="auto"/>
          <w:color w:val="auto"/>
        </w:rPr>
        <w:t>Sebastian</w:t>
      </w:r>
    </w:p>
    <w:p>
      <w:pPr>
        <w:ind w:left="58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Lurie</w:t>
      </w:r>
    </w:p>
    <w:p>
      <w:pPr>
        <w:ind w:left="9660"/>
        <w:spacing w:after="0" w:line="221" w:lineRule="auto"/>
        <w:rPr>
          <w:sz w:val="20"/>
          <w:szCs w:val="20"/>
          <w:color w:val="auto"/>
        </w:rPr>
      </w:pPr>
      <w:r>
        <w:rPr>
          <w:rFonts w:ascii="Arial" w:cs="Arial" w:eastAsia="Arial" w:hAnsi="Arial"/>
          <w:sz w:val="14"/>
          <w:szCs w:val="14"/>
          <w:u w:val="single" w:color="auto"/>
          <w:color w:val="auto"/>
        </w:rPr>
        <w:t>Senior</w:t>
      </w:r>
    </w:p>
    <w:p>
      <w:pPr>
        <w:ind w:left="58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20"/>
        <w:spacing w:after="0"/>
        <w:rPr>
          <w:sz w:val="20"/>
          <w:szCs w:val="20"/>
          <w:color w:val="auto"/>
        </w:rPr>
      </w:pPr>
      <w:r>
        <w:rPr>
          <w:rFonts w:ascii="Arial" w:cs="Arial" w:eastAsia="Arial" w:hAnsi="Arial"/>
          <w:sz w:val="11"/>
          <w:szCs w:val="11"/>
          <w:color w:val="auto"/>
        </w:rPr>
        <w:t>130</w:t>
      </w:r>
    </w:p>
    <w:p>
      <w:pPr>
        <w:sectPr>
          <w:pgSz w:w="11900" w:h="16838" w:orient="portrait"/>
          <w:cols w:equalWidth="0" w:num="1">
            <w:col w:w="10200"/>
          </w:cols>
          <w:pgMar w:left="1440" w:top="129" w:right="259" w:bottom="1440" w:gutter="0" w:footer="0" w:header="0"/>
        </w:sectPr>
      </w:pPr>
    </w:p>
    <w:bookmarkStart w:id="213" w:name="page214"/>
    <w:bookmarkEnd w:id="213"/>
    <w:p>
      <w:pPr>
        <w:spacing w:after="0" w:line="266" w:lineRule="auto"/>
        <w:rPr>
          <w:sz w:val="20"/>
          <w:szCs w:val="20"/>
          <w:color w:val="auto"/>
        </w:rPr>
      </w:pPr>
      <w:r>
        <w:rPr>
          <w:rFonts w:ascii="Arial" w:cs="Arial" w:eastAsia="Arial" w:hAnsi="Arial"/>
          <w:sz w:val="14"/>
          <w:szCs w:val="14"/>
          <w:b w:val="1"/>
          <w:bCs w:val="1"/>
          <w:i w:val="1"/>
          <w:iCs w:val="1"/>
          <w:color w:val="auto"/>
        </w:rPr>
        <w:t>[Certain confidential portions of this agreement (marked with [***]) have been redacted pursuant to Item 601(b)(10)(iv) of Regulation S-K because the Company has determined that such redacted information is (i) not material, and (ii) is the type of information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 INTELLECTUAL PROPERTY AGREEMENT</w:t>
      </w:r>
    </w:p>
    <w:p>
      <w:pPr>
        <w:spacing w:after="0" w:line="190" w:lineRule="exact"/>
        <w:rPr>
          <w:sz w:val="20"/>
          <w:szCs w:val="20"/>
          <w:color w:val="auto"/>
        </w:rPr>
      </w:pPr>
    </w:p>
    <w:p>
      <w:pPr>
        <w:ind w:right="20" w:firstLine="495"/>
        <w:spacing w:after="0" w:line="259" w:lineRule="auto"/>
        <w:rPr>
          <w:sz w:val="20"/>
          <w:szCs w:val="20"/>
          <w:color w:val="auto"/>
        </w:rPr>
      </w:pPr>
      <w:r>
        <w:rPr>
          <w:rFonts w:ascii="Arial" w:cs="Arial" w:eastAsia="Arial" w:hAnsi="Arial"/>
          <w:sz w:val="14"/>
          <w:szCs w:val="14"/>
          <w:color w:val="auto"/>
        </w:rPr>
        <w:t xml:space="preserve">This Intellectual Property Agreement is by and between </w:t>
      </w:r>
      <w:r>
        <w:rPr>
          <w:rFonts w:ascii="Arial" w:cs="Arial" w:eastAsia="Arial" w:hAnsi="Arial"/>
          <w:sz w:val="14"/>
          <w:szCs w:val="14"/>
          <w:b w:val="1"/>
          <w:bCs w:val="1"/>
          <w:color w:val="auto"/>
        </w:rPr>
        <w:t>TANDEM DIABETES CARE, INC.,</w:t>
      </w:r>
      <w:r>
        <w:rPr>
          <w:rFonts w:ascii="Arial" w:cs="Arial" w:eastAsia="Arial" w:hAnsi="Arial"/>
          <w:sz w:val="14"/>
          <w:szCs w:val="14"/>
          <w:color w:val="auto"/>
        </w:rPr>
        <w:t xml:space="preserve"> a Delaware corporation whose address and principal place of business is at 11045 Roselle Street, Suite 200, San Diego, California 92121, U.S.A. (“</w:t>
      </w:r>
      <w:r>
        <w:rPr>
          <w:rFonts w:ascii="Arial" w:cs="Arial" w:eastAsia="Arial" w:hAnsi="Arial"/>
          <w:sz w:val="14"/>
          <w:szCs w:val="14"/>
          <w:b w:val="1"/>
          <w:bCs w:val="1"/>
          <w:color w:val="auto"/>
        </w:rPr>
        <w:t>Tandem</w:t>
      </w:r>
      <w:r>
        <w:rPr>
          <w:rFonts w:ascii="Arial" w:cs="Arial" w:eastAsia="Arial" w:hAnsi="Arial"/>
          <w:sz w:val="14"/>
          <w:szCs w:val="14"/>
          <w:color w:val="auto"/>
        </w:rPr>
        <w:t xml:space="preserve">”) and </w:t>
      </w:r>
      <w:r>
        <w:rPr>
          <w:rFonts w:ascii="Arial" w:cs="Arial" w:eastAsia="Arial" w:hAnsi="Arial"/>
          <w:sz w:val="14"/>
          <w:szCs w:val="14"/>
          <w:b w:val="1"/>
          <w:bCs w:val="1"/>
          <w:color w:val="auto"/>
        </w:rPr>
        <w:t>SMITHS MEDICAL ASD, INC.</w:t>
      </w:r>
      <w:r>
        <w:rPr>
          <w:rFonts w:ascii="Arial" w:cs="Arial" w:eastAsia="Arial" w:hAnsi="Arial"/>
          <w:sz w:val="14"/>
          <w:szCs w:val="14"/>
          <w:color w:val="auto"/>
        </w:rPr>
        <w:t>, a Delaware corporation with an address and a principal place of business at 1265 Grey Fox Road, Saint Paul, Minnesota 55112, U.S.A. (“</w:t>
      </w:r>
      <w:r>
        <w:rPr>
          <w:rFonts w:ascii="Arial" w:cs="Arial" w:eastAsia="Arial" w:hAnsi="Arial"/>
          <w:sz w:val="14"/>
          <w:szCs w:val="14"/>
          <w:b w:val="1"/>
          <w:bCs w:val="1"/>
          <w:color w:val="auto"/>
        </w:rPr>
        <w:t>Smiths Medical</w:t>
      </w:r>
      <w:r>
        <w:rPr>
          <w:rFonts w:ascii="Arial" w:cs="Arial" w:eastAsia="Arial" w:hAnsi="Arial"/>
          <w:sz w:val="14"/>
          <w:szCs w:val="14"/>
          <w:color w:val="auto"/>
        </w:rPr>
        <w: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RECITALS</w:t>
      </w:r>
    </w:p>
    <w:p>
      <w:pPr>
        <w:spacing w:after="0" w:line="194" w:lineRule="exact"/>
        <w:rPr>
          <w:sz w:val="20"/>
          <w:szCs w:val="20"/>
          <w:color w:val="auto"/>
        </w:rPr>
      </w:pPr>
    </w:p>
    <w:p>
      <w:pPr>
        <w:ind w:left="500" w:hanging="497"/>
        <w:spacing w:after="0"/>
        <w:tabs>
          <w:tab w:leader="none" w:pos="50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Tandem desires to make, have made, use, sell, offer for sale, and/or import ambulatory infusion pumps and related software and accessories for the treatment of diabetes.</w:t>
      </w:r>
    </w:p>
    <w:p>
      <w:pPr>
        <w:spacing w:after="0" w:line="189" w:lineRule="exact"/>
        <w:rPr>
          <w:rFonts w:ascii="Arial" w:cs="Arial" w:eastAsia="Arial" w:hAnsi="Arial"/>
          <w:sz w:val="14"/>
          <w:szCs w:val="14"/>
          <w:color w:val="auto"/>
        </w:rPr>
      </w:pPr>
    </w:p>
    <w:p>
      <w:pPr>
        <w:ind w:left="480" w:hanging="477"/>
        <w:spacing w:after="0"/>
        <w:tabs>
          <w:tab w:leader="none" w:pos="48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Smiths Medical owns or otherwise has the right to sell and/or grant licenses to certain patents and patent applications relating to ambulatory infusion pumps and related software.</w:t>
      </w:r>
    </w:p>
    <w:p>
      <w:pPr>
        <w:spacing w:after="0" w:line="201" w:lineRule="exact"/>
        <w:rPr>
          <w:rFonts w:ascii="Arial" w:cs="Arial" w:eastAsia="Arial" w:hAnsi="Arial"/>
          <w:sz w:val="13"/>
          <w:szCs w:val="13"/>
          <w:color w:val="auto"/>
        </w:rPr>
      </w:pPr>
    </w:p>
    <w:p>
      <w:pPr>
        <w:ind w:left="500" w:right="180" w:hanging="497"/>
        <w:spacing w:after="0" w:line="266" w:lineRule="auto"/>
        <w:tabs>
          <w:tab w:leader="none" w:pos="49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Smiths Medical desires to grant to Tandem, and Tandem desires to obtain from Smiths Medical, certain rights as herein defined to patents and patent applications relating to ambulatory infusion pumps and related software.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In consideration of these premises and of the mutual promises set forth below, and for other good and valuable consideration, the adequacy of which are hereby acknowledged, the Parties to this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Agreement agree as follows:</w:t>
      </w:r>
    </w:p>
    <w:p>
      <w:pPr>
        <w:spacing w:after="0" w:line="176" w:lineRule="exact"/>
        <w:rPr>
          <w:sz w:val="20"/>
          <w:szCs w:val="20"/>
          <w:color w:val="auto"/>
        </w:rPr>
      </w:pPr>
    </w:p>
    <w:p>
      <w:pPr>
        <w:ind w:left="4720" w:hanging="246"/>
        <w:spacing w:after="0"/>
        <w:tabs>
          <w:tab w:leader="none" w:pos="4720" w:val="left"/>
        </w:tabs>
        <w:numPr>
          <w:ilvl w:val="0"/>
          <w:numId w:val="17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PARTICULAR DEFINITIONS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For purposes of this Agreement, the terms defined in this Article shall have the meaning specified and shall be applicable to both the singular and plural forms wherever used in this Agreement.</w:t>
      </w:r>
    </w:p>
    <w:p>
      <w:pPr>
        <w:spacing w:after="0" w:line="220" w:lineRule="exact"/>
        <w:rPr>
          <w:sz w:val="20"/>
          <w:szCs w:val="20"/>
          <w:color w:val="auto"/>
        </w:rPr>
      </w:pPr>
    </w:p>
    <w:p>
      <w:pPr>
        <w:ind w:firstLine="495"/>
        <w:spacing w:after="0" w:line="274" w:lineRule="auto"/>
        <w:rPr>
          <w:sz w:val="20"/>
          <w:szCs w:val="20"/>
          <w:color w:val="auto"/>
        </w:rPr>
      </w:pPr>
      <w:r>
        <w:rPr>
          <w:rFonts w:ascii="Arial" w:cs="Arial" w:eastAsia="Arial" w:hAnsi="Arial"/>
          <w:sz w:val="13"/>
          <w:szCs w:val="13"/>
          <w:color w:val="auto"/>
        </w:rPr>
        <w:t>1.1 “</w:t>
      </w:r>
      <w:r>
        <w:rPr>
          <w:rFonts w:ascii="Arial" w:cs="Arial" w:eastAsia="Arial" w:hAnsi="Arial"/>
          <w:sz w:val="13"/>
          <w:szCs w:val="13"/>
          <w:b w:val="1"/>
          <w:bCs w:val="1"/>
          <w:color w:val="auto"/>
        </w:rPr>
        <w:t>Additional Patent Rights</w:t>
      </w:r>
      <w:r>
        <w:rPr>
          <w:rFonts w:ascii="Arial" w:cs="Arial" w:eastAsia="Arial" w:hAnsi="Arial"/>
          <w:sz w:val="13"/>
          <w:szCs w:val="13"/>
          <w:color w:val="auto"/>
        </w:rPr>
        <w:t>” shall mean each claim of patents and each claim of patent applications, other than the Patent Rights, wherein such patents or patent applications are owned by Licensor and/or its Affiliates as of the Effective Date, and also including (i) all continuing applications of such patents and patent applications including continuations, continuations in part, divisions and substitutions; (ii) any patents issuing on any of the foregoing, including all reexaminations, reissues, and extensions; (iii) all foreign patent applications and patents corresponding to any of the foregoing, and (iv) any patents or patent applications claiming priority to any of the foregoing, but in each case (</w:t>
      </w:r>
      <w:r>
        <w:rPr>
          <w:rFonts w:ascii="Arial" w:cs="Arial" w:eastAsia="Arial" w:hAnsi="Arial"/>
          <w:sz w:val="13"/>
          <w:szCs w:val="13"/>
          <w:i w:val="1"/>
          <w:iCs w:val="1"/>
          <w:color w:val="auto"/>
        </w:rPr>
        <w:t>i.e.</w:t>
      </w:r>
      <w:r>
        <w:rPr>
          <w:rFonts w:ascii="Arial" w:cs="Arial" w:eastAsia="Arial" w:hAnsi="Arial"/>
          <w:sz w:val="13"/>
          <w:szCs w:val="13"/>
          <w:color w:val="auto"/>
        </w:rPr>
        <w:t>, of (i), (ii), (iii), and (iv)) only to the extent that such patents Cover (in the case of such patents) or would Cover (in the case of such patent applications), all solely within the Field of Use, the following: (a) Licensee’s t:slim® Insulin Delivery System, [***], and its designs, and (b) the following additional products and their designs that are owned and in development by Licensee [***]:</w:t>
      </w:r>
    </w:p>
    <w:p>
      <w:pPr>
        <w:spacing w:after="0" w:line="151" w:lineRule="exact"/>
        <w:rPr>
          <w:sz w:val="20"/>
          <w:szCs w:val="20"/>
          <w:color w:val="auto"/>
        </w:rPr>
      </w:pPr>
    </w:p>
    <w:p>
      <w:pPr>
        <w:ind w:left="1240" w:hanging="247"/>
        <w:spacing w:after="0"/>
        <w:tabs>
          <w:tab w:leader="none" w:pos="124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therapy management software (“t:Connect</w:t>
      </w:r>
      <w:r>
        <w:rPr>
          <w:rFonts w:ascii="Arial" w:cs="Arial" w:eastAsia="Arial" w:hAnsi="Arial"/>
          <w:sz w:val="17"/>
          <w:szCs w:val="17"/>
          <w:color w:val="auto"/>
          <w:vertAlign w:val="superscript"/>
        </w:rPr>
        <w:t>TM</w:t>
      </w:r>
      <w:r>
        <w:rPr>
          <w:rFonts w:ascii="Arial" w:cs="Arial" w:eastAsia="Arial" w:hAnsi="Arial"/>
          <w:sz w:val="14"/>
          <w:szCs w:val="14"/>
          <w:color w:val="auto"/>
        </w:rPr>
        <w:t>”);</w:t>
      </w:r>
    </w:p>
    <w:p>
      <w:pPr>
        <w:spacing w:after="0" w:line="159" w:lineRule="exact"/>
        <w:rPr>
          <w:rFonts w:ascii="Arial" w:cs="Arial" w:eastAsia="Arial" w:hAnsi="Arial"/>
          <w:sz w:val="14"/>
          <w:szCs w:val="14"/>
          <w:color w:val="auto"/>
        </w:rPr>
      </w:pPr>
    </w:p>
    <w:p>
      <w:pPr>
        <w:ind w:left="1240" w:right="340" w:hanging="247"/>
        <w:spacing w:after="0" w:line="266" w:lineRule="auto"/>
        <w:tabs>
          <w:tab w:leader="none" w:pos="123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an insulin delivery system including a pump with an enhanced capacity for delivering larger quantities of insulin (e.g., 500 units) relative to the t:slim® Insulin Delivery System (“t:flex™”);</w:t>
      </w:r>
    </w:p>
    <w:p>
      <w:pPr>
        <w:spacing w:after="0" w:line="158" w:lineRule="exact"/>
        <w:rPr>
          <w:rFonts w:ascii="Arial" w:cs="Arial" w:eastAsia="Arial" w:hAnsi="Arial"/>
          <w:sz w:val="14"/>
          <w:szCs w:val="14"/>
          <w:color w:val="auto"/>
        </w:rPr>
      </w:pPr>
    </w:p>
    <w:p>
      <w:pPr>
        <w:ind w:left="1240" w:hanging="247"/>
        <w:spacing w:after="0"/>
        <w:tabs>
          <w:tab w:leader="none" w:pos="12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an insulin delivery system including a pump having two or more chambers for delivering one or more additional types of medicament in addition to insulin (“t:dual™”); and</w:t>
      </w:r>
    </w:p>
    <w:p>
      <w:pPr>
        <w:spacing w:after="0" w:line="201" w:lineRule="exact"/>
        <w:rPr>
          <w:rFonts w:ascii="Arial" w:cs="Arial" w:eastAsia="Arial" w:hAnsi="Arial"/>
          <w:sz w:val="13"/>
          <w:szCs w:val="13"/>
          <w:color w:val="auto"/>
        </w:rPr>
      </w:pPr>
    </w:p>
    <w:p>
      <w:pPr>
        <w:ind w:left="1240" w:hanging="247"/>
        <w:spacing w:after="0"/>
        <w:tabs>
          <w:tab w:leader="none" w:pos="124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an insulin delivery system including a pump and an accompanying but separate (remote) control unit (t:sport™);</w:t>
      </w:r>
    </w:p>
    <w:p>
      <w:pPr>
        <w:sectPr>
          <w:pgSz w:w="11900" w:h="16838" w:orient="portrait"/>
          <w:cols w:equalWidth="0" w:num="1">
            <w:col w:w="11280"/>
          </w:cols>
          <w:pgMar w:left="300" w:top="129" w:right="319" w:bottom="1440" w:gutter="0" w:footer="0" w:header="0"/>
        </w:sectPr>
      </w:pPr>
    </w:p>
    <w:bookmarkStart w:id="214" w:name="page215"/>
    <w:bookmarkEnd w:id="214"/>
    <w:p>
      <w:pPr>
        <w:ind w:right="120"/>
        <w:spacing w:after="0" w:line="280" w:lineRule="auto"/>
        <w:rPr>
          <w:sz w:val="20"/>
          <w:szCs w:val="20"/>
          <w:color w:val="auto"/>
        </w:rPr>
      </w:pPr>
      <w:r>
        <w:rPr>
          <w:rFonts w:ascii="Arial" w:cs="Arial" w:eastAsia="Arial" w:hAnsi="Arial"/>
          <w:sz w:val="13"/>
          <w:szCs w:val="13"/>
          <w:color w:val="auto"/>
        </w:rPr>
        <w:t>((a) and (b) collectively, the “</w:t>
      </w:r>
      <w:r>
        <w:rPr>
          <w:rFonts w:ascii="Arial" w:cs="Arial" w:eastAsia="Arial" w:hAnsi="Arial"/>
          <w:sz w:val="13"/>
          <w:szCs w:val="13"/>
          <w:b w:val="1"/>
          <w:bCs w:val="1"/>
          <w:color w:val="auto"/>
        </w:rPr>
        <w:t>Permitted Products</w:t>
      </w:r>
      <w:r>
        <w:rPr>
          <w:rFonts w:ascii="Arial" w:cs="Arial" w:eastAsia="Arial" w:hAnsi="Arial"/>
          <w:sz w:val="13"/>
          <w:szCs w:val="13"/>
          <w:color w:val="auto"/>
        </w:rPr>
        <w:t>”). Licensee’s trademarks T:CONNECT, T:FLEX, T:DUAL and T:SPORT listed above (the “</w:t>
      </w:r>
      <w:r>
        <w:rPr>
          <w:rFonts w:ascii="Arial" w:cs="Arial" w:eastAsia="Arial" w:hAnsi="Arial"/>
          <w:sz w:val="13"/>
          <w:szCs w:val="13"/>
          <w:b w:val="1"/>
          <w:bCs w:val="1"/>
          <w:color w:val="auto"/>
        </w:rPr>
        <w:t>New Product Trademarks</w:t>
      </w:r>
      <w:r>
        <w:rPr>
          <w:rFonts w:ascii="Arial" w:cs="Arial" w:eastAsia="Arial" w:hAnsi="Arial"/>
          <w:sz w:val="13"/>
          <w:szCs w:val="13"/>
          <w:color w:val="auto"/>
        </w:rPr>
        <w:t>”) are understood by the Parties only to be references to the described products and designs still under development for which they are listed as of the Effective Date. The New Product Trademarks are not meant to limit in any way the substantive elements of the products and designs for which they are listed. Any or all of the New Product Trademarks may be changed by Licensee in its sole judgment at any time without removing such products and designs from Additional Patent Rights. Licensee agrees to notify Licensor if any of the New Product Trademarks are replaced or materially modified.</w:t>
      </w:r>
    </w:p>
    <w:p>
      <w:pPr>
        <w:spacing w:after="0" w:line="148" w:lineRule="exact"/>
        <w:rPr>
          <w:sz w:val="20"/>
          <w:szCs w:val="20"/>
          <w:color w:val="auto"/>
        </w:rPr>
      </w:pPr>
    </w:p>
    <w:p>
      <w:pPr>
        <w:ind w:firstLine="495"/>
        <w:spacing w:after="0" w:line="276" w:lineRule="auto"/>
        <w:rPr>
          <w:sz w:val="20"/>
          <w:szCs w:val="20"/>
          <w:color w:val="auto"/>
        </w:rPr>
      </w:pPr>
      <w:r>
        <w:rPr>
          <w:rFonts w:ascii="Arial" w:cs="Arial" w:eastAsia="Arial" w:hAnsi="Arial"/>
          <w:sz w:val="13"/>
          <w:szCs w:val="13"/>
          <w:color w:val="auto"/>
        </w:rPr>
        <w:t>1.2 “</w:t>
      </w:r>
      <w:r>
        <w:rPr>
          <w:rFonts w:ascii="Arial" w:cs="Arial" w:eastAsia="Arial" w:hAnsi="Arial"/>
          <w:sz w:val="13"/>
          <w:szCs w:val="13"/>
          <w:b w:val="1"/>
          <w:bCs w:val="1"/>
          <w:color w:val="auto"/>
        </w:rPr>
        <w:t>Affiliate</w:t>
      </w:r>
      <w:r>
        <w:rPr>
          <w:rFonts w:ascii="Arial" w:cs="Arial" w:eastAsia="Arial" w:hAnsi="Arial"/>
          <w:sz w:val="13"/>
          <w:szCs w:val="13"/>
          <w:color w:val="auto"/>
        </w:rPr>
        <w:t>” shall mean any individual who, or Entity that, in whatever country organized or resident, directly or indirectly, Controls, is Controlled by, or is under common Control with, a Party. For the purposes of this definition, “Control” means that an individual or Entity (a) possesses directly or indirectly the power to direct or cause the direction of the management and policies of the other person, individual or Entity, whether through the ownership of voting shares, by contract or otherwise; or (b) directly or indirectly has at least a fifty percent (50%) ownership or voting rights interest (whether through stock ownership, stock power, voting proxy, or otherwise), or has the maximum ownership interest that it is permitted to have in the country where such Entity exists; and (c) in either case only for so long as such Control shall continue; and “Controls” and “Controlled” shall be interpreted accordingly.</w:t>
      </w:r>
    </w:p>
    <w:p>
      <w:pPr>
        <w:spacing w:after="0" w:line="15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Agreement</w:t>
      </w:r>
      <w:r>
        <w:rPr>
          <w:rFonts w:ascii="Arial" w:cs="Arial" w:eastAsia="Arial" w:hAnsi="Arial"/>
          <w:sz w:val="11"/>
          <w:szCs w:val="11"/>
          <w:color w:val="auto"/>
        </w:rPr>
        <w:t>” shall mean this Confidential Intellectual Property Agreement, any exhibit thereto, and any modification or amendment thereto that is made in the manner provided for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herein.</w:t>
      </w:r>
    </w:p>
    <w:p>
      <w:pPr>
        <w:spacing w:after="0" w:line="176" w:lineRule="exact"/>
        <w:rPr>
          <w:sz w:val="20"/>
          <w:szCs w:val="20"/>
          <w:color w:val="auto"/>
        </w:rPr>
      </w:pPr>
    </w:p>
    <w:p>
      <w:pPr>
        <w:ind w:right="100" w:firstLine="495"/>
        <w:spacing w:after="0" w:line="254" w:lineRule="auto"/>
        <w:rPr>
          <w:sz w:val="20"/>
          <w:szCs w:val="20"/>
          <w:color w:val="auto"/>
        </w:rPr>
      </w:pPr>
      <w:r>
        <w:rPr>
          <w:rFonts w:ascii="Arial" w:cs="Arial" w:eastAsia="Arial" w:hAnsi="Arial"/>
          <w:sz w:val="14"/>
          <w:szCs w:val="14"/>
          <w:color w:val="auto"/>
        </w:rPr>
        <w:t>1.4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shall mean, with respect to a Party (the “</w:t>
      </w:r>
      <w:r>
        <w:rPr>
          <w:rFonts w:ascii="Arial" w:cs="Arial" w:eastAsia="Arial" w:hAnsi="Arial"/>
          <w:sz w:val="14"/>
          <w:szCs w:val="14"/>
          <w:b w:val="1"/>
          <w:bCs w:val="1"/>
          <w:color w:val="auto"/>
        </w:rPr>
        <w:t>Receiving Party</w:t>
      </w:r>
      <w:r>
        <w:rPr>
          <w:rFonts w:ascii="Arial" w:cs="Arial" w:eastAsia="Arial" w:hAnsi="Arial"/>
          <w:sz w:val="14"/>
          <w:szCs w:val="14"/>
          <w:color w:val="auto"/>
        </w:rPr>
        <w:t>”), all information and materials that are (i) disclosed by the other Party (the “</w:t>
      </w:r>
      <w:r>
        <w:rPr>
          <w:rFonts w:ascii="Arial" w:cs="Arial" w:eastAsia="Arial" w:hAnsi="Arial"/>
          <w:sz w:val="14"/>
          <w:szCs w:val="14"/>
          <w:b w:val="1"/>
          <w:bCs w:val="1"/>
          <w:color w:val="auto"/>
        </w:rPr>
        <w:t>Disclosing Party</w:t>
      </w:r>
      <w:r>
        <w:rPr>
          <w:rFonts w:ascii="Arial" w:cs="Arial" w:eastAsia="Arial" w:hAnsi="Arial"/>
          <w:sz w:val="14"/>
          <w:szCs w:val="14"/>
          <w:color w:val="auto"/>
        </w:rPr>
        <w:t>”) to the Receiving Party hereunder and (ii) would be reasonably understood from notices or legends, the nature of such information itself or the circumstances of such information’s disclosure to be confidential by a reasonable person familiar with the applicable industry. The terms of this Agreement comprise each Party’s Confidential Information. For the avoidance of doubt, all information relating to [***] comprise Licensor’s Confidential Information.</w:t>
      </w:r>
    </w:p>
    <w:p>
      <w:pPr>
        <w:spacing w:after="0" w:line="164" w:lineRule="exact"/>
        <w:rPr>
          <w:sz w:val="20"/>
          <w:szCs w:val="20"/>
          <w:color w:val="auto"/>
        </w:rPr>
      </w:pPr>
    </w:p>
    <w:p>
      <w:pPr>
        <w:ind w:right="400" w:firstLine="495"/>
        <w:spacing w:after="0" w:line="272" w:lineRule="auto"/>
        <w:rPr>
          <w:sz w:val="20"/>
          <w:szCs w:val="20"/>
          <w:color w:val="auto"/>
        </w:rPr>
      </w:pPr>
      <w:r>
        <w:rPr>
          <w:rFonts w:ascii="Arial" w:cs="Arial" w:eastAsia="Arial" w:hAnsi="Arial"/>
          <w:sz w:val="14"/>
          <w:szCs w:val="14"/>
          <w:color w:val="auto"/>
        </w:rPr>
        <w:t>1.5 “</w:t>
      </w:r>
      <w:r>
        <w:rPr>
          <w:rFonts w:ascii="Arial" w:cs="Arial" w:eastAsia="Arial" w:hAnsi="Arial"/>
          <w:sz w:val="14"/>
          <w:szCs w:val="14"/>
          <w:b w:val="1"/>
          <w:bCs w:val="1"/>
          <w:color w:val="auto"/>
        </w:rPr>
        <w:t>Cover</w:t>
      </w:r>
      <w:r>
        <w:rPr>
          <w:rFonts w:ascii="Arial" w:cs="Arial" w:eastAsia="Arial" w:hAnsi="Arial"/>
          <w:sz w:val="14"/>
          <w:szCs w:val="14"/>
          <w:color w:val="auto"/>
        </w:rPr>
        <w:t>” (in all its verb and adjectival forms, such as “Covered” and “Covers”) shall mean that, in the absence of a license, the use, sale, offer for sale, manufacture or import of the product or service in question by Licensee or its Affiliates would infringe one of Licensor’s patents.</w:t>
      </w:r>
    </w:p>
    <w:p>
      <w:pPr>
        <w:spacing w:after="0" w:line="15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Effective Date</w:t>
      </w:r>
      <w:r>
        <w:rPr>
          <w:rFonts w:ascii="Arial" w:cs="Arial" w:eastAsia="Arial" w:hAnsi="Arial"/>
          <w:sz w:val="11"/>
          <w:szCs w:val="11"/>
          <w:color w:val="auto"/>
        </w:rPr>
        <w:t>” shall mean July 10, 2012.</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Entity</w:t>
      </w:r>
      <w:r>
        <w:rPr>
          <w:rFonts w:ascii="Arial" w:cs="Arial" w:eastAsia="Arial" w:hAnsi="Arial"/>
          <w:sz w:val="11"/>
          <w:szCs w:val="11"/>
          <w:color w:val="auto"/>
        </w:rPr>
        <w:t>” shall mean any corporation, firm, partnership, proprietorship, or other form of business organization.</w:t>
      </w:r>
    </w:p>
    <w:p>
      <w:pPr>
        <w:spacing w:after="0" w:line="19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Field of Use</w:t>
      </w:r>
      <w:r>
        <w:rPr>
          <w:rFonts w:ascii="Arial" w:cs="Arial" w:eastAsia="Arial" w:hAnsi="Arial"/>
          <w:sz w:val="11"/>
          <w:szCs w:val="11"/>
          <w:color w:val="auto"/>
        </w:rPr>
        <w:t>” shall mean ambulatory infusion pump systems and related software and accessories for the treatment of diabetes.</w:t>
      </w:r>
    </w:p>
    <w:p>
      <w:pPr>
        <w:spacing w:after="0" w:line="19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Licensor</w:t>
      </w:r>
      <w:r>
        <w:rPr>
          <w:rFonts w:ascii="Arial" w:cs="Arial" w:eastAsia="Arial" w:hAnsi="Arial"/>
          <w:sz w:val="11"/>
          <w:szCs w:val="11"/>
          <w:color w:val="auto"/>
        </w:rPr>
        <w:t>” shall mean Smiths Medical.</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Licensee</w:t>
      </w:r>
      <w:r>
        <w:rPr>
          <w:rFonts w:ascii="Arial" w:cs="Arial" w:eastAsia="Arial" w:hAnsi="Arial"/>
          <w:sz w:val="11"/>
          <w:szCs w:val="11"/>
          <w:color w:val="auto"/>
        </w:rPr>
        <w:t>” shall mean Tandem.</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Licensed Patents</w:t>
      </w:r>
      <w:r>
        <w:rPr>
          <w:rFonts w:ascii="Arial" w:cs="Arial" w:eastAsia="Arial" w:hAnsi="Arial"/>
          <w:sz w:val="11"/>
          <w:szCs w:val="11"/>
          <w:color w:val="auto"/>
        </w:rPr>
        <w:t>” shall mean, collectively, the Exhibit B Patent Rights and the Exhibit C Patent Rights.</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Licensed Product</w:t>
      </w:r>
      <w:r>
        <w:rPr>
          <w:rFonts w:ascii="Arial" w:cs="Arial" w:eastAsia="Arial" w:hAnsi="Arial"/>
          <w:sz w:val="11"/>
          <w:szCs w:val="11"/>
          <w:color w:val="auto"/>
        </w:rPr>
        <w:t>” shall mean any product or service that is Covered by the Exhibit B Patent Rights and Exhibit C Patent Rights.</w:t>
      </w:r>
    </w:p>
    <w:p>
      <w:pPr>
        <w:spacing w:after="0" w:line="190" w:lineRule="exact"/>
        <w:rPr>
          <w:sz w:val="20"/>
          <w:szCs w:val="20"/>
          <w:color w:val="auto"/>
        </w:rPr>
      </w:pPr>
    </w:p>
    <w:p>
      <w:pPr>
        <w:ind w:right="480" w:firstLine="495"/>
        <w:spacing w:after="0" w:line="272" w:lineRule="auto"/>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color w:val="auto"/>
        </w:rPr>
        <w:t>Party</w:t>
      </w:r>
      <w:r>
        <w:rPr>
          <w:rFonts w:ascii="Arial" w:cs="Arial" w:eastAsia="Arial" w:hAnsi="Arial"/>
          <w:sz w:val="14"/>
          <w:szCs w:val="14"/>
          <w:color w:val="auto"/>
        </w:rPr>
        <w:t>” and “</w:t>
      </w:r>
      <w:r>
        <w:rPr>
          <w:rFonts w:ascii="Arial" w:cs="Arial" w:eastAsia="Arial" w:hAnsi="Arial"/>
          <w:sz w:val="14"/>
          <w:szCs w:val="14"/>
          <w:b w:val="1"/>
          <w:bCs w:val="1"/>
          <w:color w:val="auto"/>
        </w:rPr>
        <w:t>Parties</w:t>
      </w:r>
      <w:r>
        <w:rPr>
          <w:rFonts w:ascii="Arial" w:cs="Arial" w:eastAsia="Arial" w:hAnsi="Arial"/>
          <w:sz w:val="14"/>
          <w:szCs w:val="14"/>
          <w:color w:val="auto"/>
        </w:rPr>
        <w:t>” shall mean, as applicable, either: (a) Licensor, and/or (b) Licensee, either individually or collectively. An Affiliate of either Party shall mean, as applicable, Licensor Affiliate or Licensee Affiliate.</w:t>
      </w:r>
    </w:p>
    <w:p>
      <w:pPr>
        <w:sectPr>
          <w:pgSz w:w="11900" w:h="16838" w:orient="portrait"/>
          <w:cols w:equalWidth="0" w:num="1">
            <w:col w:w="11280"/>
          </w:cols>
          <w:pgMar w:left="300" w:top="1115" w:right="319" w:bottom="1440" w:gutter="0" w:footer="0" w:header="0"/>
        </w:sectPr>
      </w:pPr>
    </w:p>
    <w:bookmarkStart w:id="215" w:name="page216"/>
    <w:bookmarkEnd w:id="215"/>
    <w:p>
      <w:pPr>
        <w:ind w:right="60" w:firstLine="495"/>
        <w:spacing w:after="0" w:line="259"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Patent Rights</w:t>
      </w:r>
      <w:r>
        <w:rPr>
          <w:rFonts w:ascii="Arial" w:cs="Arial" w:eastAsia="Arial" w:hAnsi="Arial"/>
          <w:sz w:val="14"/>
          <w:szCs w:val="14"/>
          <w:color w:val="auto"/>
        </w:rPr>
        <w:t xml:space="preserve">” shall mean the patents and patent applications listed in </w:t>
      </w:r>
      <w:r>
        <w:rPr>
          <w:rFonts w:ascii="Arial" w:cs="Arial" w:eastAsia="Arial" w:hAnsi="Arial"/>
          <w:sz w:val="14"/>
          <w:szCs w:val="14"/>
          <w:b w:val="1"/>
          <w:bCs w:val="1"/>
          <w:i w:val="1"/>
          <w:iCs w:val="1"/>
          <w:color w:val="auto"/>
        </w:rPr>
        <w:t>Exhibits A</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i w:val="1"/>
          <w:iCs w:val="1"/>
          <w:color w:val="auto"/>
        </w:rPr>
        <w:t>C</w:t>
      </w:r>
      <w:r>
        <w:rPr>
          <w:rFonts w:ascii="Arial" w:cs="Arial" w:eastAsia="Arial" w:hAnsi="Arial"/>
          <w:sz w:val="14"/>
          <w:szCs w:val="14"/>
          <w:color w:val="auto"/>
        </w:rPr>
        <w:t xml:space="preserve">. The patents and patent applications listed in </w:t>
      </w:r>
      <w:r>
        <w:rPr>
          <w:rFonts w:ascii="Arial" w:cs="Arial" w:eastAsia="Arial" w:hAnsi="Arial"/>
          <w:sz w:val="14"/>
          <w:szCs w:val="14"/>
          <w:b w:val="1"/>
          <w:bCs w:val="1"/>
          <w:i w:val="1"/>
          <w:iCs w:val="1"/>
          <w:color w:val="auto"/>
        </w:rPr>
        <w:t>Exhibit A</w:t>
      </w:r>
      <w:r>
        <w:rPr>
          <w:rFonts w:ascii="Arial" w:cs="Arial" w:eastAsia="Arial" w:hAnsi="Arial"/>
          <w:sz w:val="14"/>
          <w:szCs w:val="14"/>
          <w:color w:val="auto"/>
        </w:rPr>
        <w:t xml:space="preserve"> and any and all of their foreign counterparts that have not been abandoned are collectively referred to as the “</w:t>
      </w:r>
      <w:r>
        <w:rPr>
          <w:rFonts w:ascii="Arial" w:cs="Arial" w:eastAsia="Arial" w:hAnsi="Arial"/>
          <w:sz w:val="14"/>
          <w:szCs w:val="14"/>
          <w:b w:val="1"/>
          <w:bCs w:val="1"/>
          <w:color w:val="auto"/>
        </w:rPr>
        <w:t>Assigned Patent Rights</w:t>
      </w:r>
      <w:r>
        <w:rPr>
          <w:rFonts w:ascii="Arial" w:cs="Arial" w:eastAsia="Arial" w:hAnsi="Arial"/>
          <w:sz w:val="14"/>
          <w:szCs w:val="14"/>
          <w:color w:val="auto"/>
        </w:rPr>
        <w:t xml:space="preserve">”; the patents and patent applications listed in </w:t>
      </w:r>
      <w:r>
        <w:rPr>
          <w:rFonts w:ascii="Arial" w:cs="Arial" w:eastAsia="Arial" w:hAnsi="Arial"/>
          <w:sz w:val="14"/>
          <w:szCs w:val="14"/>
          <w:b w:val="1"/>
          <w:bCs w:val="1"/>
          <w:i w:val="1"/>
          <w:iCs w:val="1"/>
          <w:color w:val="auto"/>
        </w:rPr>
        <w:t>Exhibit B</w:t>
      </w:r>
      <w:r>
        <w:rPr>
          <w:rFonts w:ascii="Arial" w:cs="Arial" w:eastAsia="Arial" w:hAnsi="Arial"/>
          <w:sz w:val="14"/>
          <w:szCs w:val="14"/>
          <w:color w:val="auto"/>
        </w:rPr>
        <w:t xml:space="preserve"> are collectively referred to as the “</w:t>
      </w:r>
      <w:r>
        <w:rPr>
          <w:rFonts w:ascii="Arial" w:cs="Arial" w:eastAsia="Arial" w:hAnsi="Arial"/>
          <w:sz w:val="14"/>
          <w:szCs w:val="14"/>
          <w:b w:val="1"/>
          <w:bCs w:val="1"/>
          <w:color w:val="auto"/>
        </w:rPr>
        <w:t>Exhibit B</w:t>
      </w:r>
      <w:r>
        <w:rPr>
          <w:rFonts w:ascii="Arial" w:cs="Arial" w:eastAsia="Arial" w:hAnsi="Arial"/>
          <w:sz w:val="14"/>
          <w:szCs w:val="14"/>
          <w:color w:val="auto"/>
        </w:rPr>
        <w:t xml:space="preserve"> </w:t>
      </w:r>
      <w:r>
        <w:rPr>
          <w:rFonts w:ascii="Arial" w:cs="Arial" w:eastAsia="Arial" w:hAnsi="Arial"/>
          <w:sz w:val="14"/>
          <w:szCs w:val="14"/>
          <w:b w:val="1"/>
          <w:bCs w:val="1"/>
          <w:color w:val="auto"/>
        </w:rPr>
        <w:t>Patent Rights</w:t>
      </w:r>
      <w:r>
        <w:rPr>
          <w:rFonts w:ascii="Arial" w:cs="Arial" w:eastAsia="Arial" w:hAnsi="Arial"/>
          <w:sz w:val="14"/>
          <w:szCs w:val="14"/>
          <w:color w:val="auto"/>
        </w:rPr>
        <w:t>”; and the patents and patent applications listed in</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Exhibit C</w:t>
      </w:r>
      <w:r>
        <w:rPr>
          <w:rFonts w:ascii="Arial" w:cs="Arial" w:eastAsia="Arial" w:hAnsi="Arial"/>
          <w:sz w:val="14"/>
          <w:szCs w:val="14"/>
          <w:b w:val="1"/>
          <w:bCs w:val="1"/>
          <w:color w:val="auto"/>
        </w:rPr>
        <w:t xml:space="preserve"> </w:t>
      </w:r>
      <w:r>
        <w:rPr>
          <w:rFonts w:ascii="Arial" w:cs="Arial" w:eastAsia="Arial" w:hAnsi="Arial"/>
          <w:sz w:val="14"/>
          <w:szCs w:val="14"/>
          <w:color w:val="auto"/>
        </w:rPr>
        <w:t>are collectively referred to as the “</w:t>
      </w:r>
      <w:r>
        <w:rPr>
          <w:rFonts w:ascii="Arial" w:cs="Arial" w:eastAsia="Arial" w:hAnsi="Arial"/>
          <w:sz w:val="14"/>
          <w:szCs w:val="14"/>
          <w:b w:val="1"/>
          <w:bCs w:val="1"/>
          <w:color w:val="auto"/>
        </w:rPr>
        <w:t>Exhibit C Patent Rights</w:t>
      </w:r>
      <w:r>
        <w:rPr>
          <w:rFonts w:ascii="Arial" w:cs="Arial" w:eastAsia="Arial" w:hAnsi="Arial"/>
          <w:sz w:val="14"/>
          <w:szCs w:val="14"/>
          <w:color w:val="auto"/>
        </w:rPr>
        <w:t>”.</w:t>
      </w:r>
    </w:p>
    <w:p>
      <w:pPr>
        <w:spacing w:after="0" w:line="159" w:lineRule="exact"/>
        <w:rPr>
          <w:sz w:val="20"/>
          <w:szCs w:val="20"/>
          <w:color w:val="auto"/>
        </w:rPr>
      </w:pPr>
    </w:p>
    <w:p>
      <w:pPr>
        <w:ind w:right="20" w:firstLine="495"/>
        <w:spacing w:after="0" w:line="276" w:lineRule="auto"/>
        <w:rPr>
          <w:sz w:val="20"/>
          <w:szCs w:val="20"/>
          <w:color w:val="auto"/>
        </w:rPr>
      </w:pPr>
      <w:r>
        <w:rPr>
          <w:rFonts w:ascii="Arial" w:cs="Arial" w:eastAsia="Arial" w:hAnsi="Arial"/>
          <w:sz w:val="13"/>
          <w:szCs w:val="13"/>
          <w:color w:val="auto"/>
        </w:rPr>
        <w:t>1.15 “</w:t>
      </w:r>
      <w:r>
        <w:rPr>
          <w:rFonts w:ascii="Arial" w:cs="Arial" w:eastAsia="Arial" w:hAnsi="Arial"/>
          <w:sz w:val="13"/>
          <w:szCs w:val="13"/>
          <w:b w:val="1"/>
          <w:bCs w:val="1"/>
          <w:color w:val="auto"/>
        </w:rPr>
        <w:t>Sublicensing Revenue</w:t>
      </w:r>
      <w:r>
        <w:rPr>
          <w:rFonts w:ascii="Arial" w:cs="Arial" w:eastAsia="Arial" w:hAnsi="Arial"/>
          <w:sz w:val="13"/>
          <w:szCs w:val="13"/>
          <w:color w:val="auto"/>
        </w:rPr>
        <w:t>” shall mean all payments and the cash equivalent thereof (and for equity, less any amounts paid for such equity consideration) paid to Licensee by its sublicensees under the Licensed Patents in consideration for and directly attributable to the grant of such sublicense, and excluding the following: (a) payments made in consideration for the issuance of equity or debt securities of Licensee; (b) payments for direct or fully burdened expenses associated with research or development; (c) loans; and (d) payments for supply of Licensed Products. Sublicensing Revenue does not include amounts received in connection with a merger, consolidation or sale of all or substantially all of the business or assets of Licensee (including the assets of Licensee to which this Agreement relates), except where the merger, consolidation or sale is with a Third Party licensed by Licensee under any of the Patent Rights.</w:t>
      </w:r>
    </w:p>
    <w:p>
      <w:pPr>
        <w:spacing w:after="0" w:line="15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Third Party</w:t>
      </w:r>
      <w:r>
        <w:rPr>
          <w:rFonts w:ascii="Arial" w:cs="Arial" w:eastAsia="Arial" w:hAnsi="Arial"/>
          <w:sz w:val="11"/>
          <w:szCs w:val="11"/>
          <w:color w:val="auto"/>
        </w:rPr>
        <w:t>” shall mean any person or Entity other than Licensor, Licensor Affiliates, Licensee or Licensee Affiliates.</w:t>
      </w:r>
    </w:p>
    <w:p>
      <w:pPr>
        <w:spacing w:after="0" w:line="190" w:lineRule="exact"/>
        <w:rPr>
          <w:sz w:val="20"/>
          <w:szCs w:val="20"/>
          <w:color w:val="auto"/>
        </w:rPr>
      </w:pPr>
    </w:p>
    <w:p>
      <w:pPr>
        <w:ind w:left="3640" w:hanging="250"/>
        <w:spacing w:after="0"/>
        <w:tabs>
          <w:tab w:leader="none" w:pos="3640"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WARRANTIES AND CONFIDENTIALITY</w:t>
      </w:r>
    </w:p>
    <w:p>
      <w:pPr>
        <w:spacing w:after="0" w:line="19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1"/>
          <w:szCs w:val="11"/>
          <w:u w:val="single" w:color="auto"/>
          <w:color w:val="auto"/>
        </w:rPr>
        <w:t>Licensor Warranties</w:t>
      </w:r>
      <w:r>
        <w:rPr>
          <w:rFonts w:ascii="Arial" w:cs="Arial" w:eastAsia="Arial" w:hAnsi="Arial"/>
          <w:sz w:val="11"/>
          <w:szCs w:val="11"/>
          <w:color w:val="auto"/>
        </w:rPr>
        <w:t>. Licensor represents, warrants and covenants to Licensee that:</w:t>
      </w:r>
    </w:p>
    <w:p>
      <w:pPr>
        <w:spacing w:after="0" w:line="190" w:lineRule="exact"/>
        <w:rPr>
          <w:sz w:val="20"/>
          <w:szCs w:val="20"/>
          <w:color w:val="auto"/>
        </w:rPr>
      </w:pPr>
    </w:p>
    <w:p>
      <w:pPr>
        <w:ind w:right="60" w:firstLine="990"/>
        <w:spacing w:after="0" w:line="266" w:lineRule="auto"/>
        <w:rPr>
          <w:sz w:val="20"/>
          <w:szCs w:val="20"/>
          <w:color w:val="auto"/>
        </w:rPr>
      </w:pPr>
      <w:r>
        <w:rPr>
          <w:rFonts w:ascii="Arial" w:cs="Arial" w:eastAsia="Arial" w:hAnsi="Arial"/>
          <w:sz w:val="14"/>
          <w:szCs w:val="14"/>
          <w:color w:val="auto"/>
        </w:rPr>
        <w:t>2.1.1 As of the Effective Date, Licensor is the sole owner of all right, title and interest in and to, and is free to exploit, the Patent Rights free of any liens, encumbrances or restrictions, or other legal or equitable claims that could conflict with the rights granted to Licensee hereunder, except for [***].</w:t>
      </w:r>
    </w:p>
    <w:p>
      <w:pPr>
        <w:spacing w:after="0" w:line="159"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1"/>
          <w:szCs w:val="11"/>
          <w:color w:val="auto"/>
        </w:rPr>
        <w:t>Licensor has the legal power to transfer the rights granted to Licensee in this Agreement, including the right to cause its Affiliates to transfer the rights granted to Licensee in this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80" w:lineRule="exact"/>
        <w:rPr>
          <w:sz w:val="20"/>
          <w:szCs w:val="20"/>
          <w:color w:val="auto"/>
        </w:rPr>
      </w:pPr>
    </w:p>
    <w:p>
      <w:pPr>
        <w:ind w:firstLine="990"/>
        <w:spacing w:after="0" w:line="269" w:lineRule="auto"/>
        <w:rPr>
          <w:sz w:val="20"/>
          <w:szCs w:val="20"/>
          <w:color w:val="auto"/>
        </w:rPr>
      </w:pPr>
      <w:r>
        <w:rPr>
          <w:rFonts w:ascii="Arial" w:cs="Arial" w:eastAsia="Arial" w:hAnsi="Arial"/>
          <w:sz w:val="13"/>
          <w:szCs w:val="13"/>
          <w:color w:val="auto"/>
        </w:rPr>
        <w:t xml:space="preserve">2.1.3 As of the Effective Date, to Licensor’s knowledge, Licensor and Licensor Affiliates have not received any notice or claim from any Third Party, the allegations of which would trigger, or if the allegation had or will progress sufficient to trigger, subject matter jurisdiction for declaratory judgment, that the practice of the Patent Rights within the Field of Use infringes any Third Party patent or other intellectual property rights, other than (a) U.S. Patent No. 6,650,951, now part of the Assigned Patent Rights, about which Licensor was contacted by the previous owner of thereof, (b) those patents asserted by Medtronic MiniMed, Inc. in </w:t>
      </w:r>
      <w:r>
        <w:rPr>
          <w:rFonts w:ascii="Arial" w:cs="Arial" w:eastAsia="Arial" w:hAnsi="Arial"/>
          <w:sz w:val="13"/>
          <w:szCs w:val="13"/>
          <w:i w:val="1"/>
          <w:iCs w:val="1"/>
          <w:color w:val="auto"/>
        </w:rPr>
        <w:t>Medtronic MiniMed Inc. v. Smiths Medical MD Inc</w:t>
      </w:r>
      <w:r>
        <w:rPr>
          <w:rFonts w:ascii="Arial" w:cs="Arial" w:eastAsia="Arial" w:hAnsi="Arial"/>
          <w:sz w:val="13"/>
          <w:szCs w:val="13"/>
          <w:color w:val="auto"/>
        </w:rPr>
        <w:t>., Civil Action Number 03-776-KAJ in the United States District Court for the District of Delaware, and (c) allegations by non-practicing entity [***] that certain [***] and/or certain [***] are covered by their patents. As of the Effective Date, (i) there is no action, suit, proceeding or investigation pending or currently threatened against Licensor or its Affiliates alleging invalidity of this Agreement or challenging the right of Licensor to enter into this Agreement or consummate the transactions contemplated hereby and there is no basis for the foregoing; (ii) there is no interference, opposition, cancellation, reexamination or invalidity proceedings pending or threatened relating to the Patent Rights; and (iii) there is no action, suit, claim, proceeding or investigation pending or threatened against Licensor or any of the inventors named on the Patent Rights, which, if decided adversely to Licensor or any of such inventors, would result in a Third Party claim against the Licensed Patents.</w:t>
      </w:r>
    </w:p>
    <w:p>
      <w:pPr>
        <w:spacing w:after="0" w:line="163"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1"/>
          <w:szCs w:val="11"/>
          <w:color w:val="auto"/>
        </w:rPr>
        <w:t>The execution and delivery of this Agreement and the performance of the transactions contemplated hereby have been duly authorized by all appropriate Licensor corporate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actions.</w:t>
      </w:r>
    </w:p>
    <w:p>
      <w:pPr>
        <w:spacing w:after="0" w:line="180" w:lineRule="exact"/>
        <w:rPr>
          <w:sz w:val="20"/>
          <w:szCs w:val="20"/>
          <w:color w:val="auto"/>
        </w:rPr>
      </w:pPr>
    </w:p>
    <w:p>
      <w:pPr>
        <w:ind w:right="60" w:firstLine="990"/>
        <w:spacing w:after="0" w:line="266" w:lineRule="auto"/>
        <w:rPr>
          <w:sz w:val="20"/>
          <w:szCs w:val="20"/>
          <w:color w:val="auto"/>
        </w:rPr>
      </w:pPr>
      <w:r>
        <w:rPr>
          <w:rFonts w:ascii="Arial" w:cs="Arial" w:eastAsia="Arial" w:hAnsi="Arial"/>
          <w:sz w:val="14"/>
          <w:szCs w:val="14"/>
          <w:color w:val="auto"/>
        </w:rPr>
        <w:t>2.1.5 This Agreement is a legal and valid obligation binding upon Licensor and its Affiliates, enforceable in accordance with its terms, and the execution, delivery and performance of this Agreement by the Parties does not conflict with any agreement, instrument or understanding to which Licensor or its Affiliates is a party or by which it is bound.</w:t>
      </w:r>
    </w:p>
    <w:p>
      <w:pPr>
        <w:sectPr>
          <w:pgSz w:w="11900" w:h="16838" w:orient="portrait"/>
          <w:cols w:equalWidth="0" w:num="1">
            <w:col w:w="11280"/>
          </w:cols>
          <w:pgMar w:left="300" w:top="1115" w:right="319" w:bottom="1440" w:gutter="0" w:footer="0" w:header="0"/>
        </w:sectPr>
      </w:pPr>
    </w:p>
    <w:bookmarkStart w:id="216" w:name="page217"/>
    <w:bookmarkEnd w:id="216"/>
    <w:p>
      <w:pPr>
        <w:ind w:right="260" w:firstLine="990"/>
        <w:spacing w:after="0" w:line="266" w:lineRule="auto"/>
        <w:rPr>
          <w:sz w:val="20"/>
          <w:szCs w:val="20"/>
          <w:color w:val="auto"/>
        </w:rPr>
      </w:pPr>
      <w:r>
        <w:rPr>
          <w:rFonts w:ascii="Arial" w:cs="Arial" w:eastAsia="Arial" w:hAnsi="Arial"/>
          <w:sz w:val="14"/>
          <w:szCs w:val="14"/>
          <w:color w:val="auto"/>
        </w:rPr>
        <w:t>2.1.6 As of the Effective Date, if any of the inventor assignments are not up-to-date in the name of Licensor or its Affiliates, Licensor will, immediately upon receipt of Licensee’s request, cooperate with Licensee to bring those assignments up-to-date.</w:t>
      </w:r>
    </w:p>
    <w:p>
      <w:pPr>
        <w:spacing w:after="0" w:line="159"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1"/>
          <w:szCs w:val="11"/>
          <w:color w:val="auto"/>
        </w:rPr>
        <w:t>Licensor and its Affiliates have not licensed or transferred to any person or Entity any rights under the Assigned Patent Rights.</w:t>
      </w:r>
    </w:p>
    <w:p>
      <w:pPr>
        <w:spacing w:after="0" w:line="190" w:lineRule="exact"/>
        <w:rPr>
          <w:sz w:val="20"/>
          <w:szCs w:val="20"/>
          <w:color w:val="auto"/>
        </w:rPr>
      </w:pPr>
    </w:p>
    <w:p>
      <w:pPr>
        <w:ind w:right="80" w:firstLine="990"/>
        <w:spacing w:after="0" w:line="266" w:lineRule="auto"/>
        <w:rPr>
          <w:sz w:val="20"/>
          <w:szCs w:val="20"/>
          <w:color w:val="auto"/>
        </w:rPr>
      </w:pPr>
      <w:r>
        <w:rPr>
          <w:rFonts w:ascii="Arial" w:cs="Arial" w:eastAsia="Arial" w:hAnsi="Arial"/>
          <w:sz w:val="14"/>
          <w:szCs w:val="14"/>
          <w:color w:val="auto"/>
        </w:rPr>
        <w:t>2.1.8 Except for [***], Licensor and its Affiliates have not, as of the Effective Date, licensed or transferred to any person or Entity, any rights under the Exhibit C Patent Rights in the Field of Use. Licensor and its Affiliates will not license or transfer to any person or Entity any rights under the Exhibit C Patent Rights within the Field of Use.</w:t>
      </w:r>
    </w:p>
    <w:p>
      <w:pPr>
        <w:spacing w:after="0" w:line="159" w:lineRule="exact"/>
        <w:rPr>
          <w:sz w:val="20"/>
          <w:szCs w:val="20"/>
          <w:color w:val="auto"/>
        </w:rPr>
      </w:pPr>
    </w:p>
    <w:p>
      <w:pPr>
        <w:ind w:right="220" w:firstLine="990"/>
        <w:spacing w:after="0" w:line="266" w:lineRule="auto"/>
        <w:rPr>
          <w:sz w:val="20"/>
          <w:szCs w:val="20"/>
          <w:color w:val="auto"/>
        </w:rPr>
      </w:pPr>
      <w:r>
        <w:rPr>
          <w:rFonts w:ascii="Arial" w:cs="Arial" w:eastAsia="Arial" w:hAnsi="Arial"/>
          <w:sz w:val="14"/>
          <w:szCs w:val="14"/>
          <w:color w:val="auto"/>
        </w:rPr>
        <w:t>2.1.9 Except for [***], Licensor is not party to any agreement that restricts Licensor’s or Licensee’s ability to enforce claims within the Patent Rights, or to assert claims within the Patent Rights against products or services.</w:t>
      </w:r>
    </w:p>
    <w:p>
      <w:pPr>
        <w:spacing w:after="0" w:line="159" w:lineRule="exact"/>
        <w:rPr>
          <w:sz w:val="20"/>
          <w:szCs w:val="20"/>
          <w:color w:val="auto"/>
        </w:rPr>
      </w:pPr>
    </w:p>
    <w:p>
      <w:pPr>
        <w:ind w:right="240" w:firstLine="990"/>
        <w:spacing w:after="0" w:line="256" w:lineRule="auto"/>
        <w:rPr>
          <w:sz w:val="20"/>
          <w:szCs w:val="20"/>
          <w:color w:val="auto"/>
        </w:rPr>
      </w:pPr>
      <w:r>
        <w:rPr>
          <w:rFonts w:ascii="Arial" w:cs="Arial" w:eastAsia="Arial" w:hAnsi="Arial"/>
          <w:sz w:val="14"/>
          <w:szCs w:val="14"/>
          <w:color w:val="auto"/>
        </w:rPr>
        <w:t>2.1.10 No consent, approval, order or authorization of, or registration, qualification, designation, declaration or filing, with any Third Party on the part of Licensor or its Affiliates is required in connection with its execution, delivery and performance of this Agreement, including without limitation consent of any person or entity that has an ownership interest, or that alleges an ownership interest, in or to the Patent Rights.</w:t>
      </w:r>
    </w:p>
    <w:p>
      <w:pPr>
        <w:spacing w:after="0" w:line="166" w:lineRule="exact"/>
        <w:rPr>
          <w:sz w:val="20"/>
          <w:szCs w:val="20"/>
          <w:color w:val="auto"/>
        </w:rPr>
      </w:pPr>
    </w:p>
    <w:p>
      <w:pPr>
        <w:ind w:firstLine="495"/>
        <w:spacing w:after="0" w:line="27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Mutual Warranties</w:t>
      </w:r>
      <w:r>
        <w:rPr>
          <w:rFonts w:ascii="Arial" w:cs="Arial" w:eastAsia="Arial" w:hAnsi="Arial"/>
          <w:sz w:val="13"/>
          <w:szCs w:val="13"/>
          <w:color w:val="auto"/>
        </w:rPr>
        <w:t>. Each Party represents, warrants and covenants to the other Party that (i) such Party has the full right, power, and authority to execute this Agreement and to perform its terms; (ii) its execution of this Agreement and the consummation of the transactions required by this Agreement will not violate or conflict with or breach (a) any charter provision or bylaw of such Party or any of its Affiliates, (b) any mortgage, indenture, note, license, agreement or other instrument or obligation to which such Party or its Affiliate is bound, or (c) any judgment, order, writ, injunction, decree, statute, rule or regulation applicable to such Party or any of its Affiliates; (iii) such Party has taken all required corporate actions to approve and adopt this Agreement; (iv) this Agreement is enforceable against such Party according to its terms; and (v) the person or persons executing this Agreement on its behalf are duly authorized and empowered to do so.</w:t>
      </w:r>
    </w:p>
    <w:p>
      <w:pPr>
        <w:spacing w:after="0" w:line="15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1"/>
          <w:szCs w:val="11"/>
          <w:u w:val="single" w:color="auto"/>
          <w:color w:val="auto"/>
        </w:rPr>
        <w:t xml:space="preserve">Standing. </w:t>
      </w:r>
      <w:r>
        <w:rPr>
          <w:rFonts w:ascii="Arial" w:cs="Arial" w:eastAsia="Arial" w:hAnsi="Arial"/>
          <w:sz w:val="11"/>
          <w:szCs w:val="11"/>
          <w:color w:val="auto"/>
        </w:rPr>
        <w:t>Licensor makes no representation that Licensee will have standing to enforce a claim within the Patent Rights without Licensor joining Licensee as a party to the lawsuit.</w:t>
      </w:r>
    </w:p>
    <w:p>
      <w:pPr>
        <w:spacing w:after="0" w:line="190" w:lineRule="exact"/>
        <w:rPr>
          <w:sz w:val="20"/>
          <w:szCs w:val="20"/>
          <w:color w:val="auto"/>
        </w:rPr>
      </w:pPr>
    </w:p>
    <w:p>
      <w:pPr>
        <w:ind w:right="320" w:firstLine="495"/>
        <w:spacing w:after="0" w:line="256" w:lineRule="auto"/>
        <w:rPr>
          <w:sz w:val="20"/>
          <w:szCs w:val="20"/>
          <w:color w:val="auto"/>
        </w:rPr>
      </w:pPr>
      <w:r>
        <w:rPr>
          <w:rFonts w:ascii="Arial" w:cs="Arial" w:eastAsia="Arial" w:hAnsi="Arial"/>
          <w:sz w:val="14"/>
          <w:szCs w:val="14"/>
          <w:color w:val="auto"/>
        </w:rPr>
        <w:t xml:space="preserve">2.4 [***]. As of the Effective Date, Licensor’s [***] within the Exhibit C Patent Rights [***] or by [***], and/or to [***] within the Exhibit C Patent Rights [***] and [***], is [***] executed by and between [***] with respect to those Patent Rights identified as such in </w:t>
      </w:r>
      <w:r>
        <w:rPr>
          <w:rFonts w:ascii="Arial" w:cs="Arial" w:eastAsia="Arial" w:hAnsi="Arial"/>
          <w:sz w:val="14"/>
          <w:szCs w:val="14"/>
          <w:b w:val="1"/>
          <w:bCs w:val="1"/>
          <w:i w:val="1"/>
          <w:iCs w:val="1"/>
          <w:color w:val="auto"/>
        </w:rPr>
        <w:t>Exhibit C</w:t>
      </w:r>
      <w:r>
        <w:rPr>
          <w:rFonts w:ascii="Arial" w:cs="Arial" w:eastAsia="Arial" w:hAnsi="Arial"/>
          <w:sz w:val="14"/>
          <w:szCs w:val="14"/>
          <w:color w:val="auto"/>
        </w:rPr>
        <w:t xml:space="preserve"> [***]. Licensee acknowledges that [***] may thus also [***] from [***] within the Exhibit C Patent Rights [***], and/or to [***] within the Exhibit C Patent Rights [***] and [***].</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w:t>
      </w:r>
    </w:p>
    <w:p>
      <w:pPr>
        <w:sectPr>
          <w:pgSz w:w="11900" w:h="16838" w:orient="portrait"/>
          <w:cols w:equalWidth="0" w:num="1">
            <w:col w:w="11260"/>
          </w:cols>
          <w:pgMar w:left="300" w:top="1119" w:right="339" w:bottom="1440" w:gutter="0" w:footer="0" w:header="0"/>
        </w:sectPr>
      </w:pPr>
    </w:p>
    <w:bookmarkStart w:id="217" w:name="page218"/>
    <w:bookmarkEnd w:id="217"/>
    <w:p>
      <w:pPr>
        <w:ind w:right="80" w:firstLine="990"/>
        <w:spacing w:after="0" w:line="270" w:lineRule="auto"/>
        <w:rPr>
          <w:sz w:val="20"/>
          <w:szCs w:val="20"/>
          <w:color w:val="auto"/>
        </w:rPr>
      </w:pPr>
      <w:r>
        <w:rPr>
          <w:rFonts w:ascii="Arial" w:cs="Arial" w:eastAsia="Arial" w:hAnsi="Arial"/>
          <w:sz w:val="13"/>
          <w:szCs w:val="13"/>
          <w:color w:val="auto"/>
        </w:rPr>
        <w:t>2.5.1 Either Party receiving Confidential Information (the “</w:t>
      </w:r>
      <w:r>
        <w:rPr>
          <w:rFonts w:ascii="Arial" w:cs="Arial" w:eastAsia="Arial" w:hAnsi="Arial"/>
          <w:sz w:val="13"/>
          <w:szCs w:val="13"/>
          <w:b w:val="1"/>
          <w:bCs w:val="1"/>
          <w:color w:val="auto"/>
        </w:rPr>
        <w:t>Receiving Party</w:t>
      </w:r>
      <w:r>
        <w:rPr>
          <w:rFonts w:ascii="Arial" w:cs="Arial" w:eastAsia="Arial" w:hAnsi="Arial"/>
          <w:sz w:val="13"/>
          <w:szCs w:val="13"/>
          <w:color w:val="auto"/>
        </w:rPr>
        <w:t>”) from the other Party (the “</w:t>
      </w:r>
      <w:r>
        <w:rPr>
          <w:rFonts w:ascii="Arial" w:cs="Arial" w:eastAsia="Arial" w:hAnsi="Arial"/>
          <w:sz w:val="13"/>
          <w:szCs w:val="13"/>
          <w:b w:val="1"/>
          <w:bCs w:val="1"/>
          <w:color w:val="auto"/>
        </w:rPr>
        <w:t>Disclosing Party</w:t>
      </w:r>
      <w:r>
        <w:rPr>
          <w:rFonts w:ascii="Arial" w:cs="Arial" w:eastAsia="Arial" w:hAnsi="Arial"/>
          <w:sz w:val="13"/>
          <w:szCs w:val="13"/>
          <w:color w:val="auto"/>
        </w:rPr>
        <w:t>”) shall hold all of the Disclosing Party’s Confidential Information in strict confidence and shall not disclose any of the Disclosing Party’s Confidential Information to any Third Party, other than to its Affiliates, employees, and advisors, who need to know such information (“</w:t>
      </w:r>
      <w:r>
        <w:rPr>
          <w:rFonts w:ascii="Arial" w:cs="Arial" w:eastAsia="Arial" w:hAnsi="Arial"/>
          <w:sz w:val="13"/>
          <w:szCs w:val="13"/>
          <w:b w:val="1"/>
          <w:bCs w:val="1"/>
          <w:color w:val="auto"/>
        </w:rPr>
        <w:t>Representatives</w:t>
      </w:r>
      <w:r>
        <w:rPr>
          <w:rFonts w:ascii="Arial" w:cs="Arial" w:eastAsia="Arial" w:hAnsi="Arial"/>
          <w:sz w:val="13"/>
          <w:szCs w:val="13"/>
          <w:color w:val="auto"/>
        </w:rPr>
        <w:t>”) and who are bound by restrictions regarding disclosure and use of such information comparable to and no less restrictive than those set forth herein. The Receiving Party shall cause its Representatives to comply with the terms of this Section 2.5, and the Receiving Party shall be responsible for any breach of this Agreement by any of its Representatives. The Receiving Party shall not use the Disclosing Party’s Confidential Information for any purpose other than the performance and/or enforcement of this Agreement. The Receiving Party shall take the same degree of care that it uses to protect its own confidential and proprietary information and materials of similar nature and importance (but in no event less than reasonable care) to protect the confidentiality and avoid the unauthorized use, disclosure, publication or dissemination of the Disclosing Party’s Confidential Information. The Receiving Party shall not make any copies of the Disclosing Party’s Confidential Information except to the extent reasonably necessary to perform or enforce this Agreement. Any such copies made shall be identified as the property of the Disclosing Party and marked “confidential”, “proprietary” or with a similar legend.</w:t>
      </w:r>
    </w:p>
    <w:p>
      <w:pPr>
        <w:spacing w:after="0" w:line="161" w:lineRule="exact"/>
        <w:rPr>
          <w:sz w:val="20"/>
          <w:szCs w:val="20"/>
          <w:color w:val="auto"/>
        </w:rPr>
      </w:pPr>
    </w:p>
    <w:p>
      <w:pPr>
        <w:ind w:right="80" w:firstLine="990"/>
        <w:spacing w:after="0" w:line="252" w:lineRule="auto"/>
        <w:rPr>
          <w:sz w:val="20"/>
          <w:szCs w:val="20"/>
          <w:color w:val="auto"/>
        </w:rPr>
      </w:pPr>
      <w:r>
        <w:rPr>
          <w:rFonts w:ascii="Arial" w:cs="Arial" w:eastAsia="Arial" w:hAnsi="Arial"/>
          <w:sz w:val="14"/>
          <w:szCs w:val="14"/>
          <w:color w:val="auto"/>
        </w:rPr>
        <w:t>2.5.2 Notwithstanding anything to the contrary herein, the Receiving Party may use or disclose the Disclosing Party’s Confidential Information to the extent the Receiving Party is legally compelled to disclose such Confidential Information, provided, however, that prior to any such compelled disclosure, the Receiving Party shall give the Disclosing Party reasonable advance notice of any such disclosure and shall cooperate with the Disclosing Party in protecting against any such disclosure and/or obtaining a protective order narrowing the scope of such disclosure and/or use of the Confidential Information.</w:t>
      </w:r>
    </w:p>
    <w:p>
      <w:pPr>
        <w:spacing w:after="0" w:line="170" w:lineRule="exact"/>
        <w:rPr>
          <w:sz w:val="20"/>
          <w:szCs w:val="20"/>
          <w:color w:val="auto"/>
        </w:rPr>
      </w:pPr>
    </w:p>
    <w:p>
      <w:pPr>
        <w:ind w:right="40" w:firstLine="990"/>
        <w:spacing w:after="0" w:line="250" w:lineRule="auto"/>
        <w:rPr>
          <w:sz w:val="20"/>
          <w:szCs w:val="20"/>
          <w:color w:val="auto"/>
        </w:rPr>
      </w:pPr>
      <w:r>
        <w:rPr>
          <w:rFonts w:ascii="Arial" w:cs="Arial" w:eastAsia="Arial" w:hAnsi="Arial"/>
          <w:sz w:val="14"/>
          <w:szCs w:val="14"/>
          <w:color w:val="auto"/>
        </w:rPr>
        <w:t>2.5.3 Notwithstanding anything to the contrary herein, each Party may disclose the terms and conditions of this Agreement to its Affiliates and: (a) as required by the applicable securities laws, including, without limitation, requirements to file a copy of this Agreement (redacted to the extent reasonably permitted by applicable law) or to disclose information regarding the provisions hereof or performance hereunder to applicable regulatory authorities; (b) in confidence, to legal counsel; (c) in confidence, to accountants, banks, and financing sources and their advisors; (d) in connection with the enforcement of this Agreement or any rights hereunder; and (e) in confidence to any bona fide prospective purchaser of a business to which this Agreement pertains. Any public announcement of the existence and/or terms of this Agreement must be agreed to in advance by an authorized employee of both Parties. Such public announcement shall not include any of the financial terms of this Agreement.</w:t>
      </w:r>
    </w:p>
    <w:p>
      <w:pPr>
        <w:spacing w:after="0" w:line="170"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2.5.4</w:t>
      </w:r>
      <w:r>
        <w:rPr>
          <w:sz w:val="20"/>
          <w:szCs w:val="20"/>
          <w:color w:val="auto"/>
        </w:rPr>
        <w:tab/>
      </w:r>
      <w:r>
        <w:rPr>
          <w:rFonts w:ascii="Arial" w:cs="Arial" w:eastAsia="Arial" w:hAnsi="Arial"/>
          <w:sz w:val="11"/>
          <w:szCs w:val="11"/>
          <w:u w:val="single" w:color="auto"/>
          <w:color w:val="auto"/>
        </w:rPr>
        <w:t>Exceptions</w:t>
      </w:r>
      <w:r>
        <w:rPr>
          <w:rFonts w:ascii="Arial" w:cs="Arial" w:eastAsia="Arial" w:hAnsi="Arial"/>
          <w:sz w:val="11"/>
          <w:szCs w:val="11"/>
          <w:color w:val="auto"/>
        </w:rPr>
        <w:t>. The obligations of this Section 2.5 shall not apply when and to the extent the information of the Disclosing Party:</w:t>
      </w:r>
    </w:p>
    <w:p>
      <w:pPr>
        <w:spacing w:after="0" w:line="190" w:lineRule="exact"/>
        <w:rPr>
          <w:sz w:val="20"/>
          <w:szCs w:val="20"/>
          <w:color w:val="auto"/>
        </w:rPr>
      </w:pPr>
    </w:p>
    <w:p>
      <w:pPr>
        <w:ind w:right="60" w:firstLine="1488"/>
        <w:spacing w:after="0" w:line="266" w:lineRule="auto"/>
        <w:tabs>
          <w:tab w:leader="none" w:pos="1775" w:val="left"/>
        </w:tabs>
        <w:numPr>
          <w:ilvl w:val="0"/>
          <w:numId w:val="182"/>
        </w:numPr>
        <w:rPr>
          <w:rFonts w:ascii="Arial" w:cs="Arial" w:eastAsia="Arial" w:hAnsi="Arial"/>
          <w:sz w:val="14"/>
          <w:szCs w:val="14"/>
          <w:color w:val="auto"/>
        </w:rPr>
      </w:pPr>
      <w:r>
        <w:rPr>
          <w:rFonts w:ascii="Arial" w:cs="Arial" w:eastAsia="Arial" w:hAnsi="Arial"/>
          <w:sz w:val="14"/>
          <w:szCs w:val="14"/>
          <w:color w:val="auto"/>
        </w:rPr>
        <w:t>was known to the Receiving Party or its Affiliate(s) on an unrestricted basis prior to receipt from the Disclosing Party or its Affiliate, as documented in written records that kept by Receiving Party or its Affiliate(s) in the ordinary course;</w:t>
      </w:r>
    </w:p>
    <w:p>
      <w:pPr>
        <w:spacing w:after="0" w:line="158" w:lineRule="exact"/>
        <w:rPr>
          <w:rFonts w:ascii="Arial" w:cs="Arial" w:eastAsia="Arial" w:hAnsi="Arial"/>
          <w:sz w:val="14"/>
          <w:szCs w:val="14"/>
          <w:color w:val="auto"/>
        </w:rPr>
      </w:pPr>
    </w:p>
    <w:p>
      <w:pPr>
        <w:ind w:left="1780" w:hanging="292"/>
        <w:spacing w:after="0"/>
        <w:tabs>
          <w:tab w:leader="none" w:pos="17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was available to the public prior to receipt from the Disclosing Party or its Affiliate(s);</w:t>
      </w:r>
    </w:p>
    <w:p>
      <w:pPr>
        <w:spacing w:after="0" w:line="189" w:lineRule="exact"/>
        <w:rPr>
          <w:rFonts w:ascii="Arial" w:cs="Arial" w:eastAsia="Arial" w:hAnsi="Arial"/>
          <w:sz w:val="14"/>
          <w:szCs w:val="14"/>
          <w:color w:val="auto"/>
        </w:rPr>
      </w:pPr>
    </w:p>
    <w:p>
      <w:pPr>
        <w:ind w:left="1780" w:hanging="292"/>
        <w:spacing w:after="0"/>
        <w:tabs>
          <w:tab w:leader="none" w:pos="17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through no wrongful act on the part of the Receiving Party or its Affiliate(s), becomes lawfully available to the public;</w:t>
      </w:r>
    </w:p>
    <w:p>
      <w:pPr>
        <w:spacing w:after="0" w:line="189" w:lineRule="exact"/>
        <w:rPr>
          <w:rFonts w:ascii="Arial" w:cs="Arial" w:eastAsia="Arial" w:hAnsi="Arial"/>
          <w:sz w:val="14"/>
          <w:szCs w:val="14"/>
          <w:color w:val="auto"/>
        </w:rPr>
      </w:pPr>
    </w:p>
    <w:p>
      <w:pPr>
        <w:ind w:firstLine="1488"/>
        <w:spacing w:after="0" w:line="266" w:lineRule="auto"/>
        <w:tabs>
          <w:tab w:leader="none" w:pos="1783" w:val="left"/>
        </w:tabs>
        <w:numPr>
          <w:ilvl w:val="0"/>
          <w:numId w:val="182"/>
        </w:numPr>
        <w:rPr>
          <w:rFonts w:ascii="Arial" w:cs="Arial" w:eastAsia="Arial" w:hAnsi="Arial"/>
          <w:sz w:val="14"/>
          <w:szCs w:val="14"/>
          <w:color w:val="auto"/>
        </w:rPr>
      </w:pPr>
      <w:r>
        <w:rPr>
          <w:rFonts w:ascii="Arial" w:cs="Arial" w:eastAsia="Arial" w:hAnsi="Arial"/>
          <w:sz w:val="14"/>
          <w:szCs w:val="14"/>
          <w:color w:val="auto"/>
        </w:rPr>
        <w:t>was received in good faith on an unrestricted basis by the Receiving Party or its Affiliate(s) from any Third Party, as documented in written records kept by Receiving Party or its Affiliate(s) in the ordinary course; or</w:t>
      </w:r>
    </w:p>
    <w:p>
      <w:pPr>
        <w:spacing w:after="0" w:line="158" w:lineRule="exact"/>
        <w:rPr>
          <w:rFonts w:ascii="Arial" w:cs="Arial" w:eastAsia="Arial" w:hAnsi="Arial"/>
          <w:sz w:val="14"/>
          <w:szCs w:val="14"/>
          <w:color w:val="auto"/>
        </w:rPr>
      </w:pPr>
    </w:p>
    <w:p>
      <w:pPr>
        <w:ind w:firstLine="1488"/>
        <w:spacing w:after="0" w:line="266" w:lineRule="auto"/>
        <w:tabs>
          <w:tab w:leader="none" w:pos="1775"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is independently developed by a person working for or on behalf of the Receiving Party or its Affiliate(s) without reliance upon or use of the Disclosing Party’s Confidential Information, as documented in written records kept by Receiving Party or its Affiliate(s) in the ordinary course.</w:t>
      </w:r>
    </w:p>
    <w:p>
      <w:pPr>
        <w:sectPr>
          <w:pgSz w:w="11900" w:h="16838" w:orient="portrait"/>
          <w:cols w:equalWidth="0" w:num="1">
            <w:col w:w="11260"/>
          </w:cols>
          <w:pgMar w:left="300" w:top="1115" w:right="339" w:bottom="1440" w:gutter="0" w:footer="0" w:header="0"/>
        </w:sectPr>
      </w:pPr>
    </w:p>
    <w:bookmarkStart w:id="218" w:name="page219"/>
    <w:bookmarkEnd w:id="218"/>
    <w:p>
      <w:pPr>
        <w:ind w:right="80" w:firstLine="990"/>
        <w:spacing w:after="0" w:line="256" w:lineRule="auto"/>
        <w:rPr>
          <w:sz w:val="20"/>
          <w:szCs w:val="20"/>
          <w:color w:val="auto"/>
        </w:rPr>
      </w:pPr>
      <w:r>
        <w:rPr>
          <w:rFonts w:ascii="Arial" w:cs="Arial" w:eastAsia="Arial" w:hAnsi="Arial"/>
          <w:sz w:val="14"/>
          <w:szCs w:val="14"/>
          <w:color w:val="auto"/>
        </w:rPr>
        <w:t>2.5.5 The Receiving Party may disclose the Disclosing Party’s Confidential Information to a Third Party to the extent required by law or legal process, provided that the Receiving Party notifies the Disclosing Party of such disclosure before it takes place and cooperates with the Disclosing Party in protecting against any such disclosure and/or obtaining a protective order narrowing the scope of such disclosure and/or use of the Confidential Information.</w:t>
      </w:r>
    </w:p>
    <w:p>
      <w:pPr>
        <w:spacing w:after="0" w:line="166" w:lineRule="exact"/>
        <w:rPr>
          <w:sz w:val="20"/>
          <w:szCs w:val="20"/>
          <w:color w:val="auto"/>
        </w:rPr>
      </w:pPr>
    </w:p>
    <w:p>
      <w:pPr>
        <w:ind w:right="40" w:firstLine="990"/>
        <w:spacing w:after="0" w:line="271" w:lineRule="auto"/>
        <w:rPr>
          <w:sz w:val="20"/>
          <w:szCs w:val="20"/>
          <w:color w:val="auto"/>
        </w:rPr>
      </w:pPr>
      <w:r>
        <w:rPr>
          <w:rFonts w:ascii="Arial" w:cs="Arial" w:eastAsia="Arial" w:hAnsi="Arial"/>
          <w:sz w:val="13"/>
          <w:szCs w:val="13"/>
          <w:color w:val="auto"/>
        </w:rPr>
        <w:t>2.5.6 Within two (2) weeks after the Effective Date, both Parties, except for their respective counsel, shall destroy all information in their possession that was marked “Confidential” and that was received from the other Party for the purpose of negotiating this Agreement. This includes without limitation, whether such information is contained in or represented in tangible or electronic form and includes, without limitation, copies of all term sheets related to the Agreement, patent and patent application offering lists related to the Agreement, draft versions of the Agreement, and email communications related to the Agreement. For the avoidance of doubt, any Confidential Information of the Disclosing Party that cannot be reasonably destroyed (e.g., copies of electronically exchanged Confidential Information made as a matter of routine information technology backup, or electronically exchanged Confidential Information which does not fully delete utilizing normal procedures, or Confidential Information which must be stored by Recipient or its representatives according to provisions of mandatory law or regulation) shall continue to be subject to the confidentiality and non-use obligations according to the terms and conditions set forth herein.</w:t>
      </w:r>
    </w:p>
    <w:p>
      <w:pPr>
        <w:spacing w:after="0" w:line="159" w:lineRule="exact"/>
        <w:rPr>
          <w:sz w:val="20"/>
          <w:szCs w:val="20"/>
          <w:color w:val="auto"/>
        </w:rPr>
      </w:pPr>
    </w:p>
    <w:p>
      <w:pPr>
        <w:jc w:val="both"/>
        <w:ind w:right="60" w:firstLine="495"/>
        <w:spacing w:after="0" w:line="256"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Patent Validity and Breadth</w:t>
      </w:r>
      <w:r>
        <w:rPr>
          <w:rFonts w:ascii="Arial" w:cs="Arial" w:eastAsia="Arial" w:hAnsi="Arial"/>
          <w:sz w:val="14"/>
          <w:szCs w:val="14"/>
          <w:color w:val="auto"/>
        </w:rPr>
        <w:t>. Without limiting any of Licensor’s warranties set forth herein, Licensor makes no representation as to the validity, enforceability, or breadth of the claims of any patent or of any patent application included in the Patent Rights pending as of the Effective Date, and makes no warranty as to whether the claims of any foreign counterparts are broader or narrower than the corresponding U.S. patents and applications that are within the Patent Rights.</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1"/>
          <w:szCs w:val="11"/>
          <w:color w:val="auto"/>
        </w:rPr>
        <w:t>Licensee Warranties.</w:t>
      </w:r>
    </w:p>
    <w:p>
      <w:pPr>
        <w:spacing w:after="0" w:line="190" w:lineRule="exact"/>
        <w:rPr>
          <w:sz w:val="20"/>
          <w:szCs w:val="20"/>
          <w:color w:val="auto"/>
        </w:rPr>
      </w:pPr>
    </w:p>
    <w:p>
      <w:pPr>
        <w:ind w:right="20" w:firstLine="990"/>
        <w:spacing w:after="0" w:line="317" w:lineRule="auto"/>
        <w:rPr>
          <w:sz w:val="20"/>
          <w:szCs w:val="20"/>
          <w:color w:val="auto"/>
        </w:rPr>
      </w:pPr>
      <w:r>
        <w:rPr>
          <w:rFonts w:ascii="Arial" w:cs="Arial" w:eastAsia="Arial" w:hAnsi="Arial"/>
          <w:sz w:val="11"/>
          <w:szCs w:val="11"/>
          <w:color w:val="auto"/>
        </w:rPr>
        <w:t xml:space="preserve">2.7.1 </w:t>
      </w:r>
      <w:r>
        <w:rPr>
          <w:rFonts w:ascii="Arial" w:cs="Arial" w:eastAsia="Arial" w:hAnsi="Arial"/>
          <w:sz w:val="11"/>
          <w:szCs w:val="11"/>
          <w:u w:val="single" w:color="auto"/>
          <w:color w:val="auto"/>
        </w:rPr>
        <w:t>Noninterference</w:t>
      </w:r>
      <w:r>
        <w:rPr>
          <w:rFonts w:ascii="Arial" w:cs="Arial" w:eastAsia="Arial" w:hAnsi="Arial"/>
          <w:sz w:val="11"/>
          <w:szCs w:val="11"/>
          <w:color w:val="auto"/>
        </w:rPr>
        <w:t>. Licensee shall commit no act in the prosecution of patent applications, reissues, reexaminations, or other proceedings within the United States Patent and Trademark Office intending to result in the United States Patent and Trademark Office issuing a double-patenting rejection in the prosecution of either or both U.S. patent applications numbered [***] and [***]. Licensee agrees that if Licensee presents a claim in the prosecution of patent applications, reissues, reexaminations, or other proceedings within the United States Patent and Trademark Office that results in the Patent and Trademark Office issuing a double patenting rejection or a provisional double patenting rejection in the prosecution of either or both of United States patent applications [***] and</w:t>
      </w:r>
    </w:p>
    <w:p>
      <w:pPr>
        <w:spacing w:after="0" w:line="1" w:lineRule="exact"/>
        <w:rPr>
          <w:sz w:val="20"/>
          <w:szCs w:val="20"/>
          <w:color w:val="auto"/>
        </w:rPr>
      </w:pPr>
    </w:p>
    <w:p>
      <w:pPr>
        <w:ind w:right="40" w:firstLine="3"/>
        <w:spacing w:after="0" w:line="251" w:lineRule="auto"/>
        <w:tabs>
          <w:tab w:leader="none" w:pos="33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or in the application in which such claim is presented in view of United States patent applications [***] and [***], Licensee will use reasonable efforts to eliminate the basis for the double patenting rejection and if necessary to eliminate the rejection, License will withdraw such claim.</w:t>
      </w:r>
    </w:p>
    <w:p>
      <w:pPr>
        <w:spacing w:after="0" w:line="169"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2.7.2</w:t>
      </w:r>
      <w:r>
        <w:rPr>
          <w:sz w:val="20"/>
          <w:szCs w:val="20"/>
          <w:color w:val="auto"/>
        </w:rPr>
        <w:tab/>
      </w:r>
      <w:r>
        <w:rPr>
          <w:rFonts w:ascii="Arial" w:cs="Arial" w:eastAsia="Arial" w:hAnsi="Arial"/>
          <w:sz w:val="11"/>
          <w:szCs w:val="11"/>
          <w:color w:val="auto"/>
        </w:rPr>
        <w:t>Licensee has the legal power to accept the rights granted to Licensee in this Agreement.</w:t>
      </w:r>
    </w:p>
    <w:p>
      <w:pPr>
        <w:spacing w:after="0" w:line="190"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2.7.3</w:t>
      </w:r>
      <w:r>
        <w:rPr>
          <w:sz w:val="20"/>
          <w:szCs w:val="20"/>
          <w:color w:val="auto"/>
        </w:rPr>
        <w:tab/>
      </w:r>
      <w:r>
        <w:rPr>
          <w:rFonts w:ascii="Arial" w:cs="Arial" w:eastAsia="Arial" w:hAnsi="Arial"/>
          <w:sz w:val="11"/>
          <w:szCs w:val="11"/>
          <w:color w:val="auto"/>
        </w:rPr>
        <w:t>The execution and delivery of this Agreement and the performance of the transactions contemplated hereby have been duly authorized by all appropriate Licensee corporate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actions.</w:t>
      </w:r>
    </w:p>
    <w:p>
      <w:pPr>
        <w:spacing w:after="0" w:line="180" w:lineRule="exact"/>
        <w:rPr>
          <w:sz w:val="20"/>
          <w:szCs w:val="20"/>
          <w:color w:val="auto"/>
        </w:rPr>
      </w:pPr>
    </w:p>
    <w:p>
      <w:pPr>
        <w:ind w:firstLine="990"/>
        <w:spacing w:after="0" w:line="266" w:lineRule="auto"/>
        <w:rPr>
          <w:sz w:val="20"/>
          <w:szCs w:val="20"/>
          <w:color w:val="auto"/>
        </w:rPr>
      </w:pPr>
      <w:r>
        <w:rPr>
          <w:rFonts w:ascii="Arial" w:cs="Arial" w:eastAsia="Arial" w:hAnsi="Arial"/>
          <w:sz w:val="14"/>
          <w:szCs w:val="14"/>
          <w:color w:val="auto"/>
        </w:rPr>
        <w:t>2.7.4 This Agreement is a legal and valid obligation binding upon Licensee and its Affiliates, enforceable in accordance with its terms, and the execution, delivery and performance of this Agreement by the Parties does not conflict with any agreement, instrument or understanding to which Licensee or its Affiliates is a party or by which it is bound.</w:t>
      </w:r>
    </w:p>
    <w:p>
      <w:pPr>
        <w:spacing w:after="0" w:line="159" w:lineRule="exact"/>
        <w:rPr>
          <w:sz w:val="20"/>
          <w:szCs w:val="20"/>
          <w:color w:val="auto"/>
        </w:rPr>
      </w:pPr>
    </w:p>
    <w:p>
      <w:pPr>
        <w:ind w:right="180" w:firstLine="990"/>
        <w:spacing w:after="0" w:line="266" w:lineRule="auto"/>
        <w:rPr>
          <w:sz w:val="20"/>
          <w:szCs w:val="20"/>
          <w:color w:val="auto"/>
        </w:rPr>
      </w:pPr>
      <w:r>
        <w:rPr>
          <w:rFonts w:ascii="Arial" w:cs="Arial" w:eastAsia="Arial" w:hAnsi="Arial"/>
          <w:sz w:val="14"/>
          <w:szCs w:val="14"/>
          <w:color w:val="auto"/>
        </w:rPr>
        <w:t>2.7.5 No consent, approval, order or authorization of, or registration, qualification, designation, declaration or filing, with any Third Party on the part of Licensee or its Affiliates is required in connection with its execution, delivery and performance of this Agreement.</w:t>
      </w:r>
    </w:p>
    <w:p>
      <w:pPr>
        <w:spacing w:after="0" w:line="159"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2.7.6</w:t>
      </w:r>
      <w:r>
        <w:rPr>
          <w:sz w:val="20"/>
          <w:szCs w:val="20"/>
          <w:color w:val="auto"/>
        </w:rPr>
        <w:tab/>
      </w:r>
      <w:r>
        <w:rPr>
          <w:rFonts w:ascii="Arial" w:cs="Arial" w:eastAsia="Arial" w:hAnsi="Arial"/>
          <w:sz w:val="13"/>
          <w:szCs w:val="13"/>
          <w:color w:val="auto"/>
        </w:rPr>
        <w:t>Licensee shall not [***] or [***] to [***] any of the Patent Rights [***] to [***] as long as it is in legal effect.</w:t>
      </w:r>
    </w:p>
    <w:p>
      <w:pPr>
        <w:sectPr>
          <w:pgSz w:w="11900" w:h="16838" w:orient="portrait"/>
          <w:cols w:equalWidth="0" w:num="1">
            <w:col w:w="11220"/>
          </w:cols>
          <w:pgMar w:left="300" w:top="1119" w:right="379" w:bottom="1440" w:gutter="0" w:footer="0" w:header="0"/>
        </w:sectPr>
      </w:pPr>
    </w:p>
    <w:bookmarkStart w:id="219" w:name="page220"/>
    <w:bookmarkEnd w:id="219"/>
    <w:p>
      <w:pPr>
        <w:ind w:left="5400" w:hanging="494"/>
        <w:spacing w:after="0"/>
        <w:tabs>
          <w:tab w:leader="none" w:pos="5400" w:val="left"/>
        </w:tabs>
        <w:numPr>
          <w:ilvl w:val="0"/>
          <w:numId w:val="18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LICENSES AND ASSIGNMENT</w:t>
      </w:r>
    </w:p>
    <w:p>
      <w:pPr>
        <w:spacing w:after="0" w:line="194" w:lineRule="exact"/>
        <w:rPr>
          <w:sz w:val="20"/>
          <w:szCs w:val="20"/>
          <w:color w:val="auto"/>
        </w:rPr>
      </w:pPr>
    </w:p>
    <w:p>
      <w:pPr>
        <w:ind w:firstLine="495"/>
        <w:spacing w:after="0" w:line="269"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Assignment to Assigned Patent Rights</w:t>
      </w:r>
      <w:r>
        <w:rPr>
          <w:rFonts w:ascii="Arial" w:cs="Arial" w:eastAsia="Arial" w:hAnsi="Arial"/>
          <w:sz w:val="13"/>
          <w:szCs w:val="13"/>
          <w:color w:val="auto"/>
        </w:rPr>
        <w:t xml:space="preserve">. Licensor and its Affiliates hereby assign to Licensee all of Licensor’s and its Affiliates’ right, title and interest in and to the Assigned Patent Rights, together with worldwide enforcement rights under the Assigned Patent Rights, free and clear of all liens, mortgages, pledges, security interests, prior assignments and encumbrances of any kind, throughout the world. Such assignment includes the right to (i) sue for (and otherwise assert claims for) and recover damages and obtain any and all other remedies available at law or in equity for any past, present or future infringement, misappropriation or other violation of the foregoing (and settle all such suits, actions and proceedings); (ii) seek appropriate protection therefor (including, where appropriate, the right to seek letters patent); and (iii) claim all rights and priority under the Assigned Patent Rights. Licensor will send to Licensee an executed assignment of the Assigned Patent Rights in the form attached hereto as </w:t>
      </w:r>
      <w:r>
        <w:rPr>
          <w:rFonts w:ascii="Arial" w:cs="Arial" w:eastAsia="Arial" w:hAnsi="Arial"/>
          <w:sz w:val="13"/>
          <w:szCs w:val="13"/>
          <w:b w:val="1"/>
          <w:bCs w:val="1"/>
          <w:i w:val="1"/>
          <w:iCs w:val="1"/>
          <w:color w:val="auto"/>
        </w:rPr>
        <w:t>Exhibit D</w:t>
      </w:r>
      <w:r>
        <w:rPr>
          <w:rFonts w:ascii="Arial" w:cs="Arial" w:eastAsia="Arial" w:hAnsi="Arial"/>
          <w:sz w:val="13"/>
          <w:szCs w:val="13"/>
          <w:color w:val="auto"/>
        </w:rPr>
        <w:t xml:space="preserve"> (“</w:t>
      </w:r>
      <w:r>
        <w:rPr>
          <w:rFonts w:ascii="Arial" w:cs="Arial" w:eastAsia="Arial" w:hAnsi="Arial"/>
          <w:sz w:val="13"/>
          <w:szCs w:val="13"/>
          <w:b w:val="1"/>
          <w:bCs w:val="1"/>
          <w:color w:val="auto"/>
        </w:rPr>
        <w:t>Assignment</w:t>
      </w:r>
      <w:r>
        <w:rPr>
          <w:rFonts w:ascii="Arial" w:cs="Arial" w:eastAsia="Arial" w:hAnsi="Arial"/>
          <w:sz w:val="13"/>
          <w:szCs w:val="13"/>
          <w:color w:val="auto"/>
        </w:rPr>
        <w:t>”) promptly after Licensee has delivered to Licensor a copy of this Agreement signed by both Parties, in accordance with the requirements of Section 10.6 (Notices). Licensee shall file, at its own expense, the Assignment in such patent offices worldwide as it determines in its sole discretion. Licensor shall provide any and all assistance related to the change of assignment and vesting of title at no cost to Licensee as may reasonably be required. As between the Parties, Licensee has the sole and exclusive responsibility for the maintenance of the Assigned Patent Rights (and shall take such actions as reasonably necessary to assume such responsibility within thirty (30) days of the Effective Date), and shall have the sole and exclusive right to prosecute the Assigned Patent Rights in its sole discretion, except as set forth in Section 4.3.2 of this Agreement.</w:t>
      </w:r>
    </w:p>
    <w:p>
      <w:pPr>
        <w:spacing w:after="0" w:line="160" w:lineRule="exact"/>
        <w:rPr>
          <w:sz w:val="20"/>
          <w:szCs w:val="20"/>
          <w:color w:val="auto"/>
        </w:rPr>
      </w:pPr>
    </w:p>
    <w:p>
      <w:pPr>
        <w:ind w:right="20" w:firstLine="495"/>
        <w:spacing w:after="0" w:line="256"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Non-Exclusive License to Exhibit B Patent Rights</w:t>
      </w:r>
      <w:r>
        <w:rPr>
          <w:rFonts w:ascii="Arial" w:cs="Arial" w:eastAsia="Arial" w:hAnsi="Arial"/>
          <w:sz w:val="14"/>
          <w:szCs w:val="14"/>
          <w:color w:val="auto"/>
        </w:rPr>
        <w:t>. Licensor and its Affiliates hereby grant to Licensee and its Affiliates, under Licensor’s entire right, title and interest in and to the Exhibit B Patent Rights, a non-exclusive, worldwide, fully paid up, royalty-free, non-transferable (except in accordance with Section 10.9), sublicensable license to make, have made, use, sell, offer to sell, have sold and import Licensed Products in the Field of Use.</w:t>
      </w:r>
    </w:p>
    <w:p>
      <w:pPr>
        <w:spacing w:after="0" w:line="166"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Exclusive License to Exhibit C Patent Rights.</w:t>
      </w:r>
      <w:r>
        <w:rPr>
          <w:rFonts w:ascii="Arial" w:cs="Arial" w:eastAsia="Arial" w:hAnsi="Arial"/>
          <w:sz w:val="14"/>
          <w:szCs w:val="14"/>
          <w:color w:val="auto"/>
        </w:rPr>
        <w:t xml:space="preserve"> Licensor and its Affiliates hereby grant to Licensee and its Affiliates, under Licensor’s and its Affiliates’ entire right, title and interest in and to the Exhibit C Patent Rights, an exclusive, worldwide, fully paid up, royalty-free, non-transferable (except in accordance with Section 10.9), sublicensable license to make, have made, use, sell, offer to sell, have sold and import Licensed Products in the Field of Use.</w:t>
      </w:r>
    </w:p>
    <w:p>
      <w:pPr>
        <w:spacing w:after="0" w:line="166" w:lineRule="exact"/>
        <w:rPr>
          <w:sz w:val="20"/>
          <w:szCs w:val="20"/>
          <w:color w:val="auto"/>
        </w:rPr>
      </w:pPr>
    </w:p>
    <w:p>
      <w:pPr>
        <w:ind w:firstLine="495"/>
        <w:spacing w:after="0" w:line="317"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Non-Exclusive License to Additional Patent Rights</w:t>
      </w:r>
      <w:r>
        <w:rPr>
          <w:rFonts w:ascii="Arial" w:cs="Arial" w:eastAsia="Arial" w:hAnsi="Arial"/>
          <w:sz w:val="11"/>
          <w:szCs w:val="11"/>
          <w:color w:val="auto"/>
        </w:rPr>
        <w:t>. Licensor and its Affiliates hereby grant to Licensee and its Affiliates, under Licensor’s and its Affiliates’ entire right, title and interest in and to the Additional Patent Rights, a worldwide, non-exclusive, royalty-free, fully paid up, non-transferable (except in accordance with Section 10.9), non-sublicensable license to make, have made, use, sell, offer to sell, have sold and import Permitted Products in the Field of Use. Included within the scope of this license is a perpetual covenant by Licensor not to sue Licensee or its customers for patent infringement on the Permitted Products. Licensee shall: (i) provide, free of charge, to Licensor the following Permitted Product: one (1) t:slim® Insulin Delivery System manufactured [***]; and (ii)</w:t>
      </w:r>
    </w:p>
    <w:p>
      <w:pPr>
        <w:spacing w:after="0" w:line="1" w:lineRule="exact"/>
        <w:rPr>
          <w:sz w:val="20"/>
          <w:szCs w:val="20"/>
          <w:color w:val="auto"/>
        </w:rPr>
      </w:pPr>
    </w:p>
    <w:p>
      <w:pPr>
        <w:ind w:right="220" w:firstLine="3"/>
        <w:spacing w:after="0" w:line="248" w:lineRule="auto"/>
        <w:tabs>
          <w:tab w:leader="none" w:pos="33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and [***] to [***] the [***] of the additional Permitted Products during [***], or as schedules reasonably allow (the “[***]”). Any features added to the Permitted Products after the [***] are not covered by the license granted in this Section 3.4. All [***] as part of or in connection with the [***] that is Licensee’s Confidential Information shall be [***] and [***] ([***]) that shall be [***] disclosure.</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1"/>
          <w:szCs w:val="11"/>
          <w:u w:val="single" w:color="auto"/>
          <w:color w:val="auto"/>
        </w:rPr>
        <w:t>Grants-Back</w:t>
      </w:r>
      <w:r>
        <w:rPr>
          <w:rFonts w:ascii="Arial" w:cs="Arial" w:eastAsia="Arial" w:hAnsi="Arial"/>
          <w:sz w:val="11"/>
          <w:szCs w:val="11"/>
          <w:color w:val="auto"/>
        </w:rPr>
        <w:t>.</w:t>
      </w:r>
    </w:p>
    <w:p>
      <w:pPr>
        <w:spacing w:after="0" w:line="190" w:lineRule="exact"/>
        <w:rPr>
          <w:sz w:val="20"/>
          <w:szCs w:val="20"/>
          <w:color w:val="auto"/>
        </w:rPr>
      </w:pPr>
    </w:p>
    <w:p>
      <w:pPr>
        <w:ind w:right="20" w:firstLine="990"/>
        <w:spacing w:after="0" w:line="256" w:lineRule="auto"/>
        <w:rPr>
          <w:sz w:val="20"/>
          <w:szCs w:val="20"/>
          <w:color w:val="auto"/>
        </w:rPr>
      </w:pPr>
      <w:r>
        <w:rPr>
          <w:rFonts w:ascii="Arial" w:cs="Arial" w:eastAsia="Arial" w:hAnsi="Arial"/>
          <w:sz w:val="14"/>
          <w:szCs w:val="14"/>
          <w:color w:val="auto"/>
        </w:rPr>
        <w:t>3.5.1 Licensee hereby grants to Licensor, under Licensee’s right, title and interest in and to the Assigned Patent Rights, a worldwide, fully paid-up, exclusive, royalty-free, non-transferable (except in accordance with Section 10.9), sublicensable license to make, have made, use, sell, offer to sell, have sold and import products and services outside the Field of Use to the extent any of the foregoing activities would, absent the license granted to Licensor under this Section, infringe the Assigned Patent Rights.</w:t>
      </w:r>
    </w:p>
    <w:p>
      <w:pPr>
        <w:sectPr>
          <w:pgSz w:w="11900" w:h="16838" w:orient="portrait"/>
          <w:cols w:equalWidth="0" w:num="1">
            <w:col w:w="11260"/>
          </w:cols>
          <w:pgMar w:left="300" w:top="1301" w:right="339" w:bottom="1440" w:gutter="0" w:footer="0" w:header="0"/>
        </w:sectPr>
      </w:pPr>
    </w:p>
    <w:bookmarkStart w:id="220" w:name="page221"/>
    <w:bookmarkEnd w:id="220"/>
    <w:p>
      <w:pPr>
        <w:ind w:right="80" w:firstLine="990"/>
        <w:spacing w:after="0" w:line="331" w:lineRule="auto"/>
        <w:rPr>
          <w:sz w:val="20"/>
          <w:szCs w:val="20"/>
          <w:color w:val="auto"/>
        </w:rPr>
      </w:pPr>
      <w:r>
        <w:rPr>
          <w:rFonts w:ascii="Arial" w:cs="Arial" w:eastAsia="Arial" w:hAnsi="Arial"/>
          <w:sz w:val="11"/>
          <w:szCs w:val="11"/>
          <w:color w:val="auto"/>
        </w:rPr>
        <w:t>3.5.2 Licensee hereby grants to Licensor, under Licensee’s right, title and interest in and to the Patent Rights, a worldwide, fully paid-up, non-exclusive, royalty-free, non-transferable (except in accordance with Section 10.9), non-sublicensable license to make, have made, use and import, but not to sell, have sold or offer to sell, those products commercialized by Licensor as of the Effective Date described in the marketplace as “Deltec Cozmo® insulin pump”, “CozMore extension”, and “CoZmonitor PC Communications software” (collectively, “</w:t>
      </w:r>
      <w:r>
        <w:rPr>
          <w:rFonts w:ascii="Arial" w:cs="Arial" w:eastAsia="Arial" w:hAnsi="Arial"/>
          <w:sz w:val="11"/>
          <w:szCs w:val="11"/>
          <w:b w:val="1"/>
          <w:bCs w:val="1"/>
          <w:color w:val="auto"/>
        </w:rPr>
        <w:t>Warranted Products</w:t>
      </w:r>
      <w:r>
        <w:rPr>
          <w:rFonts w:ascii="Arial" w:cs="Arial" w:eastAsia="Arial" w:hAnsi="Arial"/>
          <w:sz w:val="11"/>
          <w:szCs w:val="11"/>
          <w:color w:val="auto"/>
        </w:rPr>
        <w:t>”), solely for purposes of making or having made Warranted Products and supporting its customers’ use of Warranted Products, to the extent any of the foregoing activities would, absent the license granted to Licensor under this Section, infringe any or all of the patents within the Patent Rights. Included within the scope of this license is a perpetual covenant by Licensee not to sue Licensor or its customers for patent infringement on the Warranted Products. Such license shall commence upon the Effective Date and continue through the expiration of the last to expire warranty period of Warranted Products.</w:t>
      </w:r>
    </w:p>
    <w:p>
      <w:pPr>
        <w:spacing w:after="0" w:line="129" w:lineRule="exact"/>
        <w:rPr>
          <w:sz w:val="20"/>
          <w:szCs w:val="20"/>
          <w:color w:val="auto"/>
        </w:rPr>
      </w:pPr>
    </w:p>
    <w:p>
      <w:pPr>
        <w:ind w:right="20" w:firstLine="495"/>
        <w:spacing w:after="0" w:line="266"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Customers</w:t>
      </w:r>
      <w:r>
        <w:rPr>
          <w:rFonts w:ascii="Arial" w:cs="Arial" w:eastAsia="Arial" w:hAnsi="Arial"/>
          <w:sz w:val="14"/>
          <w:szCs w:val="14"/>
          <w:color w:val="auto"/>
        </w:rPr>
        <w:t>. All licenses expressly granted in this Agreement include the right of the relevant licensee to grant its customers (whether direct or indirect) the right to use, sell (for further use or resale), and/or import the relevant licensed products, and such right shall not be considered a sublicense.</w:t>
      </w:r>
    </w:p>
    <w:p>
      <w:pPr>
        <w:spacing w:after="0" w:line="159" w:lineRule="exact"/>
        <w:rPr>
          <w:sz w:val="20"/>
          <w:szCs w:val="20"/>
          <w:color w:val="auto"/>
        </w:rPr>
      </w:pPr>
    </w:p>
    <w:p>
      <w:pPr>
        <w:ind w:firstLine="495"/>
        <w:spacing w:after="0" w:line="269"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Release</w:t>
      </w:r>
      <w:r>
        <w:rPr>
          <w:rFonts w:ascii="Arial" w:cs="Arial" w:eastAsia="Arial" w:hAnsi="Arial"/>
          <w:sz w:val="13"/>
          <w:szCs w:val="13"/>
          <w:color w:val="auto"/>
        </w:rPr>
        <w:t>. Licensor acknowledges and agrees that the Fee (defined in Section 5.1) made hereunder by Licensee constitutes full, complete and final settlement of any and all current and/or future patent infringement claims by or on behalf of Licensor against Licensee based on the manufacture, use, sale, offer for sale and import of Licensed Products and Permitted Products at any time prior to the Effective Date. Licensor, itself and on behalf of its Affiliates, and their respective owners, officers, directors, agents, employees, successors and assigns, and any related, affiliated or subsidiary corporations, entities or businesses, hereby irrevocably and absolutely releases, acquits, and forever discharges Licensee, and any related, affiliated or subsidiary corporations, entities or businesses, from any and all claims, demands, damages, debts, liabilities, actions, causes of action, suits, contracts, controversies, agreements, accounts, reckonings, obligations and judgments, whether in law or in equity, which they, or any of them, may have, or their successors or assigns had, owned or held, or now have, own or hold, or hereafter may have, own or hold which arise out of the Permitted Products falling within any patent claims within the Patent Rights and/or Additional Patent Rights. It is the intention of the Parties that, with respect to payment by Licensee of the Fee, this Agreement shall be effective as a full and final accord and satisfactory release of the foregoing patent infringement matters. In furtherance of this intention, Licensor and its Affiliates waive any and all rights under California Civil Code Section 1542, which reads as follows:</w:t>
      </w:r>
    </w:p>
    <w:p>
      <w:pPr>
        <w:spacing w:after="0" w:line="163" w:lineRule="exact"/>
        <w:rPr>
          <w:sz w:val="20"/>
          <w:szCs w:val="20"/>
          <w:color w:val="auto"/>
        </w:rPr>
      </w:pPr>
    </w:p>
    <w:p>
      <w:pPr>
        <w:ind w:left="4100" w:right="520" w:hanging="3091"/>
        <w:spacing w:after="0" w:line="266" w:lineRule="auto"/>
        <w:rPr>
          <w:sz w:val="20"/>
          <w:szCs w:val="20"/>
          <w:color w:val="auto"/>
        </w:rPr>
      </w:pPr>
      <w:r>
        <w:rPr>
          <w:rFonts w:ascii="Arial" w:cs="Arial" w:eastAsia="Arial" w:hAnsi="Arial"/>
          <w:sz w:val="14"/>
          <w:szCs w:val="14"/>
          <w:color w:val="auto"/>
        </w:rPr>
        <w:t>“A general release does not extend to claims which the creditor does not know of or suspect to exist in his favor at the time of executing the release, which if known by him must have materially affected his settlement with the debtor.”</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Licensor, itself and on behalf of its Affiliates, acknowledges having read all of this release, including the above Civil Code Section, and fully understands both the release and the Civil Code Section. In connection with such waiver and release, Licensor, itself and on behalf of its Affiliates, acknowledges and affirms that it is aware that it or its attorneys or accountants may hereafter discover facts in addition to or different from those which it now knows or believes to exist with respect to the subject matter of this release, but that it is its intention hereby fully, finally and forever to settle and release all of the claims, disputes and differences, known or unknown, suspected or unsuspected, which now exist or may exist, and/or which any of them may hold, acquire or become vested with against another party on account of the above described matter or payment by Licensee of the Fee. This release is, shall be, and shall remain in effect as a full and complete release related to such matters notwithstanding the discovery or existence of any such additional or different facts.</w:t>
      </w:r>
    </w:p>
    <w:p>
      <w:pPr>
        <w:spacing w:after="0" w:line="166" w:lineRule="exact"/>
        <w:rPr>
          <w:sz w:val="20"/>
          <w:szCs w:val="20"/>
          <w:color w:val="auto"/>
        </w:rPr>
      </w:pPr>
    </w:p>
    <w:p>
      <w:pPr>
        <w:ind w:left="4140" w:hanging="243"/>
        <w:spacing w:after="0"/>
        <w:tabs>
          <w:tab w:leader="none" w:pos="4140"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PATENT PROSECUTION AND MAINTENANCE</w:t>
      </w:r>
    </w:p>
    <w:p>
      <w:pPr>
        <w:spacing w:after="0" w:line="194" w:lineRule="exact"/>
        <w:rPr>
          <w:sz w:val="20"/>
          <w:szCs w:val="20"/>
          <w:color w:val="auto"/>
        </w:rPr>
      </w:pPr>
    </w:p>
    <w:p>
      <w:pPr>
        <w:ind w:right="580" w:firstLine="495"/>
        <w:spacing w:after="0" w:line="266"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General</w:t>
      </w:r>
      <w:r>
        <w:rPr>
          <w:rFonts w:ascii="Arial" w:cs="Arial" w:eastAsia="Arial" w:hAnsi="Arial"/>
          <w:sz w:val="14"/>
          <w:szCs w:val="14"/>
          <w:color w:val="auto"/>
        </w:rPr>
        <w:t>. For purposes of this Article 4, the right to control prosecution of a patent or patent application shall include the right to control preparing, filing, and prosecuting patent applications therefor, and obtaining and maintaining any resulting patents.</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1"/>
          <w:szCs w:val="11"/>
          <w:u w:val="single" w:color="auto"/>
          <w:color w:val="auto"/>
        </w:rPr>
        <w:t>Licensed Patents.</w:t>
      </w:r>
    </w:p>
    <w:p>
      <w:pPr>
        <w:sectPr>
          <w:pgSz w:w="11900" w:h="16838" w:orient="portrait"/>
          <w:cols w:equalWidth="0" w:num="1">
            <w:col w:w="11280"/>
          </w:cols>
          <w:pgMar w:left="300" w:top="1119" w:right="319" w:bottom="1440" w:gutter="0" w:footer="0" w:header="0"/>
        </w:sectPr>
      </w:pPr>
    </w:p>
    <w:bookmarkStart w:id="221" w:name="page222"/>
    <w:bookmarkEnd w:id="221"/>
    <w:p>
      <w:pPr>
        <w:ind w:right="80" w:firstLine="990"/>
        <w:spacing w:after="0" w:line="266" w:lineRule="auto"/>
        <w:rPr>
          <w:sz w:val="20"/>
          <w:szCs w:val="20"/>
          <w:color w:val="auto"/>
        </w:rPr>
      </w:pPr>
      <w:r>
        <w:rPr>
          <w:rFonts w:ascii="Arial" w:cs="Arial" w:eastAsia="Arial" w:hAnsi="Arial"/>
          <w:sz w:val="14"/>
          <w:szCs w:val="14"/>
          <w:color w:val="auto"/>
        </w:rPr>
        <w:t>4.2.1 Licensor shall use reasonably diligent efforts in controlling, filing, prosecuting, and maintaining any and all patents and patent applications within the Licensed Patents and shall hold title to all Licensed Patents, in all cases at its own cost and expense.</w:t>
      </w:r>
    </w:p>
    <w:p>
      <w:pPr>
        <w:spacing w:after="0" w:line="159" w:lineRule="exact"/>
        <w:rPr>
          <w:sz w:val="20"/>
          <w:szCs w:val="20"/>
          <w:color w:val="auto"/>
        </w:rPr>
      </w:pPr>
    </w:p>
    <w:p>
      <w:pPr>
        <w:ind w:firstLine="990"/>
        <w:spacing w:after="0" w:line="319" w:lineRule="auto"/>
        <w:rPr>
          <w:sz w:val="20"/>
          <w:szCs w:val="20"/>
          <w:color w:val="auto"/>
        </w:rPr>
      </w:pPr>
      <w:r>
        <w:rPr>
          <w:rFonts w:ascii="Arial" w:cs="Arial" w:eastAsia="Arial" w:hAnsi="Arial"/>
          <w:sz w:val="11"/>
          <w:szCs w:val="11"/>
          <w:color w:val="auto"/>
        </w:rPr>
        <w:t>4.2.2 Licensee shall have the right of review and comment in respect to the Licensed Patents, meaning Licensor shall consult with Licensee in good faith regarding the preparation, filing, prosecution, and maintenance of the Licensed Patents, including the conduct of interferences, the defense of oppositions and other similar proceedings with respect to claims therein. Without limiting the foregoing, Licensor will timely provide Licensee with a copy of any proposed patent application within such Licensed Patents and any proposed response or submission to any patent office at least</w:t>
      </w:r>
    </w:p>
    <w:p>
      <w:pPr>
        <w:ind w:right="20" w:firstLine="3"/>
        <w:spacing w:after="0" w:line="313" w:lineRule="auto"/>
        <w:tabs>
          <w:tab w:leader="none" w:pos="332" w:val="left"/>
        </w:tabs>
        <w:numPr>
          <w:ilvl w:val="0"/>
          <w:numId w:val="187"/>
        </w:numPr>
        <w:rPr>
          <w:rFonts w:ascii="Arial" w:cs="Arial" w:eastAsia="Arial" w:hAnsi="Arial"/>
          <w:sz w:val="11"/>
          <w:szCs w:val="11"/>
          <w:color w:val="auto"/>
        </w:rPr>
      </w:pPr>
      <w:r>
        <w:rPr>
          <w:rFonts w:ascii="Arial" w:cs="Arial" w:eastAsia="Arial" w:hAnsi="Arial"/>
          <w:sz w:val="11"/>
          <w:szCs w:val="11"/>
          <w:color w:val="auto"/>
        </w:rPr>
        <w:t>business days prior to the filing or response deadline; provided, however, that such [***] business day period shall be reasonably reduced on a case-by-case basis in the event that, due to no fault of Licensor or its agents and despite reasonable efforts of Licensor and its agents, compliance within such period of time is not feasible in order to timely proceed with the relevant submission or other contemplated action. Licensor will consider in good faith all comments made by Licensee with respect to such draft response or submission, and will not unreasonably fail to act on any reasonable changes recommended by Licensee related thereto (and, notwithstanding Section 4.2.1, any demonstrated reasonable increased cost as a result of Licensee’s inputs will be borne by Licensee); provided, however, that in the event of a good faith disagreement between Licensee and Licensor, Licensor shall have the sole right to determine the contents of such submission. To that end, Licensor will keep Licensee reasonably informed of the status of the applicable Licensed Patents, including, without limitation: (a) by providing Licensee with copies of [***] received from or filed in patent office(s), or received from or sent to [***], with respect to such filing, (b) by providing a docket report at least annually upon request from Licensee and (c) by providing Licensee a reasonable time, but in any event not less than</w:t>
      </w:r>
    </w:p>
    <w:p>
      <w:pPr>
        <w:ind w:right="100" w:firstLine="3"/>
        <w:spacing w:after="0" w:line="247" w:lineRule="auto"/>
        <w:tabs>
          <w:tab w:leader="none" w:pos="33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business days (subject to possible reductions as set forth in the prior sentence), prior to [***] that would [***] the pendency of any such filing, with prior written notice of such proposed action or inaction so that Licensee has a reasonable opportunity to review and comment. In furtherance of the foregoing requirements, Licensor shall itself, or shall instruct and use reasonable efforts to ensure that its outside patent counsel, promptly forward to Licensee a copy of [***] received from or sent to [***] relating to the Licensed Patents, and Licensor and Licensee each agree to [***] if deemed advisable by Licensee’s and/or Licensor’s patent counsel.</w:t>
      </w:r>
    </w:p>
    <w:p>
      <w:pPr>
        <w:spacing w:after="0" w:line="173" w:lineRule="exact"/>
        <w:rPr>
          <w:sz w:val="20"/>
          <w:szCs w:val="20"/>
          <w:color w:val="auto"/>
        </w:rPr>
      </w:pPr>
    </w:p>
    <w:p>
      <w:pPr>
        <w:ind w:right="20" w:firstLine="990"/>
        <w:spacing w:after="0" w:line="248" w:lineRule="auto"/>
        <w:rPr>
          <w:sz w:val="20"/>
          <w:szCs w:val="20"/>
          <w:color w:val="auto"/>
        </w:rPr>
      </w:pPr>
      <w:r>
        <w:rPr>
          <w:rFonts w:ascii="Arial" w:cs="Arial" w:eastAsia="Arial" w:hAnsi="Arial"/>
          <w:sz w:val="14"/>
          <w:szCs w:val="14"/>
          <w:color w:val="auto"/>
        </w:rPr>
        <w:t>4.2.3 Licensor shall not intentionally abandon the maintenance or prosecution of any patent or patent application within the Licensed Patents (and any abandonment during a bankruptcy proceeding shall be deemed intentional) without submitting written notice to Licensee and an offer to assign for no additional consideration any such patent(s) or patent application(s) to Licensee, provided that Licensee and/or its successor(s) in interest to the Licensed Patents keep Licensor informed of its current address for notices, in which case, if Licensee has so accepted such offer and Licensor has so assigned any such patent(s) or patent application(s), Licensee shall have the sole and exclusive right to control, file and prosecute such patents and patent applications, at its own cost. If one of the patents or patent applications within the Licensed Patents goes abandoned as a result of Licensor’s negligence or willful misconduct (“</w:t>
      </w:r>
      <w:r>
        <w:rPr>
          <w:rFonts w:ascii="Arial" w:cs="Arial" w:eastAsia="Arial" w:hAnsi="Arial"/>
          <w:sz w:val="14"/>
          <w:szCs w:val="14"/>
          <w:b w:val="1"/>
          <w:bCs w:val="1"/>
          <w:color w:val="auto"/>
        </w:rPr>
        <w:t>Abandoned Patent</w:t>
      </w:r>
      <w:r>
        <w:rPr>
          <w:rFonts w:ascii="Arial" w:cs="Arial" w:eastAsia="Arial" w:hAnsi="Arial"/>
          <w:sz w:val="14"/>
          <w:szCs w:val="14"/>
          <w:color w:val="auto"/>
        </w:rPr>
        <w:t>”), and provided that Licensor notifies Licensee promptly upon becoming aware of such negligence or willful misconduct, then, without limiting Licensee’s available equitable remedies, the maximum amount recoverable by Licensee from Licensor with respect to a claim for damages caused by such negligence or willful misconduct will be [***] of the [***], and, in the aggregate, the maximum recoverable amount shall in no event be more than [***] of the [***].</w:t>
      </w:r>
    </w:p>
    <w:p>
      <w:pPr>
        <w:spacing w:after="0" w:line="17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1"/>
          <w:szCs w:val="11"/>
          <w:u w:val="single" w:color="auto"/>
          <w:color w:val="auto"/>
        </w:rPr>
        <w:t xml:space="preserve">Assigned Patent Rights. </w:t>
      </w:r>
      <w:r>
        <w:rPr>
          <w:rFonts w:ascii="Arial" w:cs="Arial" w:eastAsia="Arial" w:hAnsi="Arial"/>
          <w:sz w:val="11"/>
          <w:szCs w:val="11"/>
          <w:color w:val="auto"/>
        </w:rPr>
        <w:t>Licensor shall use reasonable and customary care with respect to the prosecution and maintenance of the Assigned Patent Rights [***] has [***] the [***] or</w:t>
      </w:r>
    </w:p>
    <w:p>
      <w:pPr>
        <w:spacing w:after="0" w:line="13" w:lineRule="exact"/>
        <w:rPr>
          <w:sz w:val="20"/>
          <w:szCs w:val="20"/>
          <w:color w:val="auto"/>
        </w:rPr>
      </w:pPr>
    </w:p>
    <w:p>
      <w:pPr>
        <w:ind w:right="280" w:firstLine="3"/>
        <w:spacing w:after="0" w:line="251" w:lineRule="auto"/>
        <w:tabs>
          <w:tab w:leader="none" w:pos="332"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 that is [***] the [***]. Absent Licensor’s recklessness or willful misconduct, Licensor shall not be liable for damages stemming from one or more of the foreign counterparts within the Assigned Patent Rights going abandoned before Licensee takes over prosecution.</w:t>
      </w:r>
    </w:p>
    <w:p>
      <w:pPr>
        <w:spacing w:after="0" w:line="169" w:lineRule="exact"/>
        <w:rPr>
          <w:sz w:val="20"/>
          <w:szCs w:val="20"/>
          <w:color w:val="auto"/>
        </w:rPr>
      </w:pPr>
    </w:p>
    <w:p>
      <w:pPr>
        <w:ind w:right="20" w:firstLine="990"/>
        <w:spacing w:after="0" w:line="256" w:lineRule="auto"/>
        <w:rPr>
          <w:sz w:val="20"/>
          <w:szCs w:val="20"/>
          <w:color w:val="auto"/>
        </w:rPr>
      </w:pPr>
      <w:r>
        <w:rPr>
          <w:rFonts w:ascii="Arial" w:cs="Arial" w:eastAsia="Arial" w:hAnsi="Arial"/>
          <w:sz w:val="14"/>
          <w:szCs w:val="14"/>
          <w:color w:val="auto"/>
        </w:rPr>
        <w:t xml:space="preserve">4.3.1 Licensee shall use reasonably diligent efforts in controlling, prosecuting, and maintaining U.S. patent application numbers [***] and [***] and any and all patents and patent applications resulting therefrom, (collectively, the “[***] </w:t>
      </w:r>
      <w:r>
        <w:rPr>
          <w:rFonts w:ascii="Arial" w:cs="Arial" w:eastAsia="Arial" w:hAnsi="Arial"/>
          <w:sz w:val="14"/>
          <w:szCs w:val="14"/>
          <w:b w:val="1"/>
          <w:bCs w:val="1"/>
          <w:color w:val="auto"/>
        </w:rPr>
        <w:t>and</w:t>
      </w:r>
      <w:r>
        <w:rPr>
          <w:rFonts w:ascii="Arial" w:cs="Arial" w:eastAsia="Arial" w:hAnsi="Arial"/>
          <w:sz w:val="14"/>
          <w:szCs w:val="14"/>
          <w:color w:val="auto"/>
        </w:rPr>
        <w:t xml:space="preserve"> [***] </w:t>
      </w:r>
      <w:r>
        <w:rPr>
          <w:rFonts w:ascii="Arial" w:cs="Arial" w:eastAsia="Arial" w:hAnsi="Arial"/>
          <w:sz w:val="14"/>
          <w:szCs w:val="14"/>
          <w:b w:val="1"/>
          <w:bCs w:val="1"/>
          <w:color w:val="auto"/>
        </w:rPr>
        <w:t>Properties</w:t>
      </w:r>
      <w:r>
        <w:rPr>
          <w:rFonts w:ascii="Arial" w:cs="Arial" w:eastAsia="Arial" w:hAnsi="Arial"/>
          <w:sz w:val="14"/>
          <w:szCs w:val="14"/>
          <w:color w:val="auto"/>
        </w:rPr>
        <w:t>”) in all cases at its own cost and expense. For the avoidance of doubt, the [***] and [***] Properties are part of the Assigned Patent Rights.</w:t>
      </w:r>
    </w:p>
    <w:p>
      <w:pPr>
        <w:sectPr>
          <w:pgSz w:w="11900" w:h="16838" w:orient="portrait"/>
          <w:cols w:equalWidth="0" w:num="1">
            <w:col w:w="11280"/>
          </w:cols>
          <w:pgMar w:left="300" w:top="1119" w:right="319" w:bottom="1440" w:gutter="0" w:footer="0" w:header="0"/>
        </w:sectPr>
      </w:pPr>
    </w:p>
    <w:bookmarkStart w:id="222" w:name="page223"/>
    <w:bookmarkEnd w:id="222"/>
    <w:p>
      <w:pPr>
        <w:ind w:right="20" w:firstLine="990"/>
        <w:spacing w:after="0" w:line="268" w:lineRule="auto"/>
        <w:rPr>
          <w:sz w:val="20"/>
          <w:szCs w:val="20"/>
          <w:color w:val="auto"/>
        </w:rPr>
      </w:pPr>
      <w:r>
        <w:rPr>
          <w:rFonts w:ascii="Arial" w:cs="Arial" w:eastAsia="Arial" w:hAnsi="Arial"/>
          <w:sz w:val="13"/>
          <w:szCs w:val="13"/>
          <w:color w:val="auto"/>
        </w:rPr>
        <w:t>4.3.2 Licensor shall have the right of review and comment with respect to the [***] and [***] Properties, meaning Licensee shall consult with Licensor in good faith regarding the prosecution and maintenance of the [***] and [***] Properties, including the conduct of [***], the [***] and other [***] with respect to claims therein. Without limiting the foregoing, Licensee will timely provide Licensor with a copy of any proposed patent application within the [***] and [***] Properties and any proposed response or submission to [***] at least [***] business days prior to the filing or response deadline; provided, however, that such [***] business day period shall be reasonably reduced on a case-by-case basis in the event that, due to no fault of Licensee or its agents and despite reasonable efforts of Licensee and its agents, compliance within such period of time is not feasible in order to timely proceed with the relevant submission or other contemplated action. Licensee will consider in good faith all comments made by Licensor with respect to such draft response or submission, and will not unreasonably fail to act on any reasonable changes recommended by Licensor related thereto (and, notwithstanding Section 4.2.1, any demonstrated reasonable increased cost as a result of Licensor’s inputs will be borne by Licensor); provided, however, that in the event of a good faith disagreement between Licensee and Licensor, Licensee shall have the sole right to determine the contents of such submission. To that end, Licensee will keep Licensor reasonably informed of the status of the [***] and [***] Properties, including, without limitation: (a) by providing Licensor with copies of [***] received from or filed in patent office(s), or received from or sent to [***], with respect to such filing, (b) by providing a docket report at least annually upon request from Licensor and (c) by providing Licensor a reasonable time, but in any event not less than [***] business days (subject to possible reductions as set forth in the prior sentence), prior to [***] or [***] that would [***] the pendency of any such filing, with prior written notice of such proposed action or inaction so that Licensor has a reasonable opportunity to review and comment. In furtherance of the foregoing requirements, Licensee shall itself, or shall instruct and use reasonable efforts to ensure that its outside patent counsel, promptly forward to Licensor a copy of [***] received from or sent to [***] relating to the [***] and [***] Properties and any applications claiming priority to them, and Licensee and Licensor each agree to [***] if deemed advisable by Licensor’s and/or Licensee’s patent counsel.</w:t>
      </w:r>
    </w:p>
    <w:p>
      <w:pPr>
        <w:spacing w:after="0" w:line="159" w:lineRule="exact"/>
        <w:rPr>
          <w:sz w:val="20"/>
          <w:szCs w:val="20"/>
          <w:color w:val="auto"/>
        </w:rPr>
      </w:pPr>
    </w:p>
    <w:p>
      <w:pPr>
        <w:ind w:right="40" w:firstLine="990"/>
        <w:spacing w:after="0" w:line="316" w:lineRule="auto"/>
        <w:rPr>
          <w:sz w:val="20"/>
          <w:szCs w:val="20"/>
          <w:color w:val="auto"/>
        </w:rPr>
      </w:pPr>
      <w:r>
        <w:rPr>
          <w:rFonts w:ascii="Arial" w:cs="Arial" w:eastAsia="Arial" w:hAnsi="Arial"/>
          <w:sz w:val="11"/>
          <w:szCs w:val="11"/>
          <w:color w:val="auto"/>
        </w:rPr>
        <w:t>4.3.3 The provisions of Section 3.1 (Assignment of Assigned Patent Rights) notwithstanding, Licensee shall not intentionally abandon the maintenance or prosecution of any patent or patent application within the [***] and [***] Properties without submitting written notice to Licensor and an offer to assign for no additional consideration any such patent(s) or patent application(s) to Licensor, in which case, if Licensor has so accepted such offer and Licensee has so assigned any such patent(s) or patent application(s) Licensor shall have the sole and exclusive right to control, file and prosecute such patents and patent applications, at its own cost. However, if one of the U.S. patents or patent applications within the [***] and [***] Properties goes abandoned as a result of Licensee’s negligence or willful misconduct, and provided that Licensee notifies Licensor promptly upon becoming aware of such negligence or willful misconduct, then, without limiting Licensor’s available equitable remedies, the maximum amount recoverable by Licensor from Licensee with respect to a claim for damages caused by such negligence or willful misconduct will be [***] of the [***] within the</w:t>
      </w:r>
    </w:p>
    <w:p>
      <w:pPr>
        <w:ind w:left="340" w:hanging="337"/>
        <w:spacing w:after="0"/>
        <w:tabs>
          <w:tab w:leader="none" w:pos="3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and [***] Properties, and, in the aggregate, the maximum recoverable amount shall in no event be more than [***] of the [***].</w:t>
      </w:r>
    </w:p>
    <w:p>
      <w:pPr>
        <w:spacing w:after="0" w:line="176" w:lineRule="exact"/>
        <w:rPr>
          <w:rFonts w:ascii="Arial" w:cs="Arial" w:eastAsia="Arial" w:hAnsi="Arial"/>
          <w:sz w:val="14"/>
          <w:szCs w:val="14"/>
          <w:color w:val="auto"/>
        </w:rPr>
      </w:pPr>
    </w:p>
    <w:p>
      <w:pPr>
        <w:ind w:left="5080" w:hanging="247"/>
        <w:spacing w:after="0"/>
        <w:tabs>
          <w:tab w:leader="none" w:pos="5080" w:val="left"/>
        </w:tabs>
        <w:numPr>
          <w:ilvl w:val="1"/>
          <w:numId w:val="1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COMPENSATION</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1"/>
          <w:szCs w:val="11"/>
          <w:u w:val="single" w:color="auto"/>
          <w:color w:val="auto"/>
        </w:rPr>
        <w:t>Total Consideration</w:t>
      </w:r>
      <w:r>
        <w:rPr>
          <w:rFonts w:ascii="Arial" w:cs="Arial" w:eastAsia="Arial" w:hAnsi="Arial"/>
          <w:sz w:val="11"/>
          <w:szCs w:val="11"/>
          <w:color w:val="auto"/>
        </w:rPr>
        <w:t>. The total amounts due by Licensee to Licensor (“</w:t>
      </w:r>
      <w:r>
        <w:rPr>
          <w:rFonts w:ascii="Arial" w:cs="Arial" w:eastAsia="Arial" w:hAnsi="Arial"/>
          <w:sz w:val="11"/>
          <w:szCs w:val="11"/>
          <w:b w:val="1"/>
          <w:bCs w:val="1"/>
          <w:color w:val="auto"/>
        </w:rPr>
        <w:t>Total Consideration</w:t>
      </w:r>
      <w:r>
        <w:rPr>
          <w:rFonts w:ascii="Arial" w:cs="Arial" w:eastAsia="Arial" w:hAnsi="Arial"/>
          <w:sz w:val="11"/>
          <w:szCs w:val="11"/>
          <w:color w:val="auto"/>
        </w:rPr>
        <w:t>”) for all rights conveyed herein shall be, collectively: (i) a fee of five million U.S. dollars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($5,000,000.00) (“</w:t>
      </w:r>
      <w:r>
        <w:rPr>
          <w:rFonts w:ascii="Arial" w:cs="Arial" w:eastAsia="Arial" w:hAnsi="Arial"/>
          <w:sz w:val="11"/>
          <w:szCs w:val="11"/>
          <w:b w:val="1"/>
          <w:bCs w:val="1"/>
          <w:color w:val="auto"/>
        </w:rPr>
        <w:t>Fee</w:t>
      </w:r>
      <w:r>
        <w:rPr>
          <w:rFonts w:ascii="Arial" w:cs="Arial" w:eastAsia="Arial" w:hAnsi="Arial"/>
          <w:sz w:val="11"/>
          <w:szCs w:val="11"/>
          <w:color w:val="auto"/>
        </w:rPr>
        <w:t>”); and (ii) Sublicensing Revenues. Licensee shall pay Licensor the Fee as follows: one million U.S. dollars ($1,000,000.00) by July 15, 2012, followed by a payment of five hundred</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thousand U.S. dollars ($500,000.00) by January 15, 2013, followed by a payment of one million five hundred thousand U.S. dollars ($1,500,000.00) by July 15, 2013, followed by a payment of one million</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U.S. dollars ($1,000,000.00) by January 15, 2014, and followed by the final payment of one million U.S. dollars ($1,000,000.00) by July 15, 2014. No ongoing or running royalties shall be due Licensor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other than any Sublicensing Revenue as described in Section 5.2.</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1"/>
          <w:szCs w:val="11"/>
          <w:u w:val="single" w:color="auto"/>
          <w:color w:val="auto"/>
        </w:rPr>
        <w:t>Sublicensing Revenue</w:t>
      </w:r>
      <w:r>
        <w:rPr>
          <w:rFonts w:ascii="Arial" w:cs="Arial" w:eastAsia="Arial" w:hAnsi="Arial"/>
          <w:sz w:val="11"/>
          <w:szCs w:val="11"/>
          <w:color w:val="auto"/>
        </w:rPr>
        <w:t>. Licensee shall pay to Licensor fifty percent (50%) of Licensee’s Sublicensing Revenues within forty-five (45) days of Licensee’s receipt thereof.</w:t>
      </w:r>
    </w:p>
    <w:p>
      <w:pPr>
        <w:sectPr>
          <w:pgSz w:w="11900" w:h="16838" w:orient="portrait"/>
          <w:cols w:equalWidth="0" w:num="1">
            <w:col w:w="11260"/>
          </w:cols>
          <w:pgMar w:left="300" w:top="1119" w:right="339" w:bottom="1440" w:gutter="0" w:footer="0" w:header="0"/>
        </w:sectPr>
      </w:pPr>
    </w:p>
    <w:bookmarkStart w:id="223" w:name="page224"/>
    <w:bookmarkEnd w:id="223"/>
    <w:p>
      <w:pPr>
        <w:ind w:left="500"/>
        <w:spacing w:after="0"/>
        <w:tabs>
          <w:tab w:leader="none" w:pos="96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1"/>
          <w:szCs w:val="11"/>
          <w:u w:val="single" w:color="auto"/>
          <w:color w:val="auto"/>
        </w:rPr>
        <w:t xml:space="preserve">Address for Payments. </w:t>
      </w:r>
      <w:r>
        <w:rPr>
          <w:rFonts w:ascii="Arial" w:cs="Arial" w:eastAsia="Arial" w:hAnsi="Arial"/>
          <w:sz w:val="11"/>
          <w:szCs w:val="11"/>
          <w:color w:val="auto"/>
        </w:rPr>
        <w:t>Payments shall be sent to:</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Payable</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Smiths Medical ASD, Inc.</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5200 Upper Metro Place, Suite 200</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Dublin, OH 43017</w:t>
      </w:r>
    </w:p>
    <w:p>
      <w:pPr>
        <w:spacing w:after="0" w:line="180" w:lineRule="exact"/>
        <w:rPr>
          <w:sz w:val="20"/>
          <w:szCs w:val="20"/>
          <w:color w:val="auto"/>
        </w:rPr>
      </w:pPr>
    </w:p>
    <w:p>
      <w:pPr>
        <w:jc w:val="both"/>
        <w:ind w:right="320" w:firstLine="495"/>
        <w:spacing w:after="0" w:line="256"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Late Payments.</w:t>
      </w:r>
      <w:r>
        <w:rPr>
          <w:rFonts w:ascii="Arial" w:cs="Arial" w:eastAsia="Arial" w:hAnsi="Arial"/>
          <w:sz w:val="14"/>
          <w:szCs w:val="14"/>
          <w:color w:val="auto"/>
        </w:rPr>
        <w:t xml:space="preserve"> Licensee shall be fully responsible for the prompt payment of all payments due to Licensor pursuant to this Agreement. Upon Licensee's failure to timely deliver any payment due hereunder, a late fee of [***] of any past due amount shall be assessed upon any installment or royalty payment being late plus [***] additional fee each following month, or the highest amount permitted under applicable law, whichever is less, shall be immediately assessed on overdue payments.</w:t>
      </w:r>
    </w:p>
    <w:p>
      <w:pPr>
        <w:spacing w:after="0" w:line="162" w:lineRule="exact"/>
        <w:rPr>
          <w:sz w:val="20"/>
          <w:szCs w:val="20"/>
          <w:color w:val="auto"/>
        </w:rPr>
      </w:pPr>
    </w:p>
    <w:p>
      <w:pPr>
        <w:ind w:left="4820" w:hanging="251"/>
        <w:spacing w:after="0"/>
        <w:tabs>
          <w:tab w:leader="none" w:pos="4820"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PATENT ENFORCEMENT</w:t>
      </w:r>
    </w:p>
    <w:p>
      <w:pPr>
        <w:spacing w:after="0" w:line="19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3"/>
          <w:szCs w:val="13"/>
          <w:u w:val="single" w:color="auto"/>
          <w:color w:val="auto"/>
        </w:rPr>
        <w:t>Assertion</w:t>
      </w:r>
      <w:r>
        <w:rPr>
          <w:rFonts w:ascii="Arial" w:cs="Arial" w:eastAsia="Arial" w:hAnsi="Arial"/>
          <w:sz w:val="13"/>
          <w:szCs w:val="13"/>
          <w:color w:val="auto"/>
        </w:rPr>
        <w:t>.</w:t>
      </w:r>
    </w:p>
    <w:p>
      <w:pPr>
        <w:spacing w:after="0" w:line="190" w:lineRule="exact"/>
        <w:rPr>
          <w:sz w:val="20"/>
          <w:szCs w:val="20"/>
          <w:color w:val="auto"/>
        </w:rPr>
      </w:pPr>
    </w:p>
    <w:p>
      <w:pPr>
        <w:ind w:right="220" w:firstLine="990"/>
        <w:spacing w:after="0" w:line="266" w:lineRule="auto"/>
        <w:rPr>
          <w:sz w:val="20"/>
          <w:szCs w:val="20"/>
          <w:color w:val="auto"/>
        </w:rPr>
      </w:pPr>
      <w:r>
        <w:rPr>
          <w:rFonts w:ascii="Arial" w:cs="Arial" w:eastAsia="Arial" w:hAnsi="Arial"/>
          <w:sz w:val="14"/>
          <w:szCs w:val="14"/>
          <w:color w:val="auto"/>
        </w:rPr>
        <w:t>6.1.1 If a Party learns of any actual, alleged or threatened infringement by a Third Party of any of the Patent Rights, such Party shall promptly notify the other Party (subject to any contractual obligations of confidentiality the knowing Party may owe to such Third Party) and shall [***] of [***].</w:t>
      </w:r>
    </w:p>
    <w:p>
      <w:pPr>
        <w:spacing w:after="0" w:line="159" w:lineRule="exact"/>
        <w:rPr>
          <w:sz w:val="20"/>
          <w:szCs w:val="20"/>
          <w:color w:val="auto"/>
        </w:rPr>
      </w:pPr>
    </w:p>
    <w:p>
      <w:pPr>
        <w:ind w:right="160" w:firstLine="990"/>
        <w:spacing w:after="0" w:line="266" w:lineRule="auto"/>
        <w:rPr>
          <w:sz w:val="20"/>
          <w:szCs w:val="20"/>
          <w:color w:val="auto"/>
        </w:rPr>
      </w:pPr>
      <w:r>
        <w:rPr>
          <w:rFonts w:ascii="Arial" w:cs="Arial" w:eastAsia="Arial" w:hAnsi="Arial"/>
          <w:sz w:val="14"/>
          <w:szCs w:val="14"/>
          <w:color w:val="auto"/>
        </w:rPr>
        <w:t>6.1.2 Licensee shall have the first worldwide right (but not the duty) to enforce the Assigned Patent Rights. Licensor shall have the first right, upon Licensee’s prior written consent, which shall not be unreasonably withheld, to enforce the Assigned Patent Rights outside the Field of Use.</w:t>
      </w:r>
    </w:p>
    <w:p>
      <w:pPr>
        <w:spacing w:after="0" w:line="159" w:lineRule="exact"/>
        <w:rPr>
          <w:sz w:val="20"/>
          <w:szCs w:val="20"/>
          <w:color w:val="auto"/>
        </w:rPr>
      </w:pPr>
    </w:p>
    <w:p>
      <w:pPr>
        <w:jc w:val="both"/>
        <w:ind w:firstLine="990"/>
        <w:spacing w:after="0" w:line="266" w:lineRule="auto"/>
        <w:rPr>
          <w:sz w:val="20"/>
          <w:szCs w:val="20"/>
          <w:color w:val="auto"/>
        </w:rPr>
      </w:pPr>
      <w:r>
        <w:rPr>
          <w:rFonts w:ascii="Arial" w:cs="Arial" w:eastAsia="Arial" w:hAnsi="Arial"/>
          <w:sz w:val="14"/>
          <w:szCs w:val="14"/>
          <w:color w:val="auto"/>
        </w:rPr>
        <w:t>6.1.3 Except where prohibited by [***], Licensee shall have the first worldwide right (but not the duty) to enforce the Licensed Patents in the Field of Use. Licensor shall have the first right (but not the duty) to enforce the Licensed Patents outside the Field of Use.</w:t>
      </w:r>
    </w:p>
    <w:p>
      <w:pPr>
        <w:spacing w:after="0" w:line="155" w:lineRule="exact"/>
        <w:rPr>
          <w:sz w:val="20"/>
          <w:szCs w:val="20"/>
          <w:color w:val="auto"/>
        </w:rPr>
      </w:pPr>
    </w:p>
    <w:p>
      <w:pPr>
        <w:jc w:val="both"/>
        <w:ind w:right="20" w:firstLine="990"/>
        <w:spacing w:after="0" w:line="321" w:lineRule="auto"/>
        <w:rPr>
          <w:sz w:val="20"/>
          <w:szCs w:val="20"/>
          <w:color w:val="auto"/>
        </w:rPr>
      </w:pPr>
      <w:r>
        <w:rPr>
          <w:rFonts w:ascii="Arial" w:cs="Arial" w:eastAsia="Arial" w:hAnsi="Arial"/>
          <w:sz w:val="11"/>
          <w:szCs w:val="11"/>
          <w:color w:val="auto"/>
        </w:rPr>
        <w:t>6.1.4 Each Party shall notify the other Party reasonably in advance before taking any action to enforce any claim within the Patent Rights against a Third Party (“</w:t>
      </w:r>
      <w:r>
        <w:rPr>
          <w:rFonts w:ascii="Arial" w:cs="Arial" w:eastAsia="Arial" w:hAnsi="Arial"/>
          <w:sz w:val="11"/>
          <w:szCs w:val="11"/>
          <w:b w:val="1"/>
          <w:bCs w:val="1"/>
          <w:color w:val="auto"/>
        </w:rPr>
        <w:t>Action</w:t>
      </w:r>
      <w:r>
        <w:rPr>
          <w:rFonts w:ascii="Arial" w:cs="Arial" w:eastAsia="Arial" w:hAnsi="Arial"/>
          <w:sz w:val="11"/>
          <w:szCs w:val="11"/>
          <w:color w:val="auto"/>
        </w:rPr>
        <w:t>”). The Parties shall confer with each other to find out whether or not any agreement entered into by either Party prohibits it from joining as a party to the action. If the Action is subject to such a restriction on one Party, that one Party [***] of the [***], and [***] in such event, [***] to the [***], the [***], and [***] the [***] and subject to [***] and shall be [***] the [***]. If (i) there is no such prohibition by contract,</w:t>
      </w:r>
    </w:p>
    <w:p>
      <w:pPr>
        <w:spacing w:after="0" w:line="1" w:lineRule="exact"/>
        <w:rPr>
          <w:sz w:val="20"/>
          <w:szCs w:val="20"/>
          <w:color w:val="auto"/>
        </w:rPr>
      </w:pPr>
    </w:p>
    <w:p>
      <w:pPr>
        <w:ind w:right="80" w:firstLine="3"/>
        <w:spacing w:after="0" w:line="247" w:lineRule="auto"/>
        <w:tabs>
          <w:tab w:leader="none" w:pos="202"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Party that would not be a necessary party desires to pursue an Action and (iii) joinder is reasonably necessary for the Action to proceed, then [***] or [***]. Each Party’s right to enforce the Patent Rights includes the rights to initiate, prosecute, assert, settle, appeal and/or abandon legal action involving the Patent Rights within such Action; provided that neither Party shall settle any Action with an admission or agreement in any way that would be reasonably likely to directly and adversely affect the scope, validity or enforceability of the Patent Rights without the other Party’s prior written permission (not to be unreasonably withheld). If the Party [***], only under this Section 6.1.4, has a [***] under such [***] pursuant to a written agreement, the other Party [***] to the Party that [***] such [***] hereunder any [***] within sixty (60) days of [***].</w:t>
      </w:r>
    </w:p>
    <w:p>
      <w:pPr>
        <w:spacing w:after="0" w:line="173"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6.1.5</w:t>
      </w:r>
      <w:r>
        <w:rPr>
          <w:sz w:val="20"/>
          <w:szCs w:val="20"/>
          <w:color w:val="auto"/>
        </w:rPr>
        <w:tab/>
      </w:r>
      <w:r>
        <w:rPr>
          <w:rFonts w:ascii="Arial" w:cs="Arial" w:eastAsia="Arial" w:hAnsi="Arial"/>
          <w:sz w:val="11"/>
          <w:szCs w:val="11"/>
          <w:color w:val="auto"/>
        </w:rPr>
        <w:t>[Reserved]</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1"/>
          <w:szCs w:val="11"/>
          <w:u w:val="single" w:color="auto"/>
          <w:color w:val="auto"/>
        </w:rPr>
        <w:t>Costs and Expenses</w:t>
      </w:r>
      <w:r>
        <w:rPr>
          <w:rFonts w:ascii="Arial" w:cs="Arial" w:eastAsia="Arial" w:hAnsi="Arial"/>
          <w:sz w:val="11"/>
          <w:szCs w:val="11"/>
          <w:color w:val="auto"/>
        </w:rPr>
        <w:t>.</w:t>
      </w:r>
    </w:p>
    <w:p>
      <w:pPr>
        <w:spacing w:after="0" w:line="190" w:lineRule="exact"/>
        <w:rPr>
          <w:sz w:val="20"/>
          <w:szCs w:val="20"/>
          <w:color w:val="auto"/>
        </w:rPr>
      </w:pPr>
    </w:p>
    <w:p>
      <w:pPr>
        <w:ind w:right="160" w:firstLine="990"/>
        <w:spacing w:after="0" w:line="305" w:lineRule="auto"/>
        <w:rPr>
          <w:sz w:val="20"/>
          <w:szCs w:val="20"/>
          <w:color w:val="auto"/>
        </w:rPr>
      </w:pPr>
      <w:r>
        <w:rPr>
          <w:rFonts w:ascii="Arial" w:cs="Arial" w:eastAsia="Arial" w:hAnsi="Arial"/>
          <w:sz w:val="13"/>
          <w:szCs w:val="13"/>
          <w:color w:val="auto"/>
        </w:rPr>
        <w:t>6.2.1 If either Party brings or joins an Action, then each plaintiff Party’s costs of such Action shall be at the plaintiff Party’s own expense. Each plaintiff Party shall render at its own expense reasonable assistance to the other Party in so enforcing the Patent Rights. Each plaintiff Party shall be entitled to be represented therein by its own counsel.</w:t>
      </w:r>
    </w:p>
    <w:p>
      <w:pPr>
        <w:sectPr>
          <w:pgSz w:w="11900" w:h="16838" w:orient="portrait"/>
          <w:cols w:equalWidth="0" w:num="1">
            <w:col w:w="11260"/>
          </w:cols>
          <w:pgMar w:left="300" w:top="1119" w:right="339" w:bottom="1440" w:gutter="0" w:footer="0" w:header="0"/>
        </w:sectPr>
      </w:pPr>
    </w:p>
    <w:bookmarkStart w:id="224" w:name="page225"/>
    <w:bookmarkEnd w:id="224"/>
    <w:p>
      <w:pPr>
        <w:ind w:right="140" w:firstLine="990"/>
        <w:spacing w:after="0" w:line="266" w:lineRule="auto"/>
        <w:rPr>
          <w:sz w:val="20"/>
          <w:szCs w:val="20"/>
          <w:color w:val="auto"/>
        </w:rPr>
      </w:pPr>
      <w:r>
        <w:rPr>
          <w:rFonts w:ascii="Arial" w:cs="Arial" w:eastAsia="Arial" w:hAnsi="Arial"/>
          <w:sz w:val="14"/>
          <w:szCs w:val="14"/>
          <w:color w:val="auto"/>
        </w:rPr>
        <w:t>6.2.2 If one Party brings an Action and the other Party does not join in the Action, each Party shall be entitled to be represented therein by its own counsel but at the asserting Party’s expense, and the non-asserting Party shall take all actions reasonably necessary to assist the asserting Party in such Action at the asserting Party’s expense.</w:t>
      </w:r>
    </w:p>
    <w:p>
      <w:pPr>
        <w:spacing w:after="0" w:line="159" w:lineRule="exact"/>
        <w:rPr>
          <w:sz w:val="20"/>
          <w:szCs w:val="20"/>
          <w:color w:val="auto"/>
        </w:rPr>
      </w:pPr>
    </w:p>
    <w:p>
      <w:pPr>
        <w:ind w:right="80" w:firstLine="990"/>
        <w:spacing w:after="0" w:line="266" w:lineRule="auto"/>
        <w:rPr>
          <w:sz w:val="20"/>
          <w:szCs w:val="20"/>
          <w:color w:val="auto"/>
        </w:rPr>
      </w:pPr>
      <w:r>
        <w:rPr>
          <w:rFonts w:ascii="Arial" w:cs="Arial" w:eastAsia="Arial" w:hAnsi="Arial"/>
          <w:sz w:val="14"/>
          <w:szCs w:val="14"/>
          <w:color w:val="auto"/>
        </w:rPr>
        <w:t>6.2.3 The Party incurring reimbursable costs or fees as allowed under this Section 6.2 may invoice the other Party for recovery of such and the asserting Party shall pay all undisputed amounts in such invoice within forty-five (45) days from the date of receipt of such invoice.</w:t>
      </w:r>
    </w:p>
    <w:p>
      <w:pPr>
        <w:spacing w:after="0" w:line="159" w:lineRule="exact"/>
        <w:rPr>
          <w:sz w:val="20"/>
          <w:szCs w:val="20"/>
          <w:color w:val="auto"/>
        </w:rPr>
      </w:pPr>
    </w:p>
    <w:p>
      <w:pPr>
        <w:ind w:firstLine="990"/>
        <w:spacing w:after="0" w:line="250" w:lineRule="auto"/>
        <w:rPr>
          <w:sz w:val="20"/>
          <w:szCs w:val="20"/>
          <w:color w:val="auto"/>
        </w:rPr>
      </w:pPr>
      <w:r>
        <w:rPr>
          <w:rFonts w:ascii="Arial" w:cs="Arial" w:eastAsia="Arial" w:hAnsi="Arial"/>
          <w:sz w:val="14"/>
          <w:szCs w:val="14"/>
          <w:color w:val="auto"/>
        </w:rPr>
        <w:t>6.2.4 If Licensee collects any settlement payment or court awarded payment in an Action that is directly attributable to infringement of the Licensed Patent Rights, then Licensee shall pay Licensor [***] of the actual amount collected within forty-five (45) days thereafter, subject to the following deductions: (i) [***] associated with Licensed Products, and (ii) litigation costs and fees incurred or paid by Licensee with respect to the Action, including those incurred in paying for Licensor’s participation in the Action or reimbursement to Licensor of the same (together, “</w:t>
      </w:r>
      <w:r>
        <w:rPr>
          <w:rFonts w:ascii="Arial" w:cs="Arial" w:eastAsia="Arial" w:hAnsi="Arial"/>
          <w:sz w:val="14"/>
          <w:szCs w:val="14"/>
          <w:b w:val="1"/>
          <w:bCs w:val="1"/>
          <w:color w:val="auto"/>
        </w:rPr>
        <w:t>Deductions”</w:t>
      </w:r>
      <w:r>
        <w:rPr>
          <w:rFonts w:ascii="Arial" w:cs="Arial" w:eastAsia="Arial" w:hAnsi="Arial"/>
          <w:sz w:val="14"/>
          <w:szCs w:val="14"/>
          <w:color w:val="auto"/>
        </w:rPr>
        <w:t>). If Licensee collects the settlement payment or court awarded payment in installments, then Licensee shall apply the Deductions to each collected installment until the Deductions are exhausted. Licensee shall provide Licensor with a report showing the above calculation. If such settlement or court award includes running royalty payments, Licensee shall begin paying Licensor [***] of its net royalty payments actually received, net of the Deductions.</w:t>
      </w:r>
    </w:p>
    <w:p>
      <w:pPr>
        <w:spacing w:after="0" w:line="170" w:lineRule="exact"/>
        <w:rPr>
          <w:sz w:val="20"/>
          <w:szCs w:val="20"/>
          <w:color w:val="auto"/>
        </w:rPr>
      </w:pPr>
    </w:p>
    <w:p>
      <w:pPr>
        <w:ind w:right="240" w:firstLine="990"/>
        <w:spacing w:after="0" w:line="266" w:lineRule="auto"/>
        <w:rPr>
          <w:sz w:val="20"/>
          <w:szCs w:val="20"/>
          <w:color w:val="auto"/>
        </w:rPr>
      </w:pPr>
      <w:r>
        <w:rPr>
          <w:rFonts w:ascii="Arial" w:cs="Arial" w:eastAsia="Arial" w:hAnsi="Arial"/>
          <w:sz w:val="14"/>
          <w:szCs w:val="14"/>
          <w:color w:val="auto"/>
        </w:rPr>
        <w:t>6.2.5 Licensor shall retain [***] of any settlement or damages awarded to it in an Action brought by it, and any royalties paid by such person or Entity to Licensor pursuant to such Action shall continue to flow to Licensor.</w:t>
      </w:r>
    </w:p>
    <w:p>
      <w:pPr>
        <w:spacing w:after="0" w:line="159" w:lineRule="exact"/>
        <w:rPr>
          <w:sz w:val="20"/>
          <w:szCs w:val="20"/>
          <w:color w:val="auto"/>
        </w:rPr>
      </w:pPr>
    </w:p>
    <w:p>
      <w:pPr>
        <w:ind w:right="60" w:firstLine="495"/>
        <w:spacing w:after="0" w:line="266"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Marking</w:t>
      </w:r>
      <w:r>
        <w:rPr>
          <w:rFonts w:ascii="Arial" w:cs="Arial" w:eastAsia="Arial" w:hAnsi="Arial"/>
          <w:sz w:val="14"/>
          <w:szCs w:val="14"/>
          <w:color w:val="auto"/>
        </w:rPr>
        <w:t>. Licensee shall mark all Licensed Products made or sold in the United States in accordance with United States patent laws. Licensor shall mark all products and services covered by the licenses granted in Section 3.5 and made or sold in the United States in accordance with United States patent laws.</w:t>
      </w:r>
    </w:p>
    <w:p>
      <w:pPr>
        <w:spacing w:after="0" w:line="155" w:lineRule="exact"/>
        <w:rPr>
          <w:sz w:val="20"/>
          <w:szCs w:val="20"/>
          <w:color w:val="auto"/>
        </w:rPr>
      </w:pPr>
    </w:p>
    <w:p>
      <w:pPr>
        <w:ind w:left="4760" w:hanging="256"/>
        <w:spacing w:after="0"/>
        <w:tabs>
          <w:tab w:leader="none" w:pos="4760" w:val="left"/>
        </w:tabs>
        <w:numPr>
          <w:ilvl w:val="0"/>
          <w:numId w:val="1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AND TERMINATION</w:t>
      </w:r>
    </w:p>
    <w:p>
      <w:pPr>
        <w:spacing w:after="0" w:line="194" w:lineRule="exact"/>
        <w:rPr>
          <w:sz w:val="20"/>
          <w:szCs w:val="20"/>
          <w:color w:val="auto"/>
        </w:rPr>
      </w:pPr>
    </w:p>
    <w:p>
      <w:pPr>
        <w:ind w:right="40" w:firstLine="495"/>
        <w:spacing w:after="0" w:line="266"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Term</w:t>
      </w:r>
      <w:r>
        <w:rPr>
          <w:rFonts w:ascii="Arial" w:cs="Arial" w:eastAsia="Arial" w:hAnsi="Arial"/>
          <w:sz w:val="14"/>
          <w:szCs w:val="14"/>
          <w:color w:val="auto"/>
        </w:rPr>
        <w:t>. The term of this Agreement shall expire on the date that the last patent in the Patent Rights (i) expires or lapses, (ii) is found to be invalid or unenforceable by a judgment of a court of competent jurisdiction, which such judgment is not or cannot be appealed, or (iii) is disclaimed or dedicated to the public.</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1"/>
          <w:szCs w:val="11"/>
          <w:u w:val="single" w:color="auto"/>
          <w:color w:val="auto"/>
        </w:rPr>
        <w:t>Termination By Licensor</w:t>
      </w:r>
      <w:r>
        <w:rPr>
          <w:rFonts w:ascii="Arial" w:cs="Arial" w:eastAsia="Arial" w:hAnsi="Arial"/>
          <w:sz w:val="11"/>
          <w:szCs w:val="11"/>
          <w:color w:val="auto"/>
        </w:rPr>
        <w:t>. Licensor may not terminate this Agreement except as expressly permitted in this Section 7.2.</w:t>
      </w:r>
    </w:p>
    <w:p>
      <w:pPr>
        <w:spacing w:after="0" w:line="190" w:lineRule="exact"/>
        <w:rPr>
          <w:sz w:val="20"/>
          <w:szCs w:val="20"/>
          <w:color w:val="auto"/>
        </w:rPr>
      </w:pPr>
    </w:p>
    <w:p>
      <w:pPr>
        <w:ind w:right="20" w:firstLine="990"/>
        <w:spacing w:after="0" w:line="328" w:lineRule="auto"/>
        <w:rPr>
          <w:sz w:val="20"/>
          <w:szCs w:val="20"/>
          <w:color w:val="auto"/>
        </w:rPr>
      </w:pPr>
      <w:r>
        <w:rPr>
          <w:rFonts w:ascii="Arial" w:cs="Arial" w:eastAsia="Arial" w:hAnsi="Arial"/>
          <w:sz w:val="11"/>
          <w:szCs w:val="11"/>
          <w:color w:val="auto"/>
        </w:rPr>
        <w:t>7.2.1 If Licensee is ninety (90) days or more late in paying any installment of the Fee under Section 5.1, then Licensor may (but shall not have the duty to) notify Licensee thereof, and if Licensee does not make such payment within thirty (30) days of receipt of such notice, then Licensor may terminate this Agreement upon notice to Licensee. If Licensee materially breaches a provision of this Agreement other than payment of the Fee, and if such breach is only applicable to the Assigned Patent Rights, then Licensor may (but shall not have the duty to) notify Licensee thereof, and if Licensee does not cure such breach within ninety (90) days of receipt of such notice, then Licensor may terminate this Agreement upon notice to Licensee. If Licensor terminates this Agreement pursuant to this Section, then (i) Licensee’s obligation to make further payments hereunder shall cease, (ii) all licenses and any and all covenants not to sue granted Licensee hereunder or by any amendment to this Agreement shall immediately and automatically terminate, (iii) Licensee shall assign the Assigned Patent Rights back to Licensor, and (iv) all licenses and any covenants not to sue granted Licensor hereunder or by any amendment to this Agreement shall immediately and automatically terminate upon Licensor’s recording of the assignments of the Assigned Patent Rights.</w:t>
      </w:r>
    </w:p>
    <w:p>
      <w:pPr>
        <w:sectPr>
          <w:pgSz w:w="11900" w:h="16838" w:orient="portrait"/>
          <w:cols w:equalWidth="0" w:num="1">
            <w:col w:w="11280"/>
          </w:cols>
          <w:pgMar w:left="300" w:top="1119" w:right="319" w:bottom="1440" w:gutter="0" w:footer="0" w:header="0"/>
        </w:sectPr>
      </w:pPr>
    </w:p>
    <w:bookmarkStart w:id="225" w:name="page226"/>
    <w:bookmarkEnd w:id="225"/>
    <w:p>
      <w:pPr>
        <w:ind w:right="80" w:firstLine="990"/>
        <w:spacing w:after="0" w:line="252" w:lineRule="auto"/>
        <w:rPr>
          <w:sz w:val="20"/>
          <w:szCs w:val="20"/>
          <w:color w:val="auto"/>
        </w:rPr>
      </w:pPr>
      <w:r>
        <w:rPr>
          <w:rFonts w:ascii="Arial" w:cs="Arial" w:eastAsia="Arial" w:hAnsi="Arial"/>
          <w:sz w:val="14"/>
          <w:szCs w:val="14"/>
          <w:color w:val="auto"/>
        </w:rPr>
        <w:t>7.2.2 If Licensee materially breaches any provision of this Agreement other than as described in Section 7.2.1, and if such breach is only applicable to the Exhibit B Patent Rights and/or the Exhibit C Patent Rights, respectively, then Licensor shall give notice to Licensee specifying the breach. Unless such breach is cured within ninety (90) days following Licensee’s receipt of such notice, then Licensor may give further notice to Licensee terminating only the corresponding license grant (i.e., Section 3.2 and/or Section 3.3, as applicable). Such termination shall not terminate this Agreement.</w:t>
      </w:r>
    </w:p>
    <w:p>
      <w:pPr>
        <w:spacing w:after="0" w:line="170" w:lineRule="exact"/>
        <w:rPr>
          <w:sz w:val="20"/>
          <w:szCs w:val="20"/>
          <w:color w:val="auto"/>
        </w:rPr>
      </w:pPr>
    </w:p>
    <w:p>
      <w:pPr>
        <w:ind w:right="240" w:firstLine="990"/>
        <w:spacing w:after="0" w:line="404" w:lineRule="auto"/>
        <w:rPr>
          <w:sz w:val="20"/>
          <w:szCs w:val="20"/>
          <w:color w:val="auto"/>
        </w:rPr>
      </w:pPr>
      <w:r>
        <w:rPr>
          <w:rFonts w:ascii="Arial" w:cs="Arial" w:eastAsia="Arial" w:hAnsi="Arial"/>
          <w:sz w:val="11"/>
          <w:szCs w:val="11"/>
          <w:color w:val="auto"/>
        </w:rPr>
        <w:t>7.2.3 If Licensee materially breaches any provision of this Agreement other than as described in Section 7.2.1 or Section 7.2.2 or by abandoning a patent application in breach of Section 4.3.3, then Licensor shall give notice to Licensee specifying the breach. If Licensee has not cured within ninety (90) days, the Parties shall proceed with dispute resolution pursuant to Article 8.</w:t>
      </w:r>
    </w:p>
    <w:p>
      <w:pPr>
        <w:spacing w:after="0" w:line="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1"/>
          <w:szCs w:val="11"/>
          <w:u w:val="single" w:color="auto"/>
          <w:color w:val="auto"/>
        </w:rPr>
        <w:t>Termination by Licensee</w:t>
      </w:r>
      <w:r>
        <w:rPr>
          <w:rFonts w:ascii="Arial" w:cs="Arial" w:eastAsia="Arial" w:hAnsi="Arial"/>
          <w:sz w:val="11"/>
          <w:szCs w:val="11"/>
          <w:color w:val="auto"/>
        </w:rPr>
        <w:t>.</w:t>
      </w:r>
    </w:p>
    <w:p>
      <w:pPr>
        <w:spacing w:after="0" w:line="190"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4"/>
          <w:szCs w:val="14"/>
          <w:color w:val="auto"/>
        </w:rPr>
        <w:t>7.3.1</w:t>
      </w:r>
      <w:r>
        <w:rPr>
          <w:sz w:val="20"/>
          <w:szCs w:val="20"/>
          <w:color w:val="auto"/>
        </w:rPr>
        <w:tab/>
      </w:r>
      <w:r>
        <w:rPr>
          <w:rFonts w:ascii="Arial" w:cs="Arial" w:eastAsia="Arial" w:hAnsi="Arial"/>
          <w:sz w:val="11"/>
          <w:szCs w:val="11"/>
          <w:u w:val="single" w:color="auto"/>
          <w:color w:val="auto"/>
        </w:rPr>
        <w:t>[Reserved.]</w:t>
      </w:r>
    </w:p>
    <w:p>
      <w:pPr>
        <w:spacing w:after="0" w:line="190" w:lineRule="exact"/>
        <w:rPr>
          <w:sz w:val="20"/>
          <w:szCs w:val="20"/>
          <w:color w:val="auto"/>
        </w:rPr>
      </w:pPr>
    </w:p>
    <w:p>
      <w:pPr>
        <w:ind w:right="100" w:firstLine="990"/>
        <w:spacing w:after="0" w:line="251" w:lineRule="auto"/>
        <w:rPr>
          <w:sz w:val="20"/>
          <w:szCs w:val="20"/>
          <w:color w:val="auto"/>
        </w:rPr>
      </w:pPr>
      <w:r>
        <w:rPr>
          <w:rFonts w:ascii="Arial" w:cs="Arial" w:eastAsia="Arial" w:hAnsi="Arial"/>
          <w:sz w:val="14"/>
          <w:szCs w:val="14"/>
          <w:color w:val="auto"/>
        </w:rPr>
        <w:t xml:space="preserve">7.3.2 </w:t>
      </w:r>
      <w:r>
        <w:rPr>
          <w:rFonts w:ascii="Arial" w:cs="Arial" w:eastAsia="Arial" w:hAnsi="Arial"/>
          <w:sz w:val="14"/>
          <w:szCs w:val="14"/>
          <w:u w:val="single" w:color="auto"/>
          <w:color w:val="auto"/>
        </w:rPr>
        <w:t>For Convenience At Any Time</w:t>
      </w:r>
      <w:r>
        <w:rPr>
          <w:rFonts w:ascii="Arial" w:cs="Arial" w:eastAsia="Arial" w:hAnsi="Arial"/>
          <w:sz w:val="14"/>
          <w:szCs w:val="14"/>
          <w:color w:val="auto"/>
        </w:rPr>
        <w:t>. Licensee may terminate the licenses granted under Sections 3.2, 3.3, or 3.4 with respect to any patent or patent application included in the Licensed Patents upon at least thirty (30) days written notice to Licensor; provided, however, that if Licensee has granted a sublicense to any of the patents or patent applications included in the Licensed Patents, it may only exercise its right to terminate one or more of the licenses identified in and pursuant to this Section 7.3.2 with respect to a patent or patent application included in such sublicense if it does so with respect to all patents and patent applications included in such sublicense. Termination of any of the licenses with respect to one or more patents or patent applications under this Section 7.3.2 shall not affect the amount payable by Licensee to Licensor hereunder.</w:t>
      </w:r>
    </w:p>
    <w:p>
      <w:pPr>
        <w:spacing w:after="0" w:line="169" w:lineRule="exact"/>
        <w:rPr>
          <w:sz w:val="20"/>
          <w:szCs w:val="20"/>
          <w:color w:val="auto"/>
        </w:rPr>
      </w:pPr>
    </w:p>
    <w:p>
      <w:pPr>
        <w:ind w:right="240" w:firstLine="990"/>
        <w:spacing w:after="0" w:line="305" w:lineRule="auto"/>
        <w:rPr>
          <w:sz w:val="20"/>
          <w:szCs w:val="20"/>
          <w:color w:val="auto"/>
        </w:rPr>
      </w:pPr>
      <w:r>
        <w:rPr>
          <w:rFonts w:ascii="Arial" w:cs="Arial" w:eastAsia="Arial" w:hAnsi="Arial"/>
          <w:sz w:val="13"/>
          <w:szCs w:val="13"/>
          <w:color w:val="auto"/>
        </w:rPr>
        <w:t xml:space="preserve">7.3.3 </w:t>
      </w:r>
      <w:r>
        <w:rPr>
          <w:rFonts w:ascii="Arial" w:cs="Arial" w:eastAsia="Arial" w:hAnsi="Arial"/>
          <w:sz w:val="13"/>
          <w:szCs w:val="13"/>
          <w:u w:val="single" w:color="auto"/>
          <w:color w:val="auto"/>
        </w:rPr>
        <w:t>For Cause</w:t>
      </w:r>
      <w:r>
        <w:rPr>
          <w:rFonts w:ascii="Arial" w:cs="Arial" w:eastAsia="Arial" w:hAnsi="Arial"/>
          <w:sz w:val="13"/>
          <w:szCs w:val="13"/>
          <w:color w:val="auto"/>
        </w:rPr>
        <w:t>. If Licensor materially breaches any provision of this Agreement other than by abandoning a patent application in breach of Section 4.2.3, then Licensee shall give notice to Licensor specifying the breach. If Licensor has not cured within ninety (90) days, the Parties shall proceed with dispute resolution pursuant to Article 8.</w:t>
      </w:r>
    </w:p>
    <w:p>
      <w:pPr>
        <w:spacing w:after="0" w:line="136" w:lineRule="exact"/>
        <w:rPr>
          <w:sz w:val="20"/>
          <w:szCs w:val="20"/>
          <w:color w:val="auto"/>
        </w:rPr>
      </w:pPr>
    </w:p>
    <w:p>
      <w:pPr>
        <w:ind w:right="20" w:firstLine="495"/>
        <w:spacing w:after="0" w:line="252"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Conversion of Licenses and Sublicenses by Licensee Upon Termination</w:t>
      </w:r>
      <w:r>
        <w:rPr>
          <w:rFonts w:ascii="Arial" w:cs="Arial" w:eastAsia="Arial" w:hAnsi="Arial"/>
          <w:sz w:val="14"/>
          <w:szCs w:val="14"/>
          <w:color w:val="auto"/>
        </w:rPr>
        <w:t>. Licensee agrees that (i) any license that it grants to a third party under any of the Assigned Patents before Licensor receives the final installment payment of the Fee under Section 5.1 of this Agreement and (ii) any sublicense that it grants to a third party under any of the Patent Rights it has licensed hereunder shall include a provision converting such license or sublicense, as the case may be, to a license directly from Licensor to the licensee or sublicensee, as the case may be, upon termination of this Agreement pursuant to Section 7.2.1 (in the case of (i) above) or Sections 7.2.2 or 7.3.2 (in the case of (ii) above).</w:t>
      </w:r>
    </w:p>
    <w:p>
      <w:pPr>
        <w:spacing w:after="0" w:line="170" w:lineRule="exact"/>
        <w:rPr>
          <w:sz w:val="20"/>
          <w:szCs w:val="20"/>
          <w:color w:val="auto"/>
        </w:rPr>
      </w:pPr>
    </w:p>
    <w:p>
      <w:pPr>
        <w:ind w:firstLine="495"/>
        <w:spacing w:after="0" w:line="266"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Products</w:t>
      </w:r>
      <w:r>
        <w:rPr>
          <w:rFonts w:ascii="Arial" w:cs="Arial" w:eastAsia="Arial" w:hAnsi="Arial"/>
          <w:sz w:val="14"/>
          <w:szCs w:val="14"/>
          <w:color w:val="auto"/>
        </w:rPr>
        <w:t>. Notwithstanding the termination of this Agreement, Licensee and its Affiliates may continue to sell, offer to sell, have sold and import Licensed Products that are in inventory as of the effective date of such termination, whether finished product or work-in-process.</w:t>
      </w:r>
    </w:p>
    <w:p>
      <w:pPr>
        <w:spacing w:after="0" w:line="159" w:lineRule="exact"/>
        <w:rPr>
          <w:sz w:val="20"/>
          <w:szCs w:val="20"/>
          <w:color w:val="auto"/>
        </w:rPr>
      </w:pPr>
    </w:p>
    <w:p>
      <w:pPr>
        <w:ind w:right="360" w:firstLine="495"/>
        <w:spacing w:after="0" w:line="266"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Prior Obligations and Liability</w:t>
      </w:r>
      <w:r>
        <w:rPr>
          <w:rFonts w:ascii="Arial" w:cs="Arial" w:eastAsia="Arial" w:hAnsi="Arial"/>
          <w:sz w:val="14"/>
          <w:szCs w:val="14"/>
          <w:color w:val="auto"/>
        </w:rPr>
        <w:t>. No expiration or termination of this Agreement shall relieve any Party of any obligation accrued prior to the date of expiration or termination of this Agreement or relieve a Party in default from liability for damages for breach of this Agreement.</w:t>
      </w:r>
    </w:p>
    <w:p>
      <w:pPr>
        <w:spacing w:after="0" w:line="159" w:lineRule="exact"/>
        <w:rPr>
          <w:sz w:val="20"/>
          <w:szCs w:val="20"/>
          <w:color w:val="auto"/>
        </w:rPr>
      </w:pPr>
    </w:p>
    <w:p>
      <w:pPr>
        <w:ind w:right="60" w:firstLine="495"/>
        <w:spacing w:after="0" w:line="256"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Cumulative Remedies; Non-Waiver</w:t>
      </w:r>
      <w:r>
        <w:rPr>
          <w:rFonts w:ascii="Arial" w:cs="Arial" w:eastAsia="Arial" w:hAnsi="Arial"/>
          <w:sz w:val="14"/>
          <w:szCs w:val="14"/>
          <w:color w:val="auto"/>
        </w:rPr>
        <w:t>. Except as otherwise expressly set forth in this Agreement, the termination provisions of this Article 7 are in addition to any other relief and remedies available to either Party. Waiver by any Party of a single default or breach or a succession of defaults or breaches shall not deprive such Party of any right to terminate this Agreement or seek damages arising by reason of any subsequent default or breach.</w:t>
      </w:r>
    </w:p>
    <w:p>
      <w:pPr>
        <w:sectPr>
          <w:pgSz w:w="11900" w:h="16838" w:orient="portrait"/>
          <w:cols w:equalWidth="0" w:num="1">
            <w:col w:w="11260"/>
          </w:cols>
          <w:pgMar w:left="300" w:top="1119" w:right="339" w:bottom="1440" w:gutter="0" w:footer="0" w:header="0"/>
        </w:sectPr>
      </w:pPr>
    </w:p>
    <w:bookmarkStart w:id="226" w:name="page227"/>
    <w:bookmarkEnd w:id="226"/>
    <w:p>
      <w:pPr>
        <w:ind w:right="20" w:firstLine="495"/>
        <w:spacing w:after="0" w:line="278" w:lineRule="auto"/>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Survival</w:t>
      </w:r>
      <w:r>
        <w:rPr>
          <w:rFonts w:ascii="Arial" w:cs="Arial" w:eastAsia="Arial" w:hAnsi="Arial"/>
          <w:sz w:val="13"/>
          <w:szCs w:val="13"/>
          <w:color w:val="auto"/>
        </w:rPr>
        <w:t>. For the avoidance of doubt, termination of this Agreement under any provision except Sections 7.2.1 shall not terminate Licensee’s rights to the Assigned Patent Rights. Subject to any exceptions therein, the provisions of the following Sections shall survive any expiration or termination of this Agreement for any reason: 2.4, 2.5 (for seven (7) years after the date of such termination or expiration), 2.7.6, 3.7, 7.5, 7.7 and 7.8, and also Articles 1, 8, 9 and 10 and the [***] by [***] (listed in [***]</w:t>
      </w:r>
      <w:r>
        <w:rPr>
          <w:rFonts w:ascii="Arial" w:cs="Arial" w:eastAsia="Arial" w:hAnsi="Arial"/>
          <w:sz w:val="13"/>
          <w:szCs w:val="13"/>
          <w:b w:val="1"/>
          <w:bCs w:val="1"/>
          <w:i w:val="1"/>
          <w:iCs w:val="1"/>
          <w:color w:val="auto"/>
        </w:rPr>
        <w:t>)</w:t>
      </w:r>
      <w:r>
        <w:rPr>
          <w:rFonts w:ascii="Arial" w:cs="Arial" w:eastAsia="Arial" w:hAnsi="Arial"/>
          <w:sz w:val="13"/>
          <w:szCs w:val="13"/>
          <w:color w:val="auto"/>
        </w:rPr>
        <w:t>. Confidentiality of the information contained within Section 6.1.4 shall survive expiration or termination of this Agreement. No termination of this Agreement shall require refund of any payment made by Licensee to Licensor prior to such termination.</w:t>
      </w:r>
    </w:p>
    <w:p>
      <w:pPr>
        <w:spacing w:after="0" w:line="149" w:lineRule="exact"/>
        <w:rPr>
          <w:sz w:val="20"/>
          <w:szCs w:val="20"/>
          <w:color w:val="auto"/>
        </w:rPr>
      </w:pPr>
    </w:p>
    <w:p>
      <w:pPr>
        <w:ind w:left="4880" w:hanging="257"/>
        <w:spacing w:after="0"/>
        <w:tabs>
          <w:tab w:leader="none" w:pos="4880" w:val="left"/>
        </w:tabs>
        <w:numPr>
          <w:ilvl w:val="0"/>
          <w:numId w:val="19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DISPUTE RESOLUTION</w:t>
      </w:r>
    </w:p>
    <w:p>
      <w:pPr>
        <w:spacing w:after="0" w:line="194" w:lineRule="exact"/>
        <w:rPr>
          <w:sz w:val="20"/>
          <w:szCs w:val="20"/>
          <w:color w:val="auto"/>
        </w:rPr>
      </w:pPr>
    </w:p>
    <w:p>
      <w:pPr>
        <w:ind w:right="40" w:firstLine="495"/>
        <w:spacing w:after="0" w:line="269"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Dispute Resolution</w:t>
      </w:r>
      <w:r>
        <w:rPr>
          <w:rFonts w:ascii="Arial" w:cs="Arial" w:eastAsia="Arial" w:hAnsi="Arial"/>
          <w:sz w:val="13"/>
          <w:szCs w:val="13"/>
          <w:color w:val="auto"/>
        </w:rPr>
        <w:t>. If a Party has a dispute or claim arising out of or relating to this Agreement, such Party shall first request a meeting between the Parties’ Business Development (or equivalent) team members (or their designees) to attempt to resolve the dispute. The Parties’ Business Development (or equivalent) team members (or their designees) shall meet within [***] business days, or if a one or more is unavailable, then as soon as their schedules reasonably allow, to attempt to resolve the dispute. If the Parties’ Business Development (or equivalent) team members (or their designees) cannot resolve the dispute within [***] business days after their first meeting, then either Party may request that the dispute be escalated to [***] of both Parties. Such representatives shall meet within [***] business days of the request, or if one or more is unavailable, then as soon as their schedules reasonably allow. If such representatives cannot resolve the dispute within [***] business days after their first meeting, then the Parties may pursue their other rights and remedies at law or in equity including exercising their termination and other rights under the Agreement as provided herein. During the course of dispute resolution discussions, all reasonable requests made by one Party to the other for non-privileged information that are reasonably related to the dispute shall be honored. Proposals and information exchanged during the informal proceedings described in this Section between the Parties shall be privileged, confidential and without prejudice to a Party’s legal position in any formal proceedings.</w:t>
      </w:r>
    </w:p>
    <w:p>
      <w:pPr>
        <w:spacing w:after="0" w:line="163" w:lineRule="exact"/>
        <w:rPr>
          <w:sz w:val="20"/>
          <w:szCs w:val="20"/>
          <w:color w:val="auto"/>
        </w:rPr>
      </w:pPr>
    </w:p>
    <w:p>
      <w:pPr>
        <w:ind w:right="120" w:firstLine="495"/>
        <w:spacing w:after="0" w:line="305"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Equitable Considerations</w:t>
      </w:r>
      <w:r>
        <w:rPr>
          <w:rFonts w:ascii="Arial" w:cs="Arial" w:eastAsia="Arial" w:hAnsi="Arial"/>
          <w:sz w:val="13"/>
          <w:szCs w:val="13"/>
          <w:color w:val="auto"/>
        </w:rPr>
        <w:t>. Nothing in this Article 8 shall preclude any Party from exercising the right, without waiving any right or remedy available to such Party under this Agreement or otherwise, to seek and obtain from any court of competent jurisdiction any interim or provisional relief that is necessary or desirable to protect the rights or property of such Party.</w:t>
      </w:r>
    </w:p>
    <w:p>
      <w:pPr>
        <w:spacing w:after="0" w:line="136" w:lineRule="exact"/>
        <w:rPr>
          <w:sz w:val="20"/>
          <w:szCs w:val="20"/>
          <w:color w:val="auto"/>
        </w:rPr>
      </w:pPr>
    </w:p>
    <w:p>
      <w:pPr>
        <w:ind w:right="100" w:firstLine="495"/>
        <w:spacing w:after="0" w:line="27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Personal Jurisdiction, Venue and Applicable Law</w:t>
      </w:r>
      <w:r>
        <w:rPr>
          <w:rFonts w:ascii="Arial" w:cs="Arial" w:eastAsia="Arial" w:hAnsi="Arial"/>
          <w:sz w:val="13"/>
          <w:szCs w:val="13"/>
          <w:color w:val="auto"/>
        </w:rPr>
        <w:t>. Any questions, claims, disputes, remedies or procedural matters shall be governed by the laws of the State of Delaware and of the United States of America, without regard to its principles of conflicts of law; provided, that those matters pertaining to the validity or enforceability of the Patent Rights and Additional Patent Rights shall be interpreted and enforced in accordance with the laws of the territory in which such Patent Rights exist. Each Party agrees that the courts of Delaware shall have exclusive jurisdiction over them with respect to this Agreement and agree to submit to the jurisdiction of such courts. Accordingly, any and all dispute resolution, including without limitation litigation relating to this Agreement, the Patent Rights or Confidential Information, shall be brought exclusively in the State of Delaware in the state or federal court having subject matter jurisdiction.</w:t>
      </w:r>
    </w:p>
    <w:p>
      <w:pPr>
        <w:spacing w:after="0" w:line="157" w:lineRule="exact"/>
        <w:rPr>
          <w:sz w:val="20"/>
          <w:szCs w:val="20"/>
          <w:color w:val="auto"/>
        </w:rPr>
      </w:pPr>
    </w:p>
    <w:p>
      <w:pPr>
        <w:ind w:right="20" w:firstLine="495"/>
        <w:spacing w:after="0" w:line="266"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Jury Trial Waiver</w:t>
      </w:r>
      <w:r>
        <w:rPr>
          <w:rFonts w:ascii="Arial" w:cs="Arial" w:eastAsia="Arial" w:hAnsi="Arial"/>
          <w:sz w:val="14"/>
          <w:szCs w:val="14"/>
          <w:color w:val="auto"/>
        </w:rPr>
        <w:t>. The Parties hereby waive, to the extent permitted by law, their right to trial by jury in connection with any claim or cause of action related to this Agreement, the Patent Rights or both.</w:t>
      </w:r>
    </w:p>
    <w:p>
      <w:pPr>
        <w:spacing w:after="0" w:line="155" w:lineRule="exact"/>
        <w:rPr>
          <w:sz w:val="20"/>
          <w:szCs w:val="20"/>
          <w:color w:val="auto"/>
        </w:rPr>
      </w:pPr>
    </w:p>
    <w:p>
      <w:pPr>
        <w:ind w:left="5240" w:hanging="252"/>
        <w:spacing w:after="0"/>
        <w:tabs>
          <w:tab w:leader="none" w:pos="5240" w:val="left"/>
        </w:tabs>
        <w:numPr>
          <w:ilvl w:val="0"/>
          <w:numId w:val="19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INDEMNITY</w:t>
      </w:r>
    </w:p>
    <w:p>
      <w:pPr>
        <w:spacing w:after="0" w:line="194" w:lineRule="exact"/>
        <w:rPr>
          <w:sz w:val="20"/>
          <w:szCs w:val="20"/>
          <w:color w:val="auto"/>
        </w:rPr>
      </w:pPr>
    </w:p>
    <w:p>
      <w:pPr>
        <w:ind w:firstLine="495"/>
        <w:spacing w:after="0" w:line="251"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By Licensee</w:t>
      </w:r>
      <w:r>
        <w:rPr>
          <w:rFonts w:ascii="Arial" w:cs="Arial" w:eastAsia="Arial" w:hAnsi="Arial"/>
          <w:sz w:val="14"/>
          <w:szCs w:val="14"/>
          <w:color w:val="auto"/>
        </w:rPr>
        <w:t>. Licensee agrees to indemnify, defend and hold harmless Licensor, its Affiliates, and its and their officers, directors and employees, from and against any and all Third Party claims brought against any of the foregoing persons or Entities (including all loss, cost, liability, damage and expense alleged by such Third Party; all such claims, collectively, “</w:t>
      </w:r>
      <w:r>
        <w:rPr>
          <w:rFonts w:ascii="Arial" w:cs="Arial" w:eastAsia="Arial" w:hAnsi="Arial"/>
          <w:sz w:val="14"/>
          <w:szCs w:val="14"/>
          <w:b w:val="1"/>
          <w:bCs w:val="1"/>
          <w:color w:val="auto"/>
        </w:rPr>
        <w:t>Licensor Damages</w:t>
      </w:r>
      <w:r>
        <w:rPr>
          <w:rFonts w:ascii="Arial" w:cs="Arial" w:eastAsia="Arial" w:hAnsi="Arial"/>
          <w:sz w:val="14"/>
          <w:szCs w:val="14"/>
          <w:color w:val="auto"/>
        </w:rPr>
        <w:t>”) to the extent arising out of or in connection with or relating to (i) any Licensed Products for or on account of any injury, death or damage to person or property, or (ii) any claim that a Licensed Product infringes the intellectual property of such Third Party except to the extent such claim is attributable to (a) the negligence or willful misconduct of or breach of Section 2.1 by Licensor or its Affiliates, and/or (b) Licensee’s unknowing breach of [***] after having [***] subject to [***].</w:t>
      </w:r>
    </w:p>
    <w:p>
      <w:pPr>
        <w:sectPr>
          <w:pgSz w:w="11900" w:h="16838" w:orient="portrait"/>
          <w:cols w:equalWidth="0" w:num="1">
            <w:col w:w="11260"/>
          </w:cols>
          <w:pgMar w:left="300" w:top="1119" w:right="339" w:bottom="1440" w:gutter="0" w:footer="0" w:header="0"/>
        </w:sectPr>
      </w:pPr>
    </w:p>
    <w:bookmarkStart w:id="227" w:name="page228"/>
    <w:bookmarkEnd w:id="227"/>
    <w:p>
      <w:pPr>
        <w:ind w:right="60" w:firstLine="495"/>
        <w:spacing w:after="0" w:line="28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By Licensor</w:t>
      </w:r>
      <w:r>
        <w:rPr>
          <w:rFonts w:ascii="Arial" w:cs="Arial" w:eastAsia="Arial" w:hAnsi="Arial"/>
          <w:sz w:val="13"/>
          <w:szCs w:val="13"/>
          <w:color w:val="auto"/>
        </w:rPr>
        <w:t>. Licensor shall indemnify, defend and hold harmless the Licensee, its Affiliates and its and their officers, directors and employees, from and against any and all Third Party claims brought against any of the foregoing persons or Entities (including all loss, cost, liability, damage and expense alleged by such Third Party; all such claims collectively, “</w:t>
      </w:r>
      <w:r>
        <w:rPr>
          <w:rFonts w:ascii="Arial" w:cs="Arial" w:eastAsia="Arial" w:hAnsi="Arial"/>
          <w:sz w:val="13"/>
          <w:szCs w:val="13"/>
          <w:b w:val="1"/>
          <w:bCs w:val="1"/>
          <w:color w:val="auto"/>
        </w:rPr>
        <w:t>Licensee Damages</w:t>
      </w:r>
      <w:r>
        <w:rPr>
          <w:rFonts w:ascii="Arial" w:cs="Arial" w:eastAsia="Arial" w:hAnsi="Arial"/>
          <w:sz w:val="13"/>
          <w:szCs w:val="13"/>
          <w:color w:val="auto"/>
        </w:rPr>
        <w:t>”) to the extent arising out of or in connection with or relating to (a) any breach by Licensor of Section 2.1 and (b) Licensee’s unknowing breach of [***] after having [***] subject to [***].</w:t>
      </w:r>
    </w:p>
    <w:p>
      <w:pPr>
        <w:spacing w:after="0" w:line="146" w:lineRule="exact"/>
        <w:rPr>
          <w:sz w:val="20"/>
          <w:szCs w:val="20"/>
          <w:color w:val="auto"/>
        </w:rPr>
      </w:pPr>
    </w:p>
    <w:p>
      <w:pPr>
        <w:ind w:firstLine="495"/>
        <w:spacing w:after="0" w:line="270"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Process</w:t>
      </w:r>
      <w:r>
        <w:rPr>
          <w:rFonts w:ascii="Arial" w:cs="Arial" w:eastAsia="Arial" w:hAnsi="Arial"/>
          <w:sz w:val="13"/>
          <w:szCs w:val="13"/>
          <w:color w:val="auto"/>
        </w:rPr>
        <w:t>. If any Party is seeking indemnification under Sections 9.1 or 9.2 (as applicable) from the other Party (“</w:t>
      </w:r>
      <w:r>
        <w:rPr>
          <w:rFonts w:ascii="Arial" w:cs="Arial" w:eastAsia="Arial" w:hAnsi="Arial"/>
          <w:sz w:val="13"/>
          <w:szCs w:val="13"/>
          <w:b w:val="1"/>
          <w:bCs w:val="1"/>
          <w:color w:val="auto"/>
        </w:rPr>
        <w:t>Indemnifying Party</w:t>
      </w:r>
      <w:r>
        <w:rPr>
          <w:rFonts w:ascii="Arial" w:cs="Arial" w:eastAsia="Arial" w:hAnsi="Arial"/>
          <w:sz w:val="13"/>
          <w:szCs w:val="13"/>
          <w:color w:val="auto"/>
        </w:rPr>
        <w:t>”), such Party (“</w:t>
      </w:r>
      <w:r>
        <w:rPr>
          <w:rFonts w:ascii="Arial" w:cs="Arial" w:eastAsia="Arial" w:hAnsi="Arial"/>
          <w:sz w:val="13"/>
          <w:szCs w:val="13"/>
          <w:b w:val="1"/>
          <w:bCs w:val="1"/>
          <w:color w:val="auto"/>
        </w:rPr>
        <w:t>Indemnitee</w:t>
      </w:r>
      <w:r>
        <w:rPr>
          <w:rFonts w:ascii="Arial" w:cs="Arial" w:eastAsia="Arial" w:hAnsi="Arial"/>
          <w:sz w:val="13"/>
          <w:szCs w:val="13"/>
          <w:color w:val="auto"/>
        </w:rPr>
        <w:t>”) shall notify the Indemnifying Party of such claim with respect to such Indemnitee as soon as reasonably practicable after the Indemnitee receives notice of the claim. The Indemnifying Party shall immediately take control of the defense and investigation of such claim at its sole cost and expense. If the Indemnitee fails to provide such prompt notice, then the Indemnifying Party shall be relieved of its indemnification obligation to the extent it can establish that it was materially prejudiced by reason of such failure and could not take appropriate action to mitigate the prejudice. No settlement of a claim that involves a remedy other than the payment of money by the Indemnifying Party shall be entered into without the prior written consent of the Indemnitee, which consent shall not be unreasonably withheld. After the Indemnifying Party assumes control of the defense of any such claim, the Indemnitee shall not be liable to the Indemnitee for any legal or related costs and expenses incurred thereafter by such Indemnitee in connection with the defense of that claim. The Indemnitee shall cooperate, at the cost of the Indemnifying Party, in all reasonable respects with the Indemnifying Party and its attorneys in the investigation, trial and defense (as applicable) of such claim and any appeal arising therefrom; provided, however, that the Indemnitee may, at its own cost and expense, participate, through its attorneys or otherwise, in such investigation, trial and defense of such claim and any appeal arising therefrom.</w:t>
      </w:r>
    </w:p>
    <w:p>
      <w:pPr>
        <w:spacing w:after="0" w:line="161" w:lineRule="exact"/>
        <w:rPr>
          <w:sz w:val="20"/>
          <w:szCs w:val="20"/>
          <w:color w:val="auto"/>
        </w:rPr>
      </w:pPr>
    </w:p>
    <w:p>
      <w:pPr>
        <w:ind w:right="180" w:firstLine="495"/>
        <w:spacing w:after="0" w:line="266" w:lineRule="auto"/>
        <w:rPr>
          <w:sz w:val="20"/>
          <w:szCs w:val="20"/>
          <w:color w:val="auto"/>
        </w:rPr>
      </w:pPr>
      <w:r>
        <w:rPr>
          <w:rFonts w:ascii="Arial" w:cs="Arial" w:eastAsia="Arial" w:hAnsi="Arial"/>
          <w:sz w:val="14"/>
          <w:szCs w:val="14"/>
          <w:color w:val="auto"/>
        </w:rPr>
        <w:t>9.4 One Party shall have no liability to the other Party for any damages suffered by the other Party as a result of the other Party’s reliance on legal interpretations made by patent counsel of the one Party.</w:t>
      </w:r>
    </w:p>
    <w:p>
      <w:pPr>
        <w:spacing w:after="0" w:line="155" w:lineRule="exact"/>
        <w:rPr>
          <w:sz w:val="20"/>
          <w:szCs w:val="20"/>
          <w:color w:val="auto"/>
        </w:rPr>
      </w:pPr>
    </w:p>
    <w:p>
      <w:pPr>
        <w:ind w:left="5040" w:hanging="245"/>
        <w:spacing w:after="0"/>
        <w:tabs>
          <w:tab w:leader="none" w:pos="5040" w:val="left"/>
        </w:tabs>
        <w:numPr>
          <w:ilvl w:val="0"/>
          <w:numId w:val="19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MISCELLANEOUS</w:t>
      </w:r>
    </w:p>
    <w:p>
      <w:pPr>
        <w:spacing w:after="0" w:line="194" w:lineRule="exact"/>
        <w:rPr>
          <w:sz w:val="20"/>
          <w:szCs w:val="20"/>
          <w:color w:val="auto"/>
        </w:rPr>
      </w:pPr>
    </w:p>
    <w:p>
      <w:pPr>
        <w:ind w:right="80" w:firstLine="495"/>
        <w:spacing w:after="0" w:line="266"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Force Majeure</w:t>
      </w:r>
      <w:r>
        <w:rPr>
          <w:rFonts w:ascii="Arial" w:cs="Arial" w:eastAsia="Arial" w:hAnsi="Arial"/>
          <w:sz w:val="14"/>
          <w:szCs w:val="14"/>
          <w:color w:val="auto"/>
        </w:rPr>
        <w:t>. No Party shall be considered in default or be liable for any delay in performance or for any non-performance to the extent caused by circumstances beyond the reasonable control of such Party.</w:t>
      </w:r>
    </w:p>
    <w:p>
      <w:pPr>
        <w:spacing w:after="0" w:line="159" w:lineRule="exact"/>
        <w:rPr>
          <w:sz w:val="20"/>
          <w:szCs w:val="20"/>
          <w:color w:val="auto"/>
        </w:rPr>
      </w:pPr>
    </w:p>
    <w:p>
      <w:pPr>
        <w:ind w:right="300" w:firstLine="495"/>
        <w:spacing w:after="0" w:line="266"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Third Party Beneficiaries</w:t>
      </w:r>
      <w:r>
        <w:rPr>
          <w:rFonts w:ascii="Arial" w:cs="Arial" w:eastAsia="Arial" w:hAnsi="Arial"/>
          <w:sz w:val="14"/>
          <w:szCs w:val="14"/>
          <w:color w:val="auto"/>
        </w:rPr>
        <w:t>. There are no third party beneficiaries under this Agreement except that persons and Entities who qualify as Indemnitees under Article 9 shall be third party beneficiaries of this Agreement for the limited purpose of enforcing this Agreement solely to the extent necessary to protect their rights under Article 9.</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1"/>
          <w:szCs w:val="11"/>
          <w:u w:val="single" w:color="auto"/>
          <w:color w:val="auto"/>
        </w:rPr>
        <w:t>Limitations</w:t>
      </w:r>
      <w:r>
        <w:rPr>
          <w:rFonts w:ascii="Arial" w:cs="Arial" w:eastAsia="Arial" w:hAnsi="Arial"/>
          <w:sz w:val="11"/>
          <w:szCs w:val="11"/>
          <w:color w:val="auto"/>
        </w:rPr>
        <w:t>. Except as expressly set forth in this Agreement, neither Party grants to the other Party any right or license to any of its intellectual property.</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1"/>
          <w:szCs w:val="11"/>
          <w:u w:val="single" w:color="auto"/>
          <w:color w:val="auto"/>
        </w:rPr>
        <w:t>Export Compliance</w:t>
      </w:r>
      <w:r>
        <w:rPr>
          <w:rFonts w:ascii="Arial" w:cs="Arial" w:eastAsia="Arial" w:hAnsi="Arial"/>
          <w:sz w:val="11"/>
          <w:szCs w:val="11"/>
          <w:color w:val="auto"/>
        </w:rPr>
        <w:t>. Each Party shall comply with all applicable United States regulations concerning export and export of technical data and products.</w:t>
      </w:r>
    </w:p>
    <w:p>
      <w:pPr>
        <w:spacing w:after="0" w:line="190" w:lineRule="exact"/>
        <w:rPr>
          <w:sz w:val="20"/>
          <w:szCs w:val="20"/>
          <w:color w:val="auto"/>
        </w:rPr>
      </w:pPr>
    </w:p>
    <w:p>
      <w:pPr>
        <w:jc w:val="both"/>
        <w:ind w:right="360" w:firstLine="495"/>
        <w:spacing w:after="0" w:line="256"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Severability</w:t>
      </w:r>
      <w:r>
        <w:rPr>
          <w:rFonts w:ascii="Arial" w:cs="Arial" w:eastAsia="Arial" w:hAnsi="Arial"/>
          <w:sz w:val="14"/>
          <w:szCs w:val="14"/>
          <w:color w:val="auto"/>
        </w:rPr>
        <w:t>. The provisions of this Agreement shall be deemed severable. Therefore, if any part or provision of this Agreement is rendered void, invalid or unenforceable by a court having competent jurisdiction, then such part or provision shall be severed from the remainder of the Agreement. Such severance shall not affect the validity or enforceability of the remainder of this Agreement.</w:t>
      </w:r>
    </w:p>
    <w:p>
      <w:pPr>
        <w:sectPr>
          <w:pgSz w:w="11900" w:h="16838" w:orient="portrait"/>
          <w:cols w:equalWidth="0" w:num="1">
            <w:col w:w="11280"/>
          </w:cols>
          <w:pgMar w:left="300" w:top="1305" w:right="319" w:bottom="1440" w:gutter="0" w:footer="0" w:header="0"/>
        </w:sectPr>
      </w:pPr>
    </w:p>
    <w:bookmarkStart w:id="228" w:name="page229"/>
    <w:bookmarkEnd w:id="228"/>
    <w:p>
      <w:pPr>
        <w:ind w:right="200" w:firstLine="495"/>
        <w:spacing w:after="0" w:line="256"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Notices</w:t>
      </w:r>
      <w:r>
        <w:rPr>
          <w:rFonts w:ascii="Arial" w:cs="Arial" w:eastAsia="Arial" w:hAnsi="Arial"/>
          <w:sz w:val="14"/>
          <w:szCs w:val="14"/>
          <w:color w:val="auto"/>
        </w:rPr>
        <w:t>. Notices under this Agreement shall be in writing and sent by (a) Registered or Certified mail, Return Receipt Requested or (b) overnight courier. Notices sent by Registered or Certified mail, Return Receipt Requested, shall be effective three (3) business days following mailing. Notices sent by overnight courier shall be effective on the next business day of the addressee following the day on which the notice was sent or transmitted. Notices hereunder shall be addressed to:</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If to Licensor:</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Divisional General Counsel</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Smiths Medical ASD, Inc.</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1265 Grey Fox Road</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St. Paul, Minnesota 55112</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United States of America</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If to Licensee:</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Attn: Chief Executive Officer</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Tandem Diabetes Care, Inc.</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11045 Roselle Street, Suite 200</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San Diego, California 92121</w:t>
      </w:r>
    </w:p>
    <w:p>
      <w:pPr>
        <w:spacing w:after="0" w:line="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United States of America</w:t>
      </w:r>
    </w:p>
    <w:p>
      <w:pPr>
        <w:spacing w:after="0" w:line="180" w:lineRule="exact"/>
        <w:rPr>
          <w:sz w:val="20"/>
          <w:szCs w:val="20"/>
          <w:color w:val="auto"/>
        </w:rPr>
      </w:pPr>
    </w:p>
    <w:p>
      <w:pPr>
        <w:ind w:right="280" w:firstLine="495"/>
        <w:spacing w:after="0" w:line="266"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sets forth the entire agreement between the Parties relating to the subject matter herein and supersedes all previous and contemporaneous agreements and understandings, whether oral or written, between the Parties with respect to the subject matter of this Agreement.</w:t>
      </w:r>
    </w:p>
    <w:p>
      <w:pPr>
        <w:spacing w:after="0" w:line="15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1"/>
          <w:szCs w:val="11"/>
          <w:u w:val="single" w:color="auto"/>
          <w:color w:val="auto"/>
        </w:rPr>
        <w:t>Amendment</w:t>
      </w:r>
      <w:r>
        <w:rPr>
          <w:rFonts w:ascii="Arial" w:cs="Arial" w:eastAsia="Arial" w:hAnsi="Arial"/>
          <w:sz w:val="11"/>
          <w:szCs w:val="11"/>
          <w:color w:val="auto"/>
        </w:rPr>
        <w:t>. This Agreement may not be modified, amended or discharged except by a written agreement signed by an authorized representative of each Party.</w:t>
      </w:r>
    </w:p>
    <w:p>
      <w:pPr>
        <w:spacing w:after="0" w:line="190" w:lineRule="exact"/>
        <w:rPr>
          <w:sz w:val="20"/>
          <w:szCs w:val="20"/>
          <w:color w:val="auto"/>
        </w:rPr>
      </w:pPr>
    </w:p>
    <w:p>
      <w:pPr>
        <w:ind w:firstLine="495"/>
        <w:spacing w:after="0" w:line="252"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Assignment</w:t>
      </w:r>
      <w:r>
        <w:rPr>
          <w:rFonts w:ascii="Arial" w:cs="Arial" w:eastAsia="Arial" w:hAnsi="Arial"/>
          <w:sz w:val="14"/>
          <w:szCs w:val="14"/>
          <w:color w:val="auto"/>
        </w:rPr>
        <w:t>. Neither this Agreement nor any right or obligation hereunder may be assigned, delegated or otherwise transferred, in whole or part, by either Party without the prior express written consent of the other; provided, however, that either Party may, without the written consent of the other, assign this Agreement in whole to an Affiliate, or in connection with the transfer or sale of all or substantially all of such Party’s assets or business related to this Agreement, or in the event of its merger, consolidation, change in control or similar transaction. Any permitted assignee shall assume all obligations of its assignor under this Agreement. Any purported assignment in violation of this Section shall be void.</w:t>
      </w:r>
    </w:p>
    <w:p>
      <w:pPr>
        <w:spacing w:after="0" w:line="170" w:lineRule="exact"/>
        <w:rPr>
          <w:sz w:val="20"/>
          <w:szCs w:val="20"/>
          <w:color w:val="auto"/>
        </w:rPr>
      </w:pPr>
    </w:p>
    <w:p>
      <w:pPr>
        <w:ind w:right="240" w:firstLine="495"/>
        <w:spacing w:after="0" w:line="266"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Succession</w:t>
      </w:r>
      <w:r>
        <w:rPr>
          <w:rFonts w:ascii="Arial" w:cs="Arial" w:eastAsia="Arial" w:hAnsi="Arial"/>
          <w:sz w:val="14"/>
          <w:szCs w:val="14"/>
          <w:color w:val="auto"/>
        </w:rPr>
        <w:t>. This Agreement and the rights and obligations granted and undertaken thereunder shall be binding upon and inure to the benefit of the Parties hereto, and their successors, trustee(s) or receiver(s) in bankruptcy and permitted assignees.</w:t>
      </w:r>
    </w:p>
    <w:p>
      <w:pPr>
        <w:spacing w:after="0" w:line="159" w:lineRule="exact"/>
        <w:rPr>
          <w:sz w:val="20"/>
          <w:szCs w:val="20"/>
          <w:color w:val="auto"/>
        </w:rPr>
      </w:pPr>
    </w:p>
    <w:p>
      <w:pPr>
        <w:jc w:val="both"/>
        <w:ind w:right="180" w:firstLine="495"/>
        <w:spacing w:after="0" w:line="252" w:lineRule="auto"/>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Section 365(n)</w:t>
      </w:r>
      <w:r>
        <w:rPr>
          <w:rFonts w:ascii="Arial" w:cs="Arial" w:eastAsia="Arial" w:hAnsi="Arial"/>
          <w:sz w:val="14"/>
          <w:szCs w:val="14"/>
          <w:color w:val="auto"/>
        </w:rPr>
        <w:t>. All licenses granted under this Agreement are deemed to be, for purposes of Section 365(n) of the U.S. Bankruptcy Code, licenses of right to “intellectual property” as defined in Section 101 of such Code. The Parties agree that each Party, as licensee, may fully exercise all of its rights and elections under the U.S. Bankruptcy Code and any foreign equivalent thereto in any country having jurisdiction over a Party or its assets. Any agreements supplemental hereto will be deemed to be “agreements supplementary to” this Agreement for purposes of Section 365(n) of the Bankruptcy Code.</w:t>
      </w:r>
    </w:p>
    <w:p>
      <w:pPr>
        <w:sectPr>
          <w:pgSz w:w="11900" w:h="16838" w:orient="portrait"/>
          <w:cols w:equalWidth="0" w:num="1">
            <w:col w:w="11280"/>
          </w:cols>
          <w:pgMar w:left="300" w:top="1119" w:right="319" w:bottom="1440" w:gutter="0" w:footer="0" w:header="0"/>
        </w:sectPr>
      </w:pPr>
    </w:p>
    <w:bookmarkStart w:id="229" w:name="page230"/>
    <w:bookmarkEnd w:id="229"/>
    <w:p>
      <w:pPr>
        <w:ind w:right="20" w:firstLine="495"/>
        <w:spacing w:after="0" w:line="249"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Further Assurances</w:t>
      </w:r>
      <w:r>
        <w:rPr>
          <w:rFonts w:ascii="Arial" w:cs="Arial" w:eastAsia="Arial" w:hAnsi="Arial"/>
          <w:sz w:val="14"/>
          <w:szCs w:val="14"/>
          <w:color w:val="auto"/>
        </w:rPr>
        <w:t>. Each Party agrees to execute, acknowledge and deliver such further instructions, and to do all such other acts, as may be necessary or appropriate in order to carry out the purposes and intent of this Agreement. Without limiting the foregoing, Licensor shall, from time to time, upon the reasonable request of Licensee, execute and deliver to Licensee such further documents or instruments of assignment, conveyance, transfer or confirmation and to take such action as may be necessary in order to more effectively assign or license (as applicable) the Patent Rights in accordance with this Agreement. If Licensor is unable or unwilling to execute such documents or instruments, and subject at all times to [***], Licensor hereby constitutes and appoints Licensee as Licensor’s attorney in fact, with full power of substitution in Licensor’s name and stead, solely to take any and all steps, including proceedings at law, in equity or otherwise, to execute, acknowledge and deliver any and all instruments and assurances necessary or expedient in order to vest or perfect such rights and causes of action or to protect the same or to enforce any claim or right of any kind with respect thereto.</w:t>
      </w:r>
    </w:p>
    <w:p>
      <w:pPr>
        <w:spacing w:after="0" w:line="17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article and paragraph headings in this Agreement are for convenience only and shall not constitute a part hereof.</w:t>
      </w:r>
    </w:p>
    <w:p>
      <w:pPr>
        <w:spacing w:after="0" w:line="190" w:lineRule="exact"/>
        <w:rPr>
          <w:sz w:val="20"/>
          <w:szCs w:val="20"/>
          <w:color w:val="auto"/>
        </w:rPr>
      </w:pPr>
    </w:p>
    <w:p>
      <w:pPr>
        <w:ind w:right="60" w:firstLine="495"/>
        <w:spacing w:after="0" w:line="266" w:lineRule="auto"/>
        <w:rPr>
          <w:sz w:val="20"/>
          <w:szCs w:val="20"/>
          <w:color w:val="auto"/>
        </w:rPr>
      </w:pPr>
      <w:r>
        <w:rPr>
          <w:rFonts w:ascii="Arial" w:cs="Arial" w:eastAsia="Arial" w:hAnsi="Arial"/>
          <w:sz w:val="14"/>
          <w:szCs w:val="14"/>
          <w:color w:val="auto"/>
        </w:rPr>
        <w:t xml:space="preserve">10.14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two or more counterparts, each of which shall be deemed to constitute an original, but all of which together shall constitute one and the same instrument. A Party may evidence execution of the Agreement by electronic means (e.g. facsimile or comparable means).</w:t>
      </w:r>
    </w:p>
    <w:p>
      <w:pPr>
        <w:spacing w:after="0" w:line="159" w:lineRule="exact"/>
        <w:rPr>
          <w:sz w:val="20"/>
          <w:szCs w:val="20"/>
          <w:color w:val="auto"/>
        </w:rPr>
      </w:pPr>
    </w:p>
    <w:p>
      <w:pPr>
        <w:ind w:right="20" w:firstLine="495"/>
        <w:spacing w:after="0" w:line="250" w:lineRule="auto"/>
        <w:rPr>
          <w:sz w:val="20"/>
          <w:szCs w:val="20"/>
          <w:color w:val="auto"/>
        </w:rPr>
      </w:pPr>
      <w:r>
        <w:rPr>
          <w:rFonts w:ascii="Arial" w:cs="Arial" w:eastAsia="Arial" w:hAnsi="Arial"/>
          <w:sz w:val="14"/>
          <w:szCs w:val="14"/>
          <w:color w:val="auto"/>
        </w:rPr>
        <w:t xml:space="preserve">10.15 </w:t>
      </w:r>
      <w:r>
        <w:rPr>
          <w:rFonts w:ascii="Arial" w:cs="Arial" w:eastAsia="Arial" w:hAnsi="Arial"/>
          <w:sz w:val="14"/>
          <w:szCs w:val="14"/>
          <w:u w:val="single" w:color="auto"/>
          <w:color w:val="auto"/>
        </w:rPr>
        <w:t>Rules of Construction</w:t>
      </w:r>
      <w:r>
        <w:rPr>
          <w:rFonts w:ascii="Arial" w:cs="Arial" w:eastAsia="Arial" w:hAnsi="Arial"/>
          <w:sz w:val="14"/>
          <w:szCs w:val="14"/>
          <w:color w:val="auto"/>
        </w:rPr>
        <w:t>. For all purposes of this Agreement, except as otherwise expressly provided or unless the context clearly requires otherwise: (i) the terms defined herein include the plural as well as the singular and vice-versa; (ii) words importing gender include all genders; (iii) any reference to an “Exhibit”, an “Article” or a “Section” refers to an Exhibit, an Article or a Section, as the case may be, of this Agreement; (iv) the Exhibits hereto form part of this Agreement and are incorporated herein by this reference; (v) all references to this Agreement and the words “herein”, “hereof”, “hereto”, “thereof”, and “hereunder” and other words of similar import refer to this Agreement as a whole and not to any particular Exhibit, Article, Section, or other subdivision; (vi) the words “including,” “included” and “includes” means inclusion without limitation; and (vii) in the event of any conflict between the terms in the body of the Agreement and the terms in the Exhibits, the terms of the Agreement shall prevail to the extent that there is such a conflict.</w:t>
      </w:r>
    </w:p>
    <w:p>
      <w:pPr>
        <w:spacing w:after="0" w:line="170" w:lineRule="exact"/>
        <w:rPr>
          <w:sz w:val="20"/>
          <w:szCs w:val="20"/>
          <w:color w:val="auto"/>
        </w:rPr>
      </w:pPr>
    </w:p>
    <w:p>
      <w:pPr>
        <w:ind w:firstLine="495"/>
        <w:spacing w:after="0" w:line="266" w:lineRule="auto"/>
        <w:rPr>
          <w:sz w:val="20"/>
          <w:szCs w:val="20"/>
          <w:color w:val="auto"/>
        </w:rPr>
      </w:pPr>
      <w:r>
        <w:rPr>
          <w:rFonts w:ascii="Arial" w:cs="Arial" w:eastAsia="Arial" w:hAnsi="Arial"/>
          <w:sz w:val="14"/>
          <w:szCs w:val="14"/>
          <w:color w:val="auto"/>
        </w:rPr>
        <w:t xml:space="preserve">10.16 </w:t>
      </w:r>
      <w:r>
        <w:rPr>
          <w:rFonts w:ascii="Arial" w:cs="Arial" w:eastAsia="Arial" w:hAnsi="Arial"/>
          <w:sz w:val="14"/>
          <w:szCs w:val="14"/>
          <w:u w:val="single" w:color="auto"/>
          <w:color w:val="auto"/>
        </w:rPr>
        <w:t>No Agency</w:t>
      </w:r>
      <w:r>
        <w:rPr>
          <w:rFonts w:ascii="Arial" w:cs="Arial" w:eastAsia="Arial" w:hAnsi="Arial"/>
          <w:sz w:val="14"/>
          <w:szCs w:val="14"/>
          <w:color w:val="auto"/>
        </w:rPr>
        <w:t>. Nothing contained herein, or done pursuant to this Agreement will constitute the Parties hereto entering into a joint venture or partnership or will constitute either Party hereto being the agent of the other Party for any purpose or in any sense whatsoever.</w:t>
      </w:r>
    </w:p>
    <w:p>
      <w:pPr>
        <w:spacing w:after="0" w:line="159" w:lineRule="exact"/>
        <w:rPr>
          <w:sz w:val="20"/>
          <w:szCs w:val="20"/>
          <w:color w:val="auto"/>
        </w:rPr>
      </w:pPr>
    </w:p>
    <w:p>
      <w:pPr>
        <w:ind w:right="400" w:firstLine="495"/>
        <w:spacing w:after="0" w:line="266" w:lineRule="auto"/>
        <w:rPr>
          <w:sz w:val="20"/>
          <w:szCs w:val="20"/>
          <w:color w:val="auto"/>
        </w:rPr>
      </w:pPr>
      <w:r>
        <w:rPr>
          <w:rFonts w:ascii="Arial" w:cs="Arial" w:eastAsia="Arial" w:hAnsi="Arial"/>
          <w:sz w:val="14"/>
          <w:szCs w:val="14"/>
          <w:color w:val="auto"/>
        </w:rPr>
        <w:t xml:space="preserve">10.17 </w:t>
      </w:r>
      <w:r>
        <w:rPr>
          <w:rFonts w:ascii="Arial" w:cs="Arial" w:eastAsia="Arial" w:hAnsi="Arial"/>
          <w:sz w:val="14"/>
          <w:szCs w:val="14"/>
          <w:u w:val="single" w:color="auto"/>
          <w:color w:val="auto"/>
        </w:rPr>
        <w:t>Negotiation and Drafting</w:t>
      </w:r>
      <w:r>
        <w:rPr>
          <w:rFonts w:ascii="Arial" w:cs="Arial" w:eastAsia="Arial" w:hAnsi="Arial"/>
          <w:sz w:val="14"/>
          <w:szCs w:val="14"/>
          <w:color w:val="auto"/>
        </w:rPr>
        <w:t>. This Agreement was negotiated between the Parties, each of whom had the opportunity to consult with legal counsel during the negotiation, drafting, and execution of this Agreement; and the Parties agree that this Agreement shall not be construed against any Party as the drafter.</w:t>
      </w:r>
    </w:p>
    <w:p>
      <w:pPr>
        <w:spacing w:after="0" w:line="159" w:lineRule="exact"/>
        <w:rPr>
          <w:sz w:val="20"/>
          <w:szCs w:val="20"/>
          <w:color w:val="auto"/>
        </w:rPr>
      </w:pPr>
    </w:p>
    <w:p>
      <w:pPr>
        <w:ind w:right="340" w:firstLine="495"/>
        <w:spacing w:after="0" w:line="266" w:lineRule="auto"/>
        <w:rPr>
          <w:sz w:val="20"/>
          <w:szCs w:val="20"/>
          <w:color w:val="auto"/>
        </w:rPr>
      </w:pPr>
      <w:r>
        <w:rPr>
          <w:rFonts w:ascii="Arial" w:cs="Arial" w:eastAsia="Arial" w:hAnsi="Arial"/>
          <w:sz w:val="14"/>
          <w:szCs w:val="14"/>
          <w:color w:val="auto"/>
        </w:rPr>
        <w:t xml:space="preserve">10.18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No Party has relied on any representation or warranty of any kind in entering into this Agreement, or as an inducement to enter into this Agreement, except for those representations and warranties expressly set forth herein.</w:t>
      </w:r>
    </w:p>
    <w:p>
      <w:pPr>
        <w:spacing w:after="0" w:line="159"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10.19</w:t>
      </w:r>
      <w:r>
        <w:rPr>
          <w:sz w:val="20"/>
          <w:szCs w:val="20"/>
          <w:color w:val="auto"/>
        </w:rPr>
        <w:tab/>
      </w:r>
      <w:r>
        <w:rPr>
          <w:rFonts w:ascii="Arial" w:cs="Arial" w:eastAsia="Arial" w:hAnsi="Arial"/>
          <w:sz w:val="11"/>
          <w:szCs w:val="11"/>
          <w:u w:val="single" w:color="auto"/>
          <w:color w:val="auto"/>
        </w:rPr>
        <w:t>Performance by Affiliates</w:t>
      </w:r>
      <w:r>
        <w:rPr>
          <w:rFonts w:ascii="Arial" w:cs="Arial" w:eastAsia="Arial" w:hAnsi="Arial"/>
          <w:sz w:val="11"/>
          <w:szCs w:val="11"/>
          <w:color w:val="auto"/>
        </w:rPr>
        <w:t>. Each Party is responsible and liable to the other Party for the acts and omissions of such Party’s Affiliates in respect of this Agreement.</w:t>
      </w:r>
    </w:p>
    <w:p>
      <w:pPr>
        <w:sectPr>
          <w:pgSz w:w="11900" w:h="16838" w:orient="portrait"/>
          <w:cols w:equalWidth="0" w:num="1">
            <w:col w:w="11280"/>
          </w:cols>
          <w:pgMar w:left="300" w:top="1119" w:right="31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78"/>
        </w:trPr>
        <w:tc>
          <w:tcPr>
            <w:tcW w:w="3540" w:type="dxa"/>
            <w:vAlign w:val="bottom"/>
            <w:gridSpan w:val="9"/>
          </w:tcPr>
          <w:p>
            <w:pPr>
              <w:spacing w:after="0"/>
              <w:rPr>
                <w:sz w:val="20"/>
                <w:szCs w:val="20"/>
                <w:color w:val="auto"/>
              </w:rPr>
            </w:pPr>
            <w:r>
              <w:rPr>
                <w:rFonts w:ascii="Arial" w:cs="Arial" w:eastAsia="Arial" w:hAnsi="Arial"/>
                <w:sz w:val="14"/>
                <w:szCs w:val="14"/>
                <w:b w:val="1"/>
                <w:bCs w:val="1"/>
                <w:color w:val="auto"/>
              </w:rPr>
              <w:t>Smiths Medical ASD, Inc. (Licensor)</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9"/>
        </w:trPr>
        <w:tc>
          <w:tcPr>
            <w:tcW w:w="3540" w:type="dxa"/>
            <w:vAlign w:val="bottom"/>
            <w:gridSpan w:val="9"/>
          </w:tcPr>
          <w:p>
            <w:pPr>
              <w:spacing w:after="0"/>
              <w:rPr>
                <w:sz w:val="20"/>
                <w:szCs w:val="20"/>
                <w:color w:val="auto"/>
              </w:rPr>
            </w:pPr>
            <w:r>
              <w:rPr>
                <w:rFonts w:ascii="Arial" w:cs="Arial" w:eastAsia="Arial" w:hAnsi="Arial"/>
                <w:sz w:val="14"/>
                <w:szCs w:val="14"/>
                <w:color w:val="auto"/>
              </w:rPr>
              <w:t>By: /s/ Srinivasan Seshadri</w:t>
            </w:r>
          </w:p>
        </w:tc>
        <w:tc>
          <w:tcPr>
            <w:tcW w:w="2380" w:type="dxa"/>
            <w:vAlign w:val="bottom"/>
            <w:gridSpan w:val="4"/>
          </w:tcPr>
          <w:p>
            <w:pPr>
              <w:ind w:left="1380"/>
              <w:spacing w:after="0"/>
              <w:rPr>
                <w:sz w:val="20"/>
                <w:szCs w:val="20"/>
                <w:color w:val="auto"/>
              </w:rPr>
            </w:pPr>
            <w:r>
              <w:rPr>
                <w:rFonts w:ascii="Arial" w:cs="Arial" w:eastAsia="Arial" w:hAnsi="Arial"/>
                <w:sz w:val="14"/>
                <w:szCs w:val="14"/>
                <w:color w:val="auto"/>
                <w:w w:val="86"/>
              </w:rPr>
              <w:t>Date: July 9, 2012</w:t>
            </w:r>
          </w:p>
        </w:tc>
      </w:tr>
      <w:tr>
        <w:trPr>
          <w:trHeight w:val="279"/>
        </w:trPr>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w w:val="97"/>
              </w:rPr>
              <w:t>Srinivasan Seshadri</w:t>
            </w:r>
          </w:p>
        </w:tc>
        <w:tc>
          <w:tcPr>
            <w:tcW w:w="204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3540" w:type="dxa"/>
            <w:vAlign w:val="bottom"/>
            <w:gridSpan w:val="9"/>
          </w:tcPr>
          <w:p>
            <w:pPr>
              <w:spacing w:after="0"/>
              <w:rPr>
                <w:sz w:val="20"/>
                <w:szCs w:val="20"/>
                <w:color w:val="auto"/>
              </w:rPr>
            </w:pPr>
            <w:r>
              <w:rPr>
                <w:rFonts w:ascii="Arial" w:cs="Arial" w:eastAsia="Arial" w:hAnsi="Arial"/>
                <w:sz w:val="14"/>
                <w:szCs w:val="14"/>
                <w:color w:val="auto"/>
              </w:rPr>
              <w:t>Title: President, Smiths Medical</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3540" w:type="dxa"/>
            <w:vAlign w:val="bottom"/>
            <w:gridSpan w:val="9"/>
          </w:tcPr>
          <w:p>
            <w:pPr>
              <w:spacing w:after="0"/>
              <w:rPr>
                <w:sz w:val="20"/>
                <w:szCs w:val="20"/>
                <w:color w:val="auto"/>
              </w:rPr>
            </w:pPr>
            <w:r>
              <w:rPr>
                <w:rFonts w:ascii="Arial" w:cs="Arial" w:eastAsia="Arial" w:hAnsi="Arial"/>
                <w:sz w:val="14"/>
                <w:szCs w:val="14"/>
                <w:b w:val="1"/>
                <w:bCs w:val="1"/>
                <w:color w:val="auto"/>
              </w:rPr>
              <w:t>Tandem Diabetes Care, Inc. (Licensee)</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3540" w:type="dxa"/>
            <w:vAlign w:val="bottom"/>
            <w:gridSpan w:val="9"/>
          </w:tcPr>
          <w:p>
            <w:pPr>
              <w:spacing w:after="0"/>
              <w:rPr>
                <w:sz w:val="20"/>
                <w:szCs w:val="20"/>
                <w:color w:val="auto"/>
              </w:rPr>
            </w:pPr>
            <w:r>
              <w:rPr>
                <w:rFonts w:ascii="Arial" w:cs="Arial" w:eastAsia="Arial" w:hAnsi="Arial"/>
                <w:sz w:val="14"/>
                <w:szCs w:val="14"/>
                <w:color w:val="auto"/>
              </w:rPr>
              <w:t>By: /s/ Kim Blickenstaff</w:t>
            </w:r>
          </w:p>
        </w:tc>
        <w:tc>
          <w:tcPr>
            <w:tcW w:w="2380" w:type="dxa"/>
            <w:vAlign w:val="bottom"/>
            <w:gridSpan w:val="4"/>
          </w:tcPr>
          <w:p>
            <w:pPr>
              <w:ind w:left="1300"/>
              <w:spacing w:after="0"/>
              <w:rPr>
                <w:sz w:val="20"/>
                <w:szCs w:val="20"/>
                <w:color w:val="auto"/>
              </w:rPr>
            </w:pPr>
            <w:r>
              <w:rPr>
                <w:rFonts w:ascii="Arial" w:cs="Arial" w:eastAsia="Arial" w:hAnsi="Arial"/>
                <w:sz w:val="14"/>
                <w:szCs w:val="14"/>
                <w:color w:val="auto"/>
                <w:w w:val="87"/>
              </w:rPr>
              <w:t>Date: July 11, 2012</w:t>
            </w:r>
          </w:p>
        </w:tc>
      </w:tr>
      <w:tr>
        <w:trPr>
          <w:trHeight w:val="279"/>
        </w:trPr>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Kim Blickenstaff</w:t>
            </w:r>
          </w:p>
        </w:tc>
        <w:tc>
          <w:tcPr>
            <w:tcW w:w="218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3540" w:type="dxa"/>
            <w:vAlign w:val="bottom"/>
            <w:gridSpan w:val="9"/>
          </w:tcPr>
          <w:p>
            <w:pPr>
              <w:spacing w:after="0"/>
              <w:rPr>
                <w:sz w:val="20"/>
                <w:szCs w:val="20"/>
                <w:color w:val="auto"/>
              </w:rPr>
            </w:pPr>
            <w:r>
              <w:rPr>
                <w:rFonts w:ascii="Arial" w:cs="Arial" w:eastAsia="Arial" w:hAnsi="Arial"/>
                <w:sz w:val="14"/>
                <w:szCs w:val="14"/>
                <w:color w:val="auto"/>
              </w:rPr>
              <w:t>Title: President &amp; CEO</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159"/>
          </w:cols>
          <w:pgMar w:left="1300" w:top="1146" w:right="1440"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4"/>
          <w:szCs w:val="14"/>
          <w:b w:val="1"/>
          <w:bCs w:val="1"/>
          <w:u w:val="single" w:color="auto"/>
          <w:color w:val="auto"/>
        </w:rPr>
        <w:t>EXHIBIT 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ASSIGNED PATENT RIGHTS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6,650,951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6,852,104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7,734,323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7,751,907</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11/018,706</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11/685,617</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11/755,480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12/720,306</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12/729,985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12/774,991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12/908,218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12/914,295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13/281,168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13/465,570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13/477,641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13/477,657</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13/477,666</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13/477,679</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13/477,684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13/481,228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13/481,302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13/482,106</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13/530,404</w:t>
      </w:r>
    </w:p>
    <w:p>
      <w:pPr>
        <w:sectPr>
          <w:pgSz w:w="11900" w:h="16838" w:orient="portrait"/>
          <w:cols w:equalWidth="0" w:num="1">
            <w:col w:w="9019"/>
          </w:cols>
          <w:pgMar w:left="1440" w:top="1301" w:right="1440" w:bottom="1440" w:gutter="0" w:footer="0" w:header="0"/>
        </w:sectPr>
      </w:pPr>
    </w:p>
    <w:bookmarkStart w:id="232" w:name="page233"/>
    <w:bookmarkEnd w:id="232"/>
    <w:p>
      <w:pPr>
        <w:jc w:val="center"/>
        <w:ind w:right="-59"/>
        <w:spacing w:after="0"/>
        <w:rPr>
          <w:sz w:val="20"/>
          <w:szCs w:val="20"/>
          <w:color w:val="auto"/>
        </w:rPr>
      </w:pPr>
      <w:r>
        <w:rPr>
          <w:rFonts w:ascii="Arial" w:cs="Arial" w:eastAsia="Arial" w:hAnsi="Arial"/>
          <w:sz w:val="14"/>
          <w:szCs w:val="14"/>
          <w:b w:val="1"/>
          <w:bCs w:val="1"/>
          <w:u w:val="single" w:color="auto"/>
          <w:color w:val="auto"/>
        </w:rPr>
        <w:t>EXHIBIT B</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 B PATENT RIGHTS</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and, to the extent filed by Licensor on or after [***] with respect to the foregoing, patents or patent applications claiming priority to any of the foregoing including but not limited to (i) all provisionals, substitutions, continuations, continuations-in-part, divisionals, supplementary protection certificates, renewals, all letters patent granted thereon, and all reissues, reexaminations, extensions, confirmations, revalidations, registrations, patents of addition thereof, (ii) PCTs, and (iii) all the foreign counterparts to any and all of the foregoing (i) and (ii).</w:t>
      </w:r>
    </w:p>
    <w:p>
      <w:pPr>
        <w:sectPr>
          <w:pgSz w:w="11900" w:h="16838" w:orient="portrait"/>
          <w:cols w:equalWidth="0" w:num="1">
            <w:col w:w="11220"/>
          </w:cols>
          <w:pgMar w:left="300" w:top="1301" w:right="379" w:bottom="1440" w:gutter="0" w:footer="0" w:header="0"/>
        </w:sectPr>
      </w:pPr>
    </w:p>
    <w:bookmarkStart w:id="233" w:name="page234"/>
    <w:bookmarkEnd w:id="233"/>
    <w:p>
      <w:pPr>
        <w:jc w:val="center"/>
        <w:ind w:right="-59"/>
        <w:spacing w:after="0"/>
        <w:rPr>
          <w:sz w:val="20"/>
          <w:szCs w:val="20"/>
          <w:color w:val="auto"/>
        </w:rPr>
      </w:pPr>
      <w:r>
        <w:rPr>
          <w:rFonts w:ascii="Arial" w:cs="Arial" w:eastAsia="Arial" w:hAnsi="Arial"/>
          <w:sz w:val="14"/>
          <w:szCs w:val="14"/>
          <w:b w:val="1"/>
          <w:bCs w:val="1"/>
          <w:u w:val="single" w:color="auto"/>
          <w:color w:val="auto"/>
        </w:rPr>
        <w:t>EXHIBIT 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 C PATENT RIGHTS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and, to the extent filed by Licensor on or after [***] with respect to the foregoing, patents or patent applications claiming priority to any of the foregoing including but not limited to (i) all provisionals, substitutions, continuations, continuations-in-part, divisionals, supplementary protection certificates, renewals, all letters patent granted thereon, and all reissues, reexaminations, extensions, confirmations, revalidations, registrations, patents of addition thereof, (ii) PCTs, and (iii) all the foreign counterparts to any and all of the foregoing (i) and (ii).</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00" w:top="1301" w:right="379" w:bottom="1440" w:gutter="0" w:footer="0" w:header="0"/>
        </w:sectPr>
      </w:pPr>
    </w:p>
    <w:bookmarkStart w:id="234" w:name="page235"/>
    <w:bookmarkEnd w:id="234"/>
    <w:p>
      <w:pPr>
        <w:jc w:val="center"/>
        <w:ind w:right="-59"/>
        <w:spacing w:after="0"/>
        <w:rPr>
          <w:sz w:val="20"/>
          <w:szCs w:val="20"/>
          <w:color w:val="auto"/>
        </w:rPr>
      </w:pPr>
      <w:r>
        <w:rPr>
          <w:rFonts w:ascii="Arial" w:cs="Arial" w:eastAsia="Arial" w:hAnsi="Arial"/>
          <w:sz w:val="14"/>
          <w:szCs w:val="14"/>
          <w:b w:val="1"/>
          <w:bCs w:val="1"/>
          <w:color w:val="auto"/>
        </w:rPr>
        <w:t>EXHIBIT 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 Patent Assignment</w:t>
      </w:r>
    </w:p>
    <w:p>
      <w:pPr>
        <w:spacing w:after="0" w:line="194" w:lineRule="exact"/>
        <w:rPr>
          <w:sz w:val="20"/>
          <w:szCs w:val="20"/>
          <w:color w:val="auto"/>
        </w:rPr>
      </w:pPr>
    </w:p>
    <w:p>
      <w:pPr>
        <w:ind w:firstLine="495"/>
        <w:spacing w:after="0" w:line="256" w:lineRule="auto"/>
        <w:rPr>
          <w:sz w:val="20"/>
          <w:szCs w:val="20"/>
          <w:color w:val="auto"/>
        </w:rPr>
      </w:pPr>
      <w:r>
        <w:rPr>
          <w:rFonts w:ascii="Arial" w:cs="Arial" w:eastAsia="Arial" w:hAnsi="Arial"/>
          <w:sz w:val="14"/>
          <w:szCs w:val="14"/>
          <w:color w:val="auto"/>
        </w:rPr>
        <w:t>This Assignment is made effective as of the date set out below by Smiths Medical ASD, Inc., a corporation formed under the laws of the State of Delaware, with locations at 1265 Grey Fox Road, St. Paul, MN 55122 and 160 Weymouth Street, Rockland, MA 02370, United States of America ("Assignor") in favor of Tandem Diabetes Care, Inc. a corporation formed under the laws of the State of Delaware, and located at 11045 Roselle Street, Suite 200, San Diego, California 92121, United States of America ("Assignee").</w:t>
      </w:r>
    </w:p>
    <w:p>
      <w:pPr>
        <w:spacing w:after="0" w:line="162" w:lineRule="exact"/>
        <w:rPr>
          <w:sz w:val="20"/>
          <w:szCs w:val="20"/>
          <w:color w:val="auto"/>
        </w:rPr>
      </w:pPr>
    </w:p>
    <w:p>
      <w:pPr>
        <w:ind w:right="240" w:firstLine="495"/>
        <w:spacing w:after="0" w:line="411"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pursuant to a Confidential Intellectual Property Agreement executed by and between Assignor and Assignee with an effective date of July 10, 2012 ("the CIPA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Assignor has agreed to sell, assign and transfer to Assignee all right, title and interest in and to the U. S. Patents and U.S. Patent Applications listed in Exhibit A (collectively “the U.S. Patent Rights”).</w:t>
      </w:r>
    </w:p>
    <w:p>
      <w:pPr>
        <w:spacing w:after="0" w:line="82" w:lineRule="exact"/>
        <w:rPr>
          <w:sz w:val="20"/>
          <w:szCs w:val="20"/>
          <w:color w:val="auto"/>
        </w:rPr>
      </w:pPr>
    </w:p>
    <w:p>
      <w:pPr>
        <w:ind w:firstLine="495"/>
        <w:spacing w:after="0" w:line="254"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for good and valuable consideration, receipt and sufficiency of which is acknowledged, Assignor sells, assigns and transfers to Assignee, all right, title and interest in and</w:t>
      </w:r>
      <w:r>
        <w:rPr>
          <w:rFonts w:ascii="Arial" w:cs="Arial" w:eastAsia="Arial" w:hAnsi="Arial"/>
          <w:sz w:val="14"/>
          <w:szCs w:val="14"/>
          <w:b w:val="1"/>
          <w:bCs w:val="1"/>
          <w:color w:val="auto"/>
        </w:rPr>
        <w:t xml:space="preserve"> </w:t>
      </w:r>
      <w:r>
        <w:rPr>
          <w:rFonts w:ascii="Arial" w:cs="Arial" w:eastAsia="Arial" w:hAnsi="Arial"/>
          <w:sz w:val="14"/>
          <w:szCs w:val="14"/>
          <w:color w:val="auto"/>
        </w:rPr>
        <w:t>to the U.S. Patent Rights, including all Letters Patent Domestic issued or to be obtained thereon. Assignor further authorizes and requests the Commissioner of Patents to issue the Letters Patent granted on the applications of said Patent Rights to Assignee. Nothing herein shall be interpreted to amend the liabilities and obligations of the CIPA, and the terms and conditions of the CIPA shall prevail in any conflict between the CIPA and this Assignment.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Assignor has executed this Assignment as of the _____ day of ____________, 2012.</w:t>
      </w:r>
    </w:p>
    <w:p>
      <w:pPr>
        <w:spacing w:after="0" w:line="7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Smiths Medical ASD, Inc.,</w:t>
      </w:r>
    </w:p>
    <w:p>
      <w:pPr>
        <w:spacing w:after="0" w:line="17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By: _________________________</w:t>
      </w:r>
    </w:p>
    <w:p>
      <w:pPr>
        <w:spacing w:after="0" w:line="14"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Signature</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4900" w:type="dxa"/>
            <w:vAlign w:val="bottom"/>
          </w:tcPr>
          <w:p>
            <w:pPr>
              <w:ind w:left="1100"/>
              <w:spacing w:after="0"/>
              <w:rPr>
                <w:sz w:val="20"/>
                <w:szCs w:val="20"/>
                <w:color w:val="auto"/>
              </w:rPr>
            </w:pPr>
            <w:r>
              <w:rPr>
                <w:rFonts w:ascii="Arial" w:cs="Arial" w:eastAsia="Arial" w:hAnsi="Arial"/>
                <w:sz w:val="14"/>
                <w:szCs w:val="14"/>
                <w:color w:val="auto"/>
              </w:rPr>
              <w:t>_________________________</w:t>
            </w:r>
          </w:p>
        </w:tc>
      </w:tr>
      <w:tr>
        <w:trPr>
          <w:trHeight w:val="175"/>
        </w:trPr>
        <w:tc>
          <w:tcPr>
            <w:tcW w:w="960" w:type="dxa"/>
            <w:vAlign w:val="bottom"/>
          </w:tcPr>
          <w:p>
            <w:pPr>
              <w:spacing w:after="0"/>
              <w:rPr>
                <w:sz w:val="15"/>
                <w:szCs w:val="15"/>
                <w:color w:val="auto"/>
              </w:rPr>
            </w:pPr>
          </w:p>
        </w:tc>
        <w:tc>
          <w:tcPr>
            <w:tcW w:w="4900" w:type="dxa"/>
            <w:vAlign w:val="bottom"/>
          </w:tcPr>
          <w:p>
            <w:pPr>
              <w:ind w:left="1520"/>
              <w:spacing w:after="0"/>
              <w:rPr>
                <w:sz w:val="20"/>
                <w:szCs w:val="20"/>
                <w:color w:val="auto"/>
              </w:rPr>
            </w:pPr>
            <w:r>
              <w:rPr>
                <w:rFonts w:ascii="Arial" w:cs="Arial" w:eastAsia="Arial" w:hAnsi="Arial"/>
                <w:sz w:val="14"/>
                <w:szCs w:val="14"/>
                <w:color w:val="auto"/>
              </w:rPr>
              <w:t>Printed Name</w:t>
            </w:r>
          </w:p>
        </w:tc>
      </w:tr>
      <w:tr>
        <w:trPr>
          <w:trHeight w:val="299"/>
        </w:trPr>
        <w:tc>
          <w:tcPr>
            <w:tcW w:w="960" w:type="dxa"/>
            <w:vAlign w:val="bottom"/>
          </w:tcPr>
          <w:p>
            <w:pPr>
              <w:spacing w:after="0"/>
              <w:rPr>
                <w:sz w:val="24"/>
                <w:szCs w:val="24"/>
                <w:color w:val="auto"/>
              </w:rPr>
            </w:pPr>
          </w:p>
        </w:tc>
        <w:tc>
          <w:tcPr>
            <w:tcW w:w="4900" w:type="dxa"/>
            <w:vAlign w:val="bottom"/>
          </w:tcPr>
          <w:p>
            <w:pPr>
              <w:ind w:left="1100"/>
              <w:spacing w:after="0"/>
              <w:rPr>
                <w:sz w:val="20"/>
                <w:szCs w:val="20"/>
                <w:color w:val="auto"/>
              </w:rPr>
            </w:pPr>
            <w:r>
              <w:rPr>
                <w:rFonts w:ascii="Arial" w:cs="Arial" w:eastAsia="Arial" w:hAnsi="Arial"/>
                <w:sz w:val="14"/>
                <w:szCs w:val="14"/>
                <w:color w:val="auto"/>
              </w:rPr>
              <w:t>_________________________</w:t>
            </w:r>
          </w:p>
        </w:tc>
      </w:tr>
      <w:tr>
        <w:trPr>
          <w:trHeight w:val="175"/>
        </w:trPr>
        <w:tc>
          <w:tcPr>
            <w:tcW w:w="960" w:type="dxa"/>
            <w:vAlign w:val="bottom"/>
          </w:tcPr>
          <w:p>
            <w:pPr>
              <w:spacing w:after="0"/>
              <w:rPr>
                <w:sz w:val="15"/>
                <w:szCs w:val="15"/>
                <w:color w:val="auto"/>
              </w:rPr>
            </w:pPr>
          </w:p>
        </w:tc>
        <w:tc>
          <w:tcPr>
            <w:tcW w:w="4900" w:type="dxa"/>
            <w:vAlign w:val="bottom"/>
          </w:tcPr>
          <w:p>
            <w:pPr>
              <w:ind w:left="1600"/>
              <w:spacing w:after="0"/>
              <w:rPr>
                <w:sz w:val="20"/>
                <w:szCs w:val="20"/>
                <w:color w:val="auto"/>
              </w:rPr>
            </w:pPr>
            <w:r>
              <w:rPr>
                <w:rFonts w:ascii="Arial" w:cs="Arial" w:eastAsia="Arial" w:hAnsi="Arial"/>
                <w:sz w:val="14"/>
                <w:szCs w:val="14"/>
                <w:color w:val="auto"/>
              </w:rPr>
              <w:t>Title</w:t>
            </w:r>
          </w:p>
        </w:tc>
      </w:tr>
      <w:tr>
        <w:trPr>
          <w:trHeight w:val="536"/>
        </w:trPr>
        <w:tc>
          <w:tcPr>
            <w:tcW w:w="960" w:type="dxa"/>
            <w:vAlign w:val="bottom"/>
          </w:tcPr>
          <w:p>
            <w:pPr>
              <w:spacing w:after="0"/>
              <w:rPr>
                <w:sz w:val="20"/>
                <w:szCs w:val="20"/>
                <w:color w:val="auto"/>
              </w:rPr>
            </w:pPr>
            <w:r>
              <w:rPr>
                <w:rFonts w:ascii="Arial" w:cs="Arial" w:eastAsia="Arial" w:hAnsi="Arial"/>
                <w:sz w:val="14"/>
                <w:szCs w:val="14"/>
                <w:color w:val="auto"/>
              </w:rPr>
              <w:t>State of</w:t>
            </w:r>
          </w:p>
        </w:tc>
        <w:tc>
          <w:tcPr>
            <w:tcW w:w="490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175"/>
        </w:trPr>
        <w:tc>
          <w:tcPr>
            <w:tcW w:w="960" w:type="dxa"/>
            <w:vAlign w:val="bottom"/>
          </w:tcPr>
          <w:p>
            <w:pPr>
              <w:spacing w:after="0"/>
              <w:rPr>
                <w:sz w:val="15"/>
                <w:szCs w:val="15"/>
                <w:color w:val="auto"/>
              </w:rPr>
            </w:pPr>
          </w:p>
        </w:tc>
        <w:tc>
          <w:tcPr>
            <w:tcW w:w="4900" w:type="dxa"/>
            <w:vAlign w:val="bottom"/>
          </w:tcPr>
          <w:p>
            <w:pPr>
              <w:ind w:left="1280"/>
              <w:spacing w:after="0"/>
              <w:rPr>
                <w:sz w:val="20"/>
                <w:szCs w:val="20"/>
                <w:color w:val="auto"/>
              </w:rPr>
            </w:pPr>
            <w:r>
              <w:rPr>
                <w:rFonts w:ascii="Arial" w:cs="Arial" w:eastAsia="Arial" w:hAnsi="Arial"/>
                <w:sz w:val="14"/>
                <w:szCs w:val="14"/>
                <w:color w:val="auto"/>
              </w:rPr>
              <w:t>) ss.</w:t>
            </w:r>
          </w:p>
        </w:tc>
      </w:tr>
      <w:tr>
        <w:trPr>
          <w:trHeight w:val="175"/>
        </w:trPr>
        <w:tc>
          <w:tcPr>
            <w:tcW w:w="960" w:type="dxa"/>
            <w:vAlign w:val="bottom"/>
          </w:tcPr>
          <w:p>
            <w:pPr>
              <w:spacing w:after="0"/>
              <w:rPr>
                <w:sz w:val="20"/>
                <w:szCs w:val="20"/>
                <w:color w:val="auto"/>
              </w:rPr>
            </w:pPr>
            <w:r>
              <w:rPr>
                <w:rFonts w:ascii="Arial" w:cs="Arial" w:eastAsia="Arial" w:hAnsi="Arial"/>
                <w:sz w:val="14"/>
                <w:szCs w:val="14"/>
                <w:color w:val="auto"/>
              </w:rPr>
              <w:t>County of</w:t>
            </w:r>
          </w:p>
        </w:tc>
        <w:tc>
          <w:tcPr>
            <w:tcW w:w="490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330"/>
        </w:trPr>
        <w:tc>
          <w:tcPr>
            <w:tcW w:w="5860" w:type="dxa"/>
            <w:vAlign w:val="bottom"/>
            <w:gridSpan w:val="2"/>
          </w:tcPr>
          <w:p>
            <w:pPr>
              <w:spacing w:after="0"/>
              <w:rPr>
                <w:sz w:val="20"/>
                <w:szCs w:val="20"/>
                <w:color w:val="auto"/>
              </w:rPr>
            </w:pPr>
            <w:r>
              <w:rPr>
                <w:rFonts w:ascii="Arial" w:cs="Arial" w:eastAsia="Arial" w:hAnsi="Arial"/>
                <w:sz w:val="14"/>
                <w:szCs w:val="14"/>
                <w:color w:val="auto"/>
              </w:rPr>
              <w:t>The foregoing was subscribed and sworn to before me this day of , 2012, by</w:t>
            </w:r>
          </w:p>
        </w:tc>
      </w:tr>
      <w:tr>
        <w:trPr>
          <w:trHeight w:val="217"/>
        </w:trPr>
        <w:tc>
          <w:tcPr>
            <w:tcW w:w="96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4"/>
                <w:szCs w:val="14"/>
                <w:color w:val="auto"/>
              </w:rPr>
              <w:t>, as of Smiths Medical ASD, Inc.</w:t>
            </w:r>
          </w:p>
        </w:tc>
      </w:tr>
      <w:tr>
        <w:trPr>
          <w:trHeight w:val="299"/>
        </w:trPr>
        <w:tc>
          <w:tcPr>
            <w:tcW w:w="960" w:type="dxa"/>
            <w:vAlign w:val="bottom"/>
          </w:tcPr>
          <w:p>
            <w:pPr>
              <w:spacing w:after="0"/>
              <w:rPr>
                <w:sz w:val="20"/>
                <w:szCs w:val="20"/>
                <w:color w:val="auto"/>
              </w:rPr>
            </w:pPr>
            <w:r>
              <w:rPr>
                <w:rFonts w:ascii="Arial" w:cs="Arial" w:eastAsia="Arial" w:hAnsi="Arial"/>
                <w:sz w:val="14"/>
                <w:szCs w:val="14"/>
                <w:color w:val="auto"/>
              </w:rPr>
              <w:t>Printed Name</w:t>
            </w:r>
          </w:p>
        </w:tc>
        <w:tc>
          <w:tcPr>
            <w:tcW w:w="4900" w:type="dxa"/>
            <w:vAlign w:val="bottom"/>
          </w:tcPr>
          <w:p>
            <w:pPr>
              <w:ind w:left="1440"/>
              <w:spacing w:after="0"/>
              <w:rPr>
                <w:sz w:val="20"/>
                <w:szCs w:val="20"/>
                <w:color w:val="auto"/>
              </w:rPr>
            </w:pPr>
            <w:r>
              <w:rPr>
                <w:rFonts w:ascii="Arial" w:cs="Arial" w:eastAsia="Arial" w:hAnsi="Arial"/>
                <w:sz w:val="14"/>
                <w:szCs w:val="14"/>
                <w:color w:val="auto"/>
              </w:rPr>
              <w:t>Title</w:t>
            </w:r>
          </w:p>
        </w:tc>
      </w:tr>
      <w:tr>
        <w:trPr>
          <w:trHeight w:val="299"/>
        </w:trPr>
        <w:tc>
          <w:tcPr>
            <w:tcW w:w="5860" w:type="dxa"/>
            <w:vAlign w:val="bottom"/>
            <w:gridSpan w:val="2"/>
          </w:tcPr>
          <w:p>
            <w:pPr>
              <w:spacing w:after="0"/>
              <w:rPr>
                <w:sz w:val="20"/>
                <w:szCs w:val="20"/>
                <w:color w:val="auto"/>
              </w:rPr>
            </w:pPr>
            <w:r>
              <w:rPr>
                <w:rFonts w:ascii="Arial" w:cs="Arial" w:eastAsia="Arial" w:hAnsi="Arial"/>
                <w:sz w:val="14"/>
                <w:szCs w:val="14"/>
                <w:color w:val="auto"/>
              </w:rPr>
              <w:t>Witness my hand and official seal.</w:t>
            </w:r>
          </w:p>
        </w:tc>
      </w:tr>
      <w:tr>
        <w:trPr>
          <w:trHeight w:val="330"/>
        </w:trPr>
        <w:tc>
          <w:tcPr>
            <w:tcW w:w="960" w:type="dxa"/>
            <w:vAlign w:val="bottom"/>
          </w:tcPr>
          <w:p>
            <w:pPr>
              <w:spacing w:after="0"/>
              <w:rPr>
                <w:sz w:val="20"/>
                <w:szCs w:val="20"/>
                <w:color w:val="auto"/>
              </w:rPr>
            </w:pPr>
            <w:r>
              <w:rPr>
                <w:rFonts w:ascii="Arial" w:cs="Arial" w:eastAsia="Arial" w:hAnsi="Arial"/>
                <w:sz w:val="14"/>
                <w:szCs w:val="14"/>
                <w:color w:val="auto"/>
              </w:rPr>
              <w:t>(Notarial Seal)</w:t>
            </w:r>
          </w:p>
        </w:tc>
        <w:tc>
          <w:tcPr>
            <w:tcW w:w="4900" w:type="dxa"/>
            <w:vAlign w:val="bottom"/>
          </w:tcPr>
          <w:p>
            <w:pPr>
              <w:ind w:left="3520"/>
              <w:spacing w:after="0"/>
              <w:rPr>
                <w:sz w:val="20"/>
                <w:szCs w:val="20"/>
                <w:color w:val="auto"/>
              </w:rPr>
            </w:pPr>
            <w:r>
              <w:rPr>
                <w:rFonts w:ascii="Arial" w:cs="Arial" w:eastAsia="Arial" w:hAnsi="Arial"/>
                <w:sz w:val="14"/>
                <w:szCs w:val="14"/>
                <w:color w:val="auto"/>
              </w:rPr>
              <w:t>NOTARY PUBLIC</w:t>
            </w:r>
          </w:p>
        </w:tc>
      </w:tr>
      <w:tr>
        <w:trPr>
          <w:trHeight w:val="248"/>
        </w:trPr>
        <w:tc>
          <w:tcPr>
            <w:tcW w:w="960" w:type="dxa"/>
            <w:vAlign w:val="bottom"/>
          </w:tcPr>
          <w:p>
            <w:pPr>
              <w:spacing w:after="0"/>
              <w:rPr>
                <w:sz w:val="21"/>
                <w:szCs w:val="21"/>
                <w:color w:val="auto"/>
              </w:rPr>
            </w:pPr>
          </w:p>
        </w:tc>
        <w:tc>
          <w:tcPr>
            <w:tcW w:w="4900" w:type="dxa"/>
            <w:vAlign w:val="bottom"/>
          </w:tcPr>
          <w:p>
            <w:pPr>
              <w:ind w:left="3520"/>
              <w:spacing w:after="0"/>
              <w:rPr>
                <w:sz w:val="20"/>
                <w:szCs w:val="20"/>
                <w:color w:val="auto"/>
              </w:rPr>
            </w:pPr>
            <w:r>
              <w:rPr>
                <w:rFonts w:ascii="Arial" w:cs="Arial" w:eastAsia="Arial" w:hAnsi="Arial"/>
                <w:sz w:val="14"/>
                <w:szCs w:val="14"/>
                <w:color w:val="auto"/>
                <w:w w:val="90"/>
              </w:rPr>
              <w:t>My Commission Expires</w:t>
            </w:r>
          </w:p>
        </w:tc>
      </w:tr>
    </w:tbl>
    <w:p>
      <w:pPr>
        <w:sectPr>
          <w:pgSz w:w="11900" w:h="16838" w:orient="portrait"/>
          <w:cols w:equalWidth="0" w:num="1">
            <w:col w:w="11240"/>
          </w:cols>
          <w:pgMar w:left="300" w:top="1301" w:right="359" w:bottom="1440" w:gutter="0" w:footer="0" w:header="0"/>
        </w:sectPr>
      </w:pPr>
    </w:p>
    <w:bookmarkStart w:id="235" w:name="page236"/>
    <w:bookmarkEnd w:id="235"/>
    <w:p>
      <w:pPr>
        <w:jc w:val="right"/>
        <w:spacing w:after="0"/>
        <w:rPr>
          <w:sz w:val="20"/>
          <w:szCs w:val="20"/>
          <w:color w:val="auto"/>
        </w:rPr>
      </w:pPr>
      <w:r>
        <w:rPr>
          <w:rFonts w:ascii="Arial" w:cs="Arial" w:eastAsia="Arial" w:hAnsi="Arial"/>
          <w:sz w:val="14"/>
          <w:szCs w:val="14"/>
          <w:b w:val="1"/>
          <w:bCs w:val="1"/>
          <w:color w:val="auto"/>
        </w:rPr>
        <w:t>Exhibit 31.1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John F. Sheridan, certify that:</w:t>
      </w:r>
    </w:p>
    <w:p>
      <w:pPr>
        <w:spacing w:after="0" w:line="138" w:lineRule="exact"/>
        <w:rPr>
          <w:sz w:val="20"/>
          <w:szCs w:val="20"/>
          <w:color w:val="auto"/>
        </w:rPr>
      </w:pPr>
    </w:p>
    <w:p>
      <w:pPr>
        <w:ind w:left="140" w:hanging="137"/>
        <w:spacing w:after="0"/>
        <w:tabs>
          <w:tab w:leader="none" w:pos="14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Tandem Diabetes Care, Inc.</w:t>
      </w:r>
    </w:p>
    <w:p>
      <w:pPr>
        <w:spacing w:after="0" w:line="138" w:lineRule="exact"/>
        <w:rPr>
          <w:rFonts w:ascii="Arial" w:cs="Arial" w:eastAsia="Arial" w:hAnsi="Arial"/>
          <w:sz w:val="14"/>
          <w:szCs w:val="14"/>
          <w:color w:val="auto"/>
        </w:rPr>
      </w:pPr>
    </w:p>
    <w:p>
      <w:pPr>
        <w:ind w:right="220" w:firstLine="3"/>
        <w:spacing w:after="0" w:line="266" w:lineRule="auto"/>
        <w:tabs>
          <w:tab w:leader="none" w:pos="13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4"/>
          <w:szCs w:val="14"/>
          <w:color w:val="auto"/>
        </w:rPr>
      </w:pPr>
    </w:p>
    <w:p>
      <w:pPr>
        <w:ind w:right="20" w:firstLine="3"/>
        <w:spacing w:after="0" w:line="266" w:lineRule="auto"/>
        <w:tabs>
          <w:tab w:leader="none" w:pos="13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4"/>
          <w:szCs w:val="14"/>
          <w:color w:val="auto"/>
        </w:rPr>
      </w:pPr>
    </w:p>
    <w:p>
      <w:pPr>
        <w:ind w:right="20" w:firstLine="3"/>
        <w:spacing w:after="0" w:line="266" w:lineRule="auto"/>
        <w:tabs>
          <w:tab w:leader="none" w:pos="13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right="120" w:firstLine="621"/>
        <w:spacing w:after="0" w:line="305" w:lineRule="auto"/>
        <w:tabs>
          <w:tab w:leader="none" w:pos="760" w:val="left"/>
        </w:tabs>
        <w:numPr>
          <w:ilvl w:val="1"/>
          <w:numId w:val="19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3"/>
          <w:szCs w:val="13"/>
          <w:color w:val="auto"/>
        </w:rPr>
      </w:pPr>
    </w:p>
    <w:p>
      <w:pPr>
        <w:ind w:right="520" w:firstLine="621"/>
        <w:spacing w:after="0" w:line="305" w:lineRule="auto"/>
        <w:tabs>
          <w:tab w:leader="none" w:pos="768" w:val="left"/>
        </w:tabs>
        <w:numPr>
          <w:ilvl w:val="1"/>
          <w:numId w:val="19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3"/>
          <w:szCs w:val="13"/>
          <w:color w:val="auto"/>
        </w:rPr>
      </w:pPr>
    </w:p>
    <w:p>
      <w:pPr>
        <w:ind w:right="40" w:firstLine="621"/>
        <w:spacing w:after="0" w:line="266" w:lineRule="auto"/>
        <w:tabs>
          <w:tab w:leader="none" w:pos="76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4"/>
          <w:szCs w:val="14"/>
          <w:color w:val="auto"/>
        </w:rPr>
      </w:pPr>
    </w:p>
    <w:p>
      <w:pPr>
        <w:ind w:right="360" w:firstLine="621"/>
        <w:spacing w:after="0" w:line="305" w:lineRule="auto"/>
        <w:tabs>
          <w:tab w:leader="none" w:pos="768" w:val="left"/>
        </w:tabs>
        <w:numPr>
          <w:ilvl w:val="1"/>
          <w:numId w:val="19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3"/>
          <w:szCs w:val="13"/>
          <w:color w:val="auto"/>
        </w:rPr>
      </w:pPr>
    </w:p>
    <w:p>
      <w:pPr>
        <w:ind w:right="80" w:firstLine="3"/>
        <w:spacing w:after="0" w:line="266" w:lineRule="auto"/>
        <w:tabs>
          <w:tab w:leader="none" w:pos="13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right="20" w:firstLine="621"/>
        <w:spacing w:after="0" w:line="266" w:lineRule="auto"/>
        <w:tabs>
          <w:tab w:leader="none" w:pos="76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4"/>
          <w:szCs w:val="14"/>
          <w:color w:val="auto"/>
        </w:rPr>
      </w:pPr>
    </w:p>
    <w:p>
      <w:pPr>
        <w:ind w:left="780" w:hanging="159"/>
        <w:spacing w:after="0"/>
        <w:tabs>
          <w:tab w:leader="none" w:pos="78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Tandem Diabetes Care, Inc.</w:t>
      </w:r>
    </w:p>
    <w:p>
      <w:pPr>
        <w:spacing w:after="0" w:line="56"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9525</wp:posOffset>
            </wp:positionV>
            <wp:extent cx="282257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2575" cy="635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auto"/>
        </w:rPr>
        <w:t>John F. Sheridan</w:t>
      </w:r>
    </w:p>
    <w:p>
      <w:pPr>
        <w:ind w:left="6860"/>
        <w:spacing w:after="0"/>
        <w:rPr>
          <w:sz w:val="20"/>
          <w:szCs w:val="20"/>
          <w:color w:val="auto"/>
        </w:rPr>
      </w:pPr>
      <w:r>
        <w:rPr>
          <w:rFonts w:ascii="Arial" w:cs="Arial" w:eastAsia="Arial" w:hAnsi="Arial"/>
          <w:sz w:val="14"/>
          <w:szCs w:val="14"/>
          <w:color w:val="auto"/>
        </w:rPr>
        <w:t>President, Chief Executive Officer and Director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August 3, 2022</w:t>
      </w:r>
    </w:p>
    <w:p>
      <w:pPr>
        <w:sectPr>
          <w:pgSz w:w="11900" w:h="16838" w:orient="portrait"/>
          <w:cols w:equalWidth="0" w:num="1">
            <w:col w:w="11280"/>
          </w:cols>
          <w:pgMar w:left="300" w:top="713"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4"/>
          <w:szCs w:val="14"/>
          <w:b w:val="1"/>
          <w:bCs w:val="1"/>
          <w:color w:val="auto"/>
        </w:rPr>
        <w:t>Exhibit 31.2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Leigh A. Vosseller, certify that:</w:t>
      </w:r>
    </w:p>
    <w:p>
      <w:pPr>
        <w:spacing w:after="0" w:line="138" w:lineRule="exact"/>
        <w:rPr>
          <w:sz w:val="20"/>
          <w:szCs w:val="20"/>
          <w:color w:val="auto"/>
        </w:rPr>
      </w:pPr>
    </w:p>
    <w:p>
      <w:pPr>
        <w:ind w:left="140" w:hanging="137"/>
        <w:spacing w:after="0"/>
        <w:tabs>
          <w:tab w:leader="none" w:pos="14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Tandem Diabetes Care, Inc.</w:t>
      </w:r>
    </w:p>
    <w:p>
      <w:pPr>
        <w:spacing w:after="0" w:line="138" w:lineRule="exact"/>
        <w:rPr>
          <w:rFonts w:ascii="Arial" w:cs="Arial" w:eastAsia="Arial" w:hAnsi="Arial"/>
          <w:sz w:val="14"/>
          <w:szCs w:val="14"/>
          <w:color w:val="auto"/>
        </w:rPr>
      </w:pPr>
    </w:p>
    <w:p>
      <w:pPr>
        <w:ind w:right="220" w:firstLine="3"/>
        <w:spacing w:after="0" w:line="266" w:lineRule="auto"/>
        <w:tabs>
          <w:tab w:leader="none" w:pos="13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4"/>
          <w:szCs w:val="14"/>
          <w:color w:val="auto"/>
        </w:rPr>
      </w:pPr>
    </w:p>
    <w:p>
      <w:pPr>
        <w:ind w:right="20" w:firstLine="3"/>
        <w:spacing w:after="0" w:line="266" w:lineRule="auto"/>
        <w:tabs>
          <w:tab w:leader="none" w:pos="13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4"/>
          <w:szCs w:val="14"/>
          <w:color w:val="auto"/>
        </w:rPr>
      </w:pPr>
    </w:p>
    <w:p>
      <w:pPr>
        <w:ind w:right="40" w:firstLine="3"/>
        <w:spacing w:after="0" w:line="266" w:lineRule="auto"/>
        <w:tabs>
          <w:tab w:leader="none" w:pos="13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right="120" w:firstLine="621"/>
        <w:spacing w:after="0" w:line="305" w:lineRule="auto"/>
        <w:tabs>
          <w:tab w:leader="none" w:pos="76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3"/>
          <w:szCs w:val="13"/>
          <w:color w:val="auto"/>
        </w:rPr>
      </w:pPr>
    </w:p>
    <w:p>
      <w:pPr>
        <w:ind w:right="520" w:firstLine="621"/>
        <w:spacing w:after="0" w:line="305" w:lineRule="auto"/>
        <w:tabs>
          <w:tab w:leader="none" w:pos="768" w:val="left"/>
        </w:tabs>
        <w:numPr>
          <w:ilvl w:val="1"/>
          <w:numId w:val="19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3"/>
          <w:szCs w:val="13"/>
          <w:color w:val="auto"/>
        </w:rPr>
      </w:pPr>
    </w:p>
    <w:p>
      <w:pPr>
        <w:ind w:right="40" w:firstLine="621"/>
        <w:spacing w:after="0" w:line="266" w:lineRule="auto"/>
        <w:tabs>
          <w:tab w:leader="none" w:pos="760" w:val="left"/>
        </w:tabs>
        <w:numPr>
          <w:ilvl w:val="1"/>
          <w:numId w:val="19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4"/>
          <w:szCs w:val="14"/>
          <w:color w:val="auto"/>
        </w:rPr>
      </w:pPr>
    </w:p>
    <w:p>
      <w:pPr>
        <w:ind w:right="360" w:firstLine="621"/>
        <w:spacing w:after="0" w:line="305" w:lineRule="auto"/>
        <w:tabs>
          <w:tab w:leader="none" w:pos="768" w:val="left"/>
        </w:tabs>
        <w:numPr>
          <w:ilvl w:val="1"/>
          <w:numId w:val="19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3"/>
          <w:szCs w:val="13"/>
          <w:color w:val="auto"/>
        </w:rPr>
      </w:pPr>
    </w:p>
    <w:p>
      <w:pPr>
        <w:ind w:right="80" w:firstLine="3"/>
        <w:spacing w:after="0" w:line="266" w:lineRule="auto"/>
        <w:tabs>
          <w:tab w:leader="none" w:pos="13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right="20" w:firstLine="621"/>
        <w:spacing w:after="0" w:line="266" w:lineRule="auto"/>
        <w:tabs>
          <w:tab w:leader="none" w:pos="760" w:val="left"/>
        </w:tabs>
        <w:numPr>
          <w:ilvl w:val="1"/>
          <w:numId w:val="19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4"/>
          <w:szCs w:val="14"/>
          <w:color w:val="auto"/>
        </w:rPr>
      </w:pPr>
    </w:p>
    <w:p>
      <w:pPr>
        <w:ind w:left="780" w:hanging="159"/>
        <w:spacing w:after="0"/>
        <w:tabs>
          <w:tab w:leader="none" w:pos="780" w:val="left"/>
        </w:tabs>
        <w:numPr>
          <w:ilvl w:val="1"/>
          <w:numId w:val="19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Tandem Diabetes Care, Inc.</w:t>
      </w:r>
    </w:p>
    <w:p>
      <w:pPr>
        <w:spacing w:after="0" w:line="14" w:lineRule="exact"/>
        <w:rPr>
          <w:sz w:val="20"/>
          <w:szCs w:val="20"/>
          <w:color w:val="auto"/>
        </w:rPr>
      </w:pPr>
    </w:p>
    <w:tbl>
      <w:tblPr>
        <w:tblLayout w:type="fixed"/>
        <w:tblInd w:w="6420" w:type="dxa"/>
        <w:tblCellMar>
          <w:top w:w="0" w:type="dxa"/>
          <w:left w:w="0" w:type="dxa"/>
          <w:bottom w:w="0" w:type="dxa"/>
          <w:right w:w="0" w:type="dxa"/>
        </w:tblCellMar>
      </w:tblPr>
      <w:tr>
        <w:trPr>
          <w:trHeight w:val="175"/>
        </w:trPr>
        <w:tc>
          <w:tcPr>
            <w:tcW w:w="440" w:type="dxa"/>
            <w:vAlign w:val="bottom"/>
          </w:tcPr>
          <w:p>
            <w:pPr>
              <w:spacing w:after="0"/>
              <w:rPr>
                <w:sz w:val="20"/>
                <w:szCs w:val="20"/>
                <w:color w:val="auto"/>
              </w:rPr>
            </w:pPr>
            <w:r>
              <w:rPr>
                <w:rFonts w:ascii="Arial" w:cs="Arial" w:eastAsia="Arial" w:hAnsi="Arial"/>
                <w:sz w:val="14"/>
                <w:szCs w:val="14"/>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Leigh A. Vosseller</w:t>
            </w:r>
          </w:p>
        </w:tc>
      </w:tr>
      <w:tr>
        <w:trPr>
          <w:trHeight w:val="125"/>
        </w:trPr>
        <w:tc>
          <w:tcPr>
            <w:tcW w:w="440" w:type="dxa"/>
            <w:vAlign w:val="bottom"/>
          </w:tcPr>
          <w:p>
            <w:pPr>
              <w:spacing w:after="0"/>
              <w:rPr>
                <w:sz w:val="10"/>
                <w:szCs w:val="10"/>
                <w:color w:val="auto"/>
              </w:rPr>
            </w:pPr>
          </w:p>
        </w:tc>
        <w:tc>
          <w:tcPr>
            <w:tcW w:w="4400" w:type="dxa"/>
            <w:vAlign w:val="bottom"/>
          </w:tcPr>
          <w:p>
            <w:pPr>
              <w:ind w:left="20"/>
              <w:spacing w:after="0" w:line="125" w:lineRule="exact"/>
              <w:rPr>
                <w:sz w:val="20"/>
                <w:szCs w:val="20"/>
                <w:color w:val="auto"/>
              </w:rPr>
            </w:pPr>
            <w:r>
              <w:rPr>
                <w:rFonts w:ascii="Arial" w:cs="Arial" w:eastAsia="Arial" w:hAnsi="Arial"/>
                <w:sz w:val="14"/>
                <w:szCs w:val="14"/>
                <w:color w:val="auto"/>
              </w:rPr>
              <w:t>Leigh A. Vosseller</w:t>
            </w:r>
          </w:p>
        </w:tc>
      </w:tr>
      <w:tr>
        <w:trPr>
          <w:trHeight w:val="174"/>
        </w:trPr>
        <w:tc>
          <w:tcPr>
            <w:tcW w:w="440" w:type="dxa"/>
            <w:vAlign w:val="bottom"/>
          </w:tcPr>
          <w:p>
            <w:pPr>
              <w:spacing w:after="0"/>
              <w:rPr>
                <w:sz w:val="15"/>
                <w:szCs w:val="15"/>
                <w:color w:val="auto"/>
              </w:rPr>
            </w:pPr>
          </w:p>
        </w:tc>
        <w:tc>
          <w:tcPr>
            <w:tcW w:w="4400" w:type="dxa"/>
            <w:vAlign w:val="bottom"/>
          </w:tcPr>
          <w:p>
            <w:pPr>
              <w:ind w:left="20"/>
              <w:spacing w:after="0"/>
              <w:rPr>
                <w:sz w:val="20"/>
                <w:szCs w:val="20"/>
                <w:color w:val="auto"/>
              </w:rPr>
            </w:pPr>
            <w:r>
              <w:rPr>
                <w:rFonts w:ascii="Arial" w:cs="Arial" w:eastAsia="Arial" w:hAnsi="Arial"/>
                <w:sz w:val="14"/>
                <w:szCs w:val="14"/>
                <w:color w:val="auto"/>
              </w:rPr>
              <w:t>Executive Vice President, Chief Financial Officer and Treasurer</w:t>
            </w:r>
          </w:p>
        </w:tc>
      </w:tr>
    </w:tbl>
    <w:p>
      <w:pPr>
        <w:ind w:left="20"/>
        <w:spacing w:after="0"/>
        <w:rPr>
          <w:sz w:val="20"/>
          <w:szCs w:val="20"/>
          <w:color w:val="auto"/>
        </w:rPr>
      </w:pPr>
      <w:r>
        <w:rPr>
          <w:rFonts w:ascii="Arial" w:cs="Arial" w:eastAsia="Arial" w:hAnsi="Arial"/>
          <w:sz w:val="14"/>
          <w:szCs w:val="14"/>
          <w:color w:val="auto"/>
        </w:rPr>
        <w:t>Dated: August 3, 2022</w:t>
      </w:r>
    </w:p>
    <w:p>
      <w:pPr>
        <w:sectPr>
          <w:pgSz w:w="11900" w:h="16838" w:orient="portrait"/>
          <w:cols w:equalWidth="0" w:num="1">
            <w:col w:w="11280"/>
          </w:cols>
          <w:pgMar w:left="300" w:top="713"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4"/>
          <w:szCs w:val="14"/>
          <w:b w:val="1"/>
          <w:bCs w:val="1"/>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U.S.C. Section 1350, as Adopted Pursuant to Section 906 of the Sarbanes-Oxley Act of 2002</w:t>
      </w:r>
    </w:p>
    <w:p>
      <w:pPr>
        <w:spacing w:after="0" w:line="139" w:lineRule="exact"/>
        <w:rPr>
          <w:sz w:val="20"/>
          <w:szCs w:val="20"/>
          <w:color w:val="auto"/>
        </w:rPr>
      </w:pPr>
    </w:p>
    <w:p>
      <w:pPr>
        <w:ind w:right="560" w:firstLine="619"/>
        <w:spacing w:after="0" w:line="256" w:lineRule="auto"/>
        <w:rPr>
          <w:sz w:val="20"/>
          <w:szCs w:val="20"/>
          <w:color w:val="auto"/>
        </w:rPr>
      </w:pPr>
      <w:r>
        <w:rPr>
          <w:rFonts w:ascii="Arial" w:cs="Arial" w:eastAsia="Arial" w:hAnsi="Arial"/>
          <w:sz w:val="14"/>
          <w:szCs w:val="14"/>
          <w:color w:val="auto"/>
        </w:rPr>
        <w:t>In connection with the Quarterly Report on Form 10-Q of Tandem Diabetes Care, Inc. (the “Company”) for the period ended June 30, 2022,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14" w:lineRule="exact"/>
        <w:rPr>
          <w:sz w:val="20"/>
          <w:szCs w:val="20"/>
          <w:color w:val="auto"/>
        </w:rPr>
      </w:pPr>
    </w:p>
    <w:p>
      <w:pPr>
        <w:ind w:left="760" w:hanging="139"/>
        <w:spacing w:after="0"/>
        <w:tabs>
          <w:tab w:leader="none" w:pos="76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8" w:lineRule="exact"/>
        <w:rPr>
          <w:rFonts w:ascii="Arial" w:cs="Arial" w:eastAsia="Arial" w:hAnsi="Arial"/>
          <w:sz w:val="14"/>
          <w:szCs w:val="14"/>
          <w:color w:val="auto"/>
        </w:rPr>
      </w:pPr>
    </w:p>
    <w:p>
      <w:pPr>
        <w:ind w:left="760" w:hanging="139"/>
        <w:spacing w:after="0"/>
        <w:tabs>
          <w:tab w:leader="none" w:pos="760"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 as of the dates and for the periods presented.</w:t>
      </w:r>
    </w:p>
    <w:p>
      <w:pPr>
        <w:spacing w:after="0" w:line="142"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4"/>
          <w:szCs w:val="14"/>
          <w:color w:val="auto"/>
        </w:rPr>
        <w:t>Date: August 3, 2022</w:t>
      </w:r>
      <w:r>
        <w:rPr>
          <w:sz w:val="20"/>
          <w:szCs w:val="20"/>
          <w:color w:val="auto"/>
        </w:rPr>
        <w:tab/>
      </w:r>
      <w:r>
        <w:rPr>
          <w:rFonts w:ascii="Arial" w:cs="Arial" w:eastAsia="Arial" w:hAnsi="Arial"/>
          <w:sz w:val="11"/>
          <w:szCs w:val="11"/>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9525</wp:posOffset>
            </wp:positionV>
            <wp:extent cx="279019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0190" cy="635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auto"/>
        </w:rPr>
        <w:t>John F. Sheridan</w:t>
      </w:r>
    </w:p>
    <w:p>
      <w:pPr>
        <w:ind w:left="6880"/>
        <w:spacing w:after="0"/>
        <w:rPr>
          <w:sz w:val="20"/>
          <w:szCs w:val="20"/>
          <w:color w:val="auto"/>
        </w:rPr>
      </w:pPr>
      <w:r>
        <w:rPr>
          <w:rFonts w:ascii="Arial" w:cs="Arial" w:eastAsia="Arial" w:hAnsi="Arial"/>
          <w:sz w:val="14"/>
          <w:szCs w:val="14"/>
          <w:color w:val="auto"/>
        </w:rPr>
        <w:t>President, Chief Executive Officer and Director</w:t>
      </w:r>
    </w:p>
    <w:p>
      <w:pPr>
        <w:spacing w:after="0" w:line="198"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713"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4"/>
          <w:szCs w:val="14"/>
          <w:b w:val="1"/>
          <w:bCs w:val="1"/>
          <w:color w:val="auto"/>
        </w:rPr>
        <w:t>Exhibit 32.2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U.S.C. Section 1350, as Adopted Pursuant to Section 906 of the Sarbanes-Oxley Act of 2002</w:t>
      </w:r>
    </w:p>
    <w:p>
      <w:pPr>
        <w:spacing w:after="0" w:line="139" w:lineRule="exact"/>
        <w:rPr>
          <w:sz w:val="20"/>
          <w:szCs w:val="20"/>
          <w:color w:val="auto"/>
        </w:rPr>
      </w:pPr>
    </w:p>
    <w:p>
      <w:pPr>
        <w:ind w:right="500" w:firstLine="619"/>
        <w:spacing w:after="0" w:line="256" w:lineRule="auto"/>
        <w:rPr>
          <w:sz w:val="20"/>
          <w:szCs w:val="20"/>
          <w:color w:val="auto"/>
        </w:rPr>
      </w:pPr>
      <w:r>
        <w:rPr>
          <w:rFonts w:ascii="Arial" w:cs="Arial" w:eastAsia="Arial" w:hAnsi="Arial"/>
          <w:sz w:val="14"/>
          <w:szCs w:val="14"/>
          <w:color w:val="auto"/>
        </w:rPr>
        <w:t>In connection with the Quarterly Report on Form 10-Q of Tandem Diabetes Care, Inc. (the “Company”) for the period ended June 30, 2022,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14" w:lineRule="exact"/>
        <w:rPr>
          <w:sz w:val="20"/>
          <w:szCs w:val="20"/>
          <w:color w:val="auto"/>
        </w:rPr>
      </w:pPr>
    </w:p>
    <w:p>
      <w:pPr>
        <w:ind w:left="760" w:hanging="139"/>
        <w:spacing w:after="0"/>
        <w:tabs>
          <w:tab w:leader="none" w:pos="76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8" w:lineRule="exact"/>
        <w:rPr>
          <w:rFonts w:ascii="Arial" w:cs="Arial" w:eastAsia="Arial" w:hAnsi="Arial"/>
          <w:sz w:val="14"/>
          <w:szCs w:val="14"/>
          <w:color w:val="auto"/>
        </w:rPr>
      </w:pPr>
    </w:p>
    <w:p>
      <w:pPr>
        <w:ind w:left="760" w:hanging="139"/>
        <w:spacing w:after="0"/>
        <w:tabs>
          <w:tab w:leader="none" w:pos="760" w:val="left"/>
        </w:tabs>
        <w:numPr>
          <w:ilvl w:val="0"/>
          <w:numId w:val="199"/>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 as of the dates and for the periods presented.</w:t>
      </w:r>
    </w:p>
    <w:p>
      <w:pPr>
        <w:spacing w:after="0" w:line="142"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4"/>
          <w:szCs w:val="14"/>
          <w:color w:val="auto"/>
        </w:rPr>
        <w:t>Date: August 3, 2022</w:t>
      </w:r>
      <w:r>
        <w:rPr>
          <w:sz w:val="20"/>
          <w:szCs w:val="20"/>
          <w:color w:val="auto"/>
        </w:rPr>
        <w:tab/>
      </w:r>
      <w:r>
        <w:rPr>
          <w:rFonts w:ascii="Arial" w:cs="Arial" w:eastAsia="Arial" w:hAnsi="Arial"/>
          <w:sz w:val="11"/>
          <w:szCs w:val="11"/>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9525</wp:posOffset>
            </wp:positionV>
            <wp:extent cx="279019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90190" cy="635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auto"/>
        </w:rPr>
        <w:t>Leigh A. Vosseller</w:t>
      </w:r>
    </w:p>
    <w:p>
      <w:pPr>
        <w:ind w:left="6880"/>
        <w:spacing w:after="0"/>
        <w:rPr>
          <w:sz w:val="20"/>
          <w:szCs w:val="20"/>
          <w:color w:val="auto"/>
        </w:rPr>
      </w:pPr>
      <w:r>
        <w:rPr>
          <w:rFonts w:ascii="Arial" w:cs="Arial" w:eastAsia="Arial" w:hAnsi="Arial"/>
          <w:sz w:val="14"/>
          <w:szCs w:val="14"/>
          <w:color w:val="auto"/>
        </w:rPr>
        <w:t>Executive Vice President, Chief Financial Officer and Treasurer</w:t>
      </w:r>
    </w:p>
    <w:p>
      <w:pPr>
        <w:spacing w:after="0" w:line="198"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80"/>
      </w:cols>
      <w:pgMar w:left="300" w:top="7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decimal"/>
      <w:start w:val="1"/>
    </w:lvl>
  </w:abstractNum>
  <w:abstractNum w:abstractNumId="1">
    <w:nsid w:val="7D5E18F8"/>
    <w:multiLevelType w:val="hybridMultilevel"/>
    <w:lvl w:ilvl="0">
      <w:lvlJc w:val="left"/>
      <w:lvlText w:val="(%1)"/>
      <w:numFmt w:val="decimal"/>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1)"/>
      <w:numFmt w:val="decimal"/>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1"/>
      <w:numFmt w:val="decimal"/>
      <w:start w:val="104"/>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A"/>
      <w:numFmt w:val="bullet"/>
      <w:start w:val="1"/>
    </w:lvl>
  </w:abstractNum>
  <w:abstractNum w:abstractNumId="43">
    <w:nsid w:val="3DB012B3"/>
    <w:multiLevelType w:val="hybridMultilevel"/>
    <w:lvl w:ilvl="0">
      <w:lvlJc w:val="left"/>
      <w:lvlText w:val="N"/>
      <w:numFmt w:val="bullet"/>
      <w:start w:val="1"/>
    </w:lvl>
  </w:abstractNum>
  <w:abstractNum w:abstractNumId="44">
    <w:nsid w:val="2708C9AF"/>
    <w:multiLevelType w:val="hybridMultilevel"/>
    <w:lvl w:ilvl="0">
      <w:lvlJc w:val="left"/>
      <w:lvlText w:val="(%1)"/>
      <w:numFmt w:val="lowerLetter"/>
      <w:start w:val="1"/>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Letter"/>
      <w:start w:val="1"/>
    </w:lvl>
  </w:abstractNum>
  <w:abstractNum w:abstractNumId="47">
    <w:nsid w:val="4F97E3E4"/>
    <w:multiLevelType w:val="hybridMultilevel"/>
    <w:lvl w:ilvl="0">
      <w:lvlJc w:val="left"/>
      <w:lvlText w:val="(%1)"/>
      <w:numFmt w:val="lowerLetter"/>
      <w:start w:val="6"/>
    </w:lvl>
  </w:abstractNum>
  <w:abstractNum w:abstractNumId="48">
    <w:nsid w:val="53B0A9E"/>
    <w:multiLevelType w:val="hybridMultilevel"/>
    <w:lvl w:ilvl="0">
      <w:lvlJc w:val="left"/>
      <w:lvlText w:val="(%1)"/>
      <w:numFmt w:val="lowerRoman"/>
      <w:start w:val="1"/>
    </w:lvl>
  </w:abstractNum>
  <w:abstractNum w:abstractNumId="49">
    <w:nsid w:val="34FD6B4F"/>
    <w:multiLevelType w:val="hybridMultilevel"/>
    <w:lvl w:ilvl="0">
      <w:lvlJc w:val="left"/>
      <w:lvlText w:val="(%1)"/>
      <w:numFmt w:val="lowerLetter"/>
      <w:start w:val="1"/>
    </w:lvl>
  </w:abstractNum>
  <w:abstractNum w:abstractNumId="50">
    <w:nsid w:val="5915FF32"/>
    <w:multiLevelType w:val="hybridMultilevel"/>
    <w:lvl w:ilvl="0">
      <w:lvlJc w:val="left"/>
      <w:lvlText w:val="(%1)"/>
      <w:numFmt w:val="lowerLetter"/>
      <w:start w:val="1"/>
    </w:lvl>
  </w:abstractNum>
  <w:abstractNum w:abstractNumId="51">
    <w:nsid w:val="56438D15"/>
    <w:multiLevelType w:val="hybridMultilevel"/>
    <w:lvl w:ilvl="0">
      <w:lvlJc w:val="left"/>
      <w:lvlText w:val="(%1)"/>
      <w:numFmt w:val="lowerLetter"/>
      <w:start w:val="2"/>
    </w:lvl>
  </w:abstractNum>
  <w:abstractNum w:abstractNumId="52">
    <w:nsid w:val="519E3149"/>
    <w:multiLevelType w:val="hybridMultilevel"/>
    <w:lvl w:ilvl="0">
      <w:lvlJc w:val="left"/>
      <w:lvlText w:val="(%1)"/>
      <w:numFmt w:val="lowerLetter"/>
      <w:start w:val="2"/>
    </w:lvl>
  </w:abstractNum>
  <w:abstractNum w:abstractNumId="53">
    <w:nsid w:val="2C6E4AFD"/>
    <w:multiLevelType w:val="hybridMultilevel"/>
    <w:lvl w:ilvl="0">
      <w:lvlJc w:val="left"/>
      <w:lvlText w:val="(%1)"/>
      <w:numFmt w:val="lowerLetter"/>
      <w:start w:val="2"/>
    </w:lvl>
  </w:abstractNum>
  <w:abstractNum w:abstractNumId="54">
    <w:nsid w:val="17A1B582"/>
    <w:multiLevelType w:val="hybridMultilevel"/>
    <w:lvl w:ilvl="0">
      <w:lvlJc w:val="left"/>
      <w:lvlText w:val="(%1)"/>
      <w:numFmt w:val="lowerLetter"/>
      <w:start w:val="1"/>
    </w:lvl>
  </w:abstractNum>
  <w:abstractNum w:abstractNumId="55">
    <w:nsid w:val="4DF72E4E"/>
    <w:multiLevelType w:val="hybridMultilevel"/>
    <w:lvl w:ilvl="0">
      <w:lvlJc w:val="left"/>
      <w:lvlText w:val="(%1)"/>
      <w:numFmt w:val="lowerLetter"/>
      <w:start w:val="2"/>
    </w:lvl>
  </w:abstractNum>
  <w:abstractNum w:abstractNumId="56">
    <w:nsid w:val="5046B5A9"/>
    <w:multiLevelType w:val="hybridMultilevel"/>
    <w:lvl w:ilvl="0">
      <w:lvlJc w:val="left"/>
      <w:lvlText w:val="(%1)"/>
      <w:numFmt w:val="lowerLetter"/>
      <w:start w:val="3"/>
    </w:lvl>
    <w:lvl w:ilvl="1">
      <w:lvlJc w:val="left"/>
      <w:lvlText w:val="(%2)"/>
      <w:numFmt w:val="lowerLetter"/>
      <w:start w:val="9"/>
    </w:lvl>
  </w:abstractNum>
  <w:abstractNum w:abstractNumId="57">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8">
    <w:nsid w:val="2A082C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9">
    <w:nsid w:val="5EC6AFD4"/>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60">
    <w:nsid w:val="19E21BB2"/>
    <w:multiLevelType w:val="hybridMultilevel"/>
    <w:lvl w:ilvl="0">
      <w:lvlJc w:val="left"/>
      <w:lvlText w:val="(%1)"/>
      <w:numFmt w:val="lowerLetter"/>
      <w:start w:val="6"/>
    </w:lvl>
    <w:lvl w:ilvl="1">
      <w:lvlJc w:val="left"/>
      <w:lvlText w:val="(%2)"/>
      <w:numFmt w:val="lowerRoman"/>
      <w:start w:val="1"/>
    </w:lvl>
  </w:abstractNum>
  <w:abstractNum w:abstractNumId="61">
    <w:nsid w:val="75E0858A"/>
    <w:multiLevelType w:val="hybridMultilevel"/>
    <w:lvl w:ilvl="0">
      <w:lvlJc w:val="left"/>
      <w:lvlText w:val="(%1)"/>
      <w:numFmt w:val="lowerRoman"/>
      <w:start w:val="7"/>
    </w:lvl>
  </w:abstractNum>
  <w:abstractNum w:abstractNumId="62">
    <w:nsid w:val="57A61A29"/>
    <w:multiLevelType w:val="hybridMultilevel"/>
    <w:lvl w:ilvl="0">
      <w:lvlJc w:val="left"/>
      <w:lvlText w:val="(%1)"/>
      <w:numFmt w:val="lowerRoman"/>
      <w:start w:val="1"/>
    </w:lvl>
  </w:abstractNum>
  <w:abstractNum w:abstractNumId="63">
    <w:nsid w:val="5399C654"/>
    <w:multiLevelType w:val="hybridMultilevel"/>
    <w:lvl w:ilvl="0">
      <w:lvlJc w:val="left"/>
      <w:lvlText w:val="(%1)"/>
      <w:numFmt w:val="lowerLetter"/>
      <w:start w:val="8"/>
    </w:lvl>
  </w:abstractNum>
  <w:abstractNum w:abstractNumId="64">
    <w:nsid w:val="20EE1348"/>
    <w:multiLevelType w:val="hybridMultilevel"/>
    <w:lvl w:ilvl="0">
      <w:lvlJc w:val="left"/>
      <w:lvlText w:val="(%1)"/>
      <w:numFmt w:val="lowerLetter"/>
      <w:start w:val="12"/>
    </w:lvl>
  </w:abstractNum>
  <w:abstractNum w:abstractNumId="65">
    <w:nsid w:val="4427069A"/>
    <w:multiLevelType w:val="hybridMultilevel"/>
    <w:lvl w:ilvl="0">
      <w:lvlJc w:val="left"/>
      <w:lvlText w:val="%1"/>
      <w:numFmt w:val="upperLetter"/>
      <w:start w:val="1"/>
    </w:lvl>
    <w:lvl w:ilvl="1">
      <w:lvlJc w:val="left"/>
      <w:lvlText w:val="(%2)"/>
      <w:numFmt w:val="lowerLetter"/>
      <w:start w:val="2"/>
    </w:lvl>
  </w:abstractNum>
  <w:abstractNum w:abstractNumId="66">
    <w:nsid w:val="B37E80A"/>
    <w:multiLevelType w:val="hybridMultilevel"/>
    <w:lvl w:ilvl="0">
      <w:lvlJc w:val="left"/>
      <w:lvlText w:val="(%1)"/>
      <w:numFmt w:val="upperLetter"/>
      <w:start w:val="1"/>
    </w:lvl>
    <w:lvl w:ilvl="1">
      <w:lvlJc w:val="left"/>
      <w:lvlText w:val="%2"/>
      <w:numFmt w:val="lowerLetter"/>
      <w:start w:val="1"/>
    </w:lvl>
  </w:abstractNum>
  <w:abstractNum w:abstractNumId="67">
    <w:nsid w:val="2157F6BC"/>
    <w:multiLevelType w:val="hybridMultilevel"/>
    <w:lvl w:ilvl="0">
      <w:lvlJc w:val="left"/>
      <w:lvlText w:val="(%1)"/>
      <w:numFmt w:val="lowerLetter"/>
      <w:start w:val="3"/>
    </w:lvl>
    <w:lvl w:ilvl="1">
      <w:lvlJc w:val="left"/>
      <w:lvlText w:val="(%2)"/>
      <w:numFmt w:val="lowerRoman"/>
      <w:start w:val="1"/>
    </w:lvl>
  </w:abstractNum>
  <w:abstractNum w:abstractNumId="68">
    <w:nsid w:val="704E1DD5"/>
    <w:multiLevelType w:val="hybridMultilevel"/>
    <w:lvl w:ilvl="0">
      <w:lvlJc w:val="left"/>
      <w:lvlText w:val="(%1)"/>
      <w:numFmt w:val="lowerLetter"/>
      <w:start w:val="4"/>
    </w:lvl>
    <w:lvl w:ilvl="1">
      <w:lvlJc w:val="left"/>
      <w:lvlText w:val="(%2)"/>
      <w:numFmt w:val="lowerRoman"/>
      <w:start w:val="1"/>
    </w:lvl>
  </w:abstractNum>
  <w:abstractNum w:abstractNumId="69">
    <w:nsid w:val="57D2F10E"/>
    <w:multiLevelType w:val="hybridMultilevel"/>
    <w:lvl w:ilvl="0">
      <w:lvlJc w:val="left"/>
      <w:lvlText w:val="(%1)"/>
      <w:numFmt w:val="lowerLetter"/>
      <w:start w:val="1"/>
    </w:lvl>
  </w:abstractNum>
  <w:abstractNum w:abstractNumId="70">
    <w:nsid w:val="BFFAE18"/>
    <w:multiLevelType w:val="hybridMultilevel"/>
    <w:lvl w:ilvl="0">
      <w:lvlJc w:val="left"/>
      <w:lvlText w:val="%1"/>
      <w:numFmt w:val="lowerLetter"/>
      <w:start w:val="1"/>
    </w:lvl>
    <w:lvl w:ilvl="1">
      <w:lvlJc w:val="left"/>
      <w:lvlText w:val="(%2)"/>
      <w:numFmt w:val="lowerLetter"/>
      <w:start w:val="35"/>
    </w:lvl>
  </w:abstractNum>
  <w:abstractNum w:abstractNumId="71">
    <w:nsid w:val="E3E47A8"/>
    <w:multiLevelType w:val="hybridMultilevel"/>
    <w:lvl w:ilvl="0">
      <w:lvlJc w:val="left"/>
      <w:lvlText w:val="(%1)"/>
      <w:numFmt w:val="lowerLetter"/>
      <w:start w:val="2"/>
    </w:lvl>
    <w:lvl w:ilvl="1">
      <w:lvlJc w:val="left"/>
      <w:lvlText w:val="(%2)"/>
      <w:numFmt w:val="lowerLetter"/>
      <w:start w:val="9"/>
    </w:lvl>
  </w:abstractNum>
  <w:abstractNum w:abstractNumId="72">
    <w:nsid w:val="2E48F044"/>
    <w:multiLevelType w:val="hybridMultilevel"/>
    <w:lvl w:ilvl="0">
      <w:lvlJc w:val="left"/>
      <w:lvlText w:val="(%1)"/>
      <w:numFmt w:val="lowerRoman"/>
      <w:start w:val="2"/>
    </w:lvl>
  </w:abstractNum>
  <w:abstractNum w:abstractNumId="73">
    <w:nsid w:val="49D0FEAC"/>
    <w:multiLevelType w:val="hybridMultilevel"/>
    <w:lvl w:ilvl="0">
      <w:lvlJc w:val="left"/>
      <w:lvlText w:val="(%1)"/>
      <w:numFmt w:val="lowerLetter"/>
      <w:start w:val="2"/>
    </w:lvl>
  </w:abstractNum>
  <w:abstractNum w:abstractNumId="74">
    <w:nsid w:val="4BEE5A5B"/>
    <w:multiLevelType w:val="hybridMultilevel"/>
    <w:lvl w:ilvl="0">
      <w:lvlJc w:val="left"/>
      <w:lvlText w:val="(%1)"/>
      <w:numFmt w:val="lowerLetter"/>
      <w:start w:val="1"/>
    </w:lvl>
  </w:abstractNum>
  <w:abstractNum w:abstractNumId="75">
    <w:nsid w:val="5551B9F3"/>
    <w:multiLevelType w:val="hybridMultilevel"/>
    <w:lvl w:ilvl="0">
      <w:lvlJc w:val="left"/>
      <w:lvlText w:val="(%1)"/>
      <w:numFmt w:val="lowerLetter"/>
      <w:start w:val="2"/>
    </w:lvl>
    <w:lvl w:ilvl="1">
      <w:lvlJc w:val="left"/>
      <w:lvlText w:val="(%2)"/>
      <w:numFmt w:val="lowerRoman"/>
      <w:start w:val="2"/>
    </w:lvl>
  </w:abstractNum>
  <w:abstractNum w:abstractNumId="76">
    <w:nsid w:val="24F6AB8E"/>
    <w:multiLevelType w:val="hybridMultilevel"/>
    <w:lvl w:ilvl="0">
      <w:lvlJc w:val="left"/>
      <w:lvlText w:val="(%1)"/>
      <w:numFmt w:val="lowerLetter"/>
      <w:start w:val="1"/>
    </w:lvl>
  </w:abstractNum>
  <w:abstractNum w:abstractNumId="77">
    <w:nsid w:val="634C574C"/>
    <w:multiLevelType w:val="hybridMultilevel"/>
    <w:lvl w:ilvl="0">
      <w:lvlJc w:val="left"/>
      <w:lvlText w:val="(%1)"/>
      <w:numFmt w:val="lowerLetter"/>
      <w:start w:val="2"/>
    </w:lvl>
  </w:abstractNum>
  <w:abstractNum w:abstractNumId="78">
    <w:nsid w:val="24E99DD7"/>
    <w:multiLevelType w:val="hybridMultilevel"/>
    <w:lvl w:ilvl="0">
      <w:lvlJc w:val="left"/>
      <w:lvlText w:val="(%1)"/>
      <w:numFmt w:val="lowerLetter"/>
      <w:start w:val="2"/>
    </w:lvl>
  </w:abstractNum>
  <w:abstractNum w:abstractNumId="79">
    <w:nsid w:val="2A31B62D"/>
    <w:multiLevelType w:val="hybridMultilevel"/>
    <w:lvl w:ilvl="0">
      <w:lvlJc w:val="left"/>
      <w:lvlText w:val="(%1)"/>
      <w:numFmt w:val="lowerLetter"/>
      <w:start w:val="2"/>
    </w:lvl>
  </w:abstractNum>
  <w:abstractNum w:abstractNumId="80">
    <w:nsid w:val="1849C29B"/>
    <w:multiLevelType w:val="hybridMultilevel"/>
    <w:lvl w:ilvl="0">
      <w:lvlJc w:val="left"/>
      <w:lvlText w:val="(%1)"/>
      <w:numFmt w:val="lowerRoman"/>
      <w:start w:val="2"/>
    </w:lvl>
  </w:abstractNum>
  <w:abstractNum w:abstractNumId="81">
    <w:nsid w:val="7DFF9D09"/>
    <w:multiLevelType w:val="hybridMultilevel"/>
    <w:lvl w:ilvl="0">
      <w:lvlJc w:val="left"/>
      <w:lvlText w:val="(%1)"/>
      <w:numFmt w:val="lowerLetter"/>
      <w:start w:val="3"/>
    </w:lvl>
  </w:abstractNum>
  <w:abstractNum w:abstractNumId="82">
    <w:nsid w:val="754342"/>
    <w:multiLevelType w:val="hybridMultilevel"/>
    <w:lvl w:ilvl="0">
      <w:lvlJc w:val="left"/>
      <w:lvlText w:val="(%1)"/>
      <w:numFmt w:val="lowerRoman"/>
      <w:start w:val="1"/>
    </w:lvl>
  </w:abstractNum>
  <w:abstractNum w:abstractNumId="83">
    <w:nsid w:val="69E7F3E5"/>
    <w:multiLevelType w:val="hybridMultilevel"/>
    <w:lvl w:ilvl="0">
      <w:lvlJc w:val="left"/>
      <w:lvlText w:val="(%1)"/>
      <w:numFmt w:val="lowerLetter"/>
      <w:start w:val="1"/>
    </w:lvl>
    <w:lvl w:ilvl="1">
      <w:lvlJc w:val="left"/>
      <w:lvlText w:val="(%2)"/>
      <w:numFmt w:val="lowerRoman"/>
      <w:start w:val="1"/>
    </w:lvl>
  </w:abstractNum>
  <w:abstractNum w:abstractNumId="84">
    <w:nsid w:val="2A6DE806"/>
    <w:multiLevelType w:val="hybridMultilevel"/>
    <w:lvl w:ilvl="0">
      <w:lvlJc w:val="left"/>
      <w:lvlText w:val="%1"/>
      <w:numFmt w:val="lowerLetter"/>
      <w:start w:val="1"/>
    </w:lvl>
    <w:lvl w:ilvl="1">
      <w:lvlJc w:val="left"/>
      <w:lvlText w:val="(%2)"/>
      <w:numFmt w:val="lowerRoman"/>
      <w:start w:val="7"/>
    </w:lvl>
  </w:abstractNum>
  <w:abstractNum w:abstractNumId="85">
    <w:nsid w:val="1816F8C4"/>
    <w:multiLevelType w:val="hybridMultilevel"/>
    <w:lvl w:ilvl="0">
      <w:lvlJc w:val="left"/>
      <w:lvlText w:val="(%1)"/>
      <w:numFmt w:val="lowerLetter"/>
      <w:start w:val="3"/>
    </w:lvl>
    <w:lvl w:ilvl="1">
      <w:lvlJc w:val="left"/>
      <w:lvlText w:val="%2"/>
      <w:numFmt w:val="lowerRoman"/>
      <w:start w:val="1"/>
    </w:lvl>
  </w:abstractNum>
  <w:abstractNum w:abstractNumId="86">
    <w:nsid w:val="37DF2233"/>
    <w:multiLevelType w:val="hybridMultilevel"/>
    <w:lvl w:ilvl="0">
      <w:lvlJc w:val="left"/>
      <w:lvlText w:val="(%1)"/>
      <w:numFmt w:val="lowerLetter"/>
      <w:start w:val="1"/>
    </w:lvl>
  </w:abstractNum>
  <w:abstractNum w:abstractNumId="87">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
    <w:nsid w:val="759F82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9">
    <w:nsid w:val="61E74EA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0">
    <w:nsid w:val="597B4D8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1">
    <w:nsid w:val="F819E7F"/>
    <w:multiLevelType w:val="hybridMultilevel"/>
    <w:lvl w:ilvl="0">
      <w:lvlJc w:val="left"/>
      <w:lvlText w:val="(%1)"/>
      <w:numFmt w:val="lowerLetter"/>
      <w:start w:val="2"/>
    </w:lvl>
  </w:abstractNum>
  <w:abstractNum w:abstractNumId="92">
    <w:nsid w:val="57C7D42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93">
    <w:nsid w:val="312167A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94">
    <w:nsid w:val="631B64D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95">
    <w:nsid w:val="78B5E776"/>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96">
    <w:nsid w:val="75486E47"/>
    <w:multiLevelType w:val="hybridMultilevel"/>
    <w:lvl w:ilvl="0">
      <w:lvlJc w:val="left"/>
      <w:lvlText w:val="(%1)"/>
      <w:numFmt w:val="lowerLetter"/>
      <w:start w:val="8"/>
    </w:lvl>
  </w:abstractNum>
  <w:abstractNum w:abstractNumId="97">
    <w:nsid w:val="6E534CDE"/>
    <w:multiLevelType w:val="hybridMultilevel"/>
    <w:lvl w:ilvl="0">
      <w:lvlJc w:val="left"/>
      <w:lvlText w:val="(%1)"/>
      <w:numFmt w:val="lowerLetter"/>
      <w:start w:val="1"/>
    </w:lvl>
  </w:abstractNum>
  <w:abstractNum w:abstractNumId="98">
    <w:nsid w:val="1A0DDE32"/>
    <w:multiLevelType w:val="hybridMultilevel"/>
    <w:lvl w:ilvl="0">
      <w:lvlJc w:val="left"/>
      <w:lvlText w:val="(%1)"/>
      <w:numFmt w:val="lowerLetter"/>
      <w:start w:val="2"/>
    </w:lvl>
    <w:lvl w:ilvl="1">
      <w:lvlJc w:val="left"/>
      <w:lvlText w:val="(%2)"/>
      <w:numFmt w:val="lowerLetter"/>
      <w:start w:val="9"/>
    </w:lvl>
  </w:abstractNum>
  <w:abstractNum w:abstractNumId="99">
    <w:nsid w:val="65968C1C"/>
    <w:multiLevelType w:val="hybridMultilevel"/>
    <w:lvl w:ilvl="0">
      <w:lvlJc w:val="left"/>
      <w:lvlText w:val="(%1)"/>
      <w:numFmt w:val="lowerRoman"/>
      <w:start w:val="2"/>
    </w:lvl>
  </w:abstractNum>
  <w:abstractNum w:abstractNumId="100">
    <w:nsid w:val="46263DEC"/>
    <w:multiLevelType w:val="hybridMultilevel"/>
    <w:lvl w:ilvl="0">
      <w:lvlJc w:val="left"/>
      <w:lvlText w:val="(%1)"/>
      <w:numFmt w:val="lowerRoman"/>
      <w:start w:val="1"/>
    </w:lvl>
  </w:abstractNum>
  <w:abstractNum w:abstractNumId="101">
    <w:nsid w:val="260D8C4A"/>
    <w:multiLevelType w:val="hybridMultilevel"/>
    <w:lvl w:ilvl="0">
      <w:lvlJc w:val="left"/>
      <w:lvlText w:val="(%1)"/>
      <w:numFmt w:val="lowerLetter"/>
      <w:start w:val="2"/>
    </w:lvl>
  </w:abstractNum>
  <w:abstractNum w:abstractNumId="102">
    <w:nsid w:val="73D4D3C4"/>
    <w:multiLevelType w:val="hybridMultilevel"/>
    <w:lvl w:ilvl="0">
      <w:lvlJc w:val="left"/>
      <w:lvlText w:val="(%1)"/>
      <w:numFmt w:val="lowerLetter"/>
      <w:start w:val="3"/>
    </w:lvl>
  </w:abstractNum>
  <w:abstractNum w:abstractNumId="103">
    <w:nsid w:val="746F2E30"/>
    <w:multiLevelType w:val="hybridMultilevel"/>
    <w:lvl w:ilvl="0">
      <w:lvlJc w:val="left"/>
      <w:lvlText w:val="(%1)"/>
      <w:numFmt w:val="lowerLetter"/>
      <w:start w:val="1"/>
    </w:lvl>
  </w:abstractNum>
  <w:abstractNum w:abstractNumId="104">
    <w:nsid w:val="6FDE8AF6"/>
    <w:multiLevelType w:val="hybridMultilevel"/>
    <w:lvl w:ilvl="0">
      <w:lvlJc w:val="left"/>
      <w:lvlText w:val="(%1)"/>
      <w:numFmt w:val="lowerLetter"/>
      <w:start w:val="2"/>
    </w:lvl>
  </w:abstractNum>
  <w:abstractNum w:abstractNumId="105">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
    <w:nsid w:val="49C0E823"/>
    <w:multiLevelType w:val="hybridMultilevel"/>
    <w:lvl w:ilvl="0">
      <w:lvlJc w:val="left"/>
      <w:lvlText w:val="%1"/>
      <w:numFmt w:val="lowerRoman"/>
      <w:start w:val="1"/>
    </w:lvl>
    <w:lvl w:ilvl="1">
      <w:lvlJc w:val="left"/>
      <w:lvlText w:val="(%2)"/>
      <w:numFmt w:val="upperLetter"/>
      <w:start w:val="5"/>
    </w:lvl>
  </w:abstractNum>
  <w:abstractNum w:abstractNumId="107">
    <w:nsid w:val="14D53685"/>
    <w:multiLevelType w:val="hybridMultilevel"/>
    <w:lvl w:ilvl="0">
      <w:lvlJc w:val="left"/>
      <w:lvlText w:val="(%1)"/>
      <w:numFmt w:val="lowerRoman"/>
      <w:start w:val="4"/>
    </w:lvl>
    <w:lvl w:ilvl="1">
      <w:lvlJc w:val="left"/>
      <w:lvlText w:val="%2"/>
      <w:numFmt w:val="upperLetter"/>
      <w:start w:val="1"/>
    </w:lvl>
  </w:abstractNum>
  <w:abstractNum w:abstractNumId="108">
    <w:nsid w:val="230F856C"/>
    <w:multiLevelType w:val="hybridMultilevel"/>
    <w:lvl w:ilvl="0">
      <w:lvlJc w:val="left"/>
      <w:lvlText w:val="%1"/>
      <w:numFmt w:val="lowerLetter"/>
      <w:start w:val="1"/>
    </w:lvl>
    <w:lvl w:ilvl="1">
      <w:lvlJc w:val="left"/>
      <w:lvlText w:val="(%2)"/>
      <w:numFmt w:val="lowerRoman"/>
      <w:start w:val="12"/>
    </w:lvl>
  </w:abstractNum>
  <w:abstractNum w:abstractNumId="109">
    <w:nsid w:val="6EAA85FB"/>
    <w:multiLevelType w:val="hybridMultilevel"/>
    <w:lvl w:ilvl="0">
      <w:lvlJc w:val="left"/>
      <w:lvlText w:val="(%1)"/>
      <w:numFmt w:val="lowerLetter"/>
      <w:start w:val="2"/>
    </w:lvl>
    <w:lvl w:ilvl="1">
      <w:lvlJc w:val="left"/>
      <w:lvlText w:val="%2"/>
      <w:numFmt w:val="lowerRoman"/>
      <w:start w:val="1"/>
    </w:lvl>
  </w:abstractNum>
  <w:abstractNum w:abstractNumId="110">
    <w:nsid w:val="3F06ECB2"/>
    <w:multiLevelType w:val="hybridMultilevel"/>
    <w:lvl w:ilvl="0">
      <w:lvlJc w:val="left"/>
      <w:lvlText w:val="(%1)"/>
      <w:numFmt w:val="lowerLetter"/>
      <w:start w:val="1"/>
    </w:lvl>
  </w:abstractNum>
  <w:abstractNum w:abstractNumId="111">
    <w:nsid w:val="3B594807"/>
    <w:multiLevelType w:val="hybridMultilevel"/>
    <w:lvl w:ilvl="0">
      <w:lvlJc w:val="left"/>
      <w:lvlText w:val="(%1)"/>
      <w:numFmt w:val="lowerLetter"/>
      <w:start w:val="2"/>
    </w:lvl>
  </w:abstractNum>
  <w:abstractNum w:abstractNumId="112">
    <w:nsid w:val="6CAA2304"/>
    <w:multiLevelType w:val="hybridMultilevel"/>
    <w:lvl w:ilvl="0">
      <w:lvlJc w:val="left"/>
      <w:lvlText w:val="(%1)"/>
      <w:numFmt w:val="lowerLetter"/>
      <w:start w:val="1"/>
    </w:lvl>
    <w:lvl w:ilvl="1">
      <w:lvlJc w:val="left"/>
      <w:lvlText w:val="(%2)"/>
      <w:numFmt w:val="lowerLetter"/>
      <w:start w:val="9"/>
    </w:lvl>
  </w:abstractNum>
  <w:abstractNum w:abstractNumId="113">
    <w:nsid w:val="3F7C2FF4"/>
    <w:multiLevelType w:val="hybridMultilevel"/>
    <w:lvl w:ilvl="0">
      <w:lvlJc w:val="left"/>
      <w:lvlText w:val="%1"/>
      <w:numFmt w:val="lowerLetter"/>
      <w:start w:val="1"/>
    </w:lvl>
    <w:lvl w:ilvl="1">
      <w:lvlJc w:val="left"/>
      <w:lvlText w:val="(%2)"/>
      <w:numFmt w:val="lowerRoman"/>
      <w:start w:val="2"/>
    </w:lvl>
  </w:abstractNum>
  <w:abstractNum w:abstractNumId="114">
    <w:nsid w:val="25413BEC"/>
    <w:multiLevelType w:val="hybridMultilevel"/>
    <w:lvl w:ilvl="0">
      <w:lvlJc w:val="left"/>
      <w:lvlText w:val="(%1)"/>
      <w:numFmt w:val="lowerLetter"/>
      <w:start w:val="2"/>
    </w:lvl>
    <w:lvl w:ilvl="1">
      <w:lvlJc w:val="left"/>
      <w:lvlText w:val="%2"/>
      <w:numFmt w:val="lowerRoman"/>
      <w:start w:val="1"/>
    </w:lvl>
  </w:abstractNum>
  <w:abstractNum w:abstractNumId="115">
    <w:nsid w:val="17180B0B"/>
    <w:multiLevelType w:val="hybridMultilevel"/>
    <w:lvl w:ilvl="0">
      <w:lvlJc w:val="left"/>
      <w:lvlText w:val="(%1)"/>
      <w:numFmt w:val="lowerLetter"/>
      <w:start w:val="2"/>
    </w:lvl>
  </w:abstractNum>
  <w:abstractNum w:abstractNumId="116">
    <w:nsid w:val="579328B9"/>
    <w:multiLevelType w:val="hybridMultilevel"/>
    <w:lvl w:ilvl="0">
      <w:lvlJc w:val="left"/>
      <w:lvlText w:val="(%1)"/>
      <w:numFmt w:val="lowerLetter"/>
      <w:start w:val="3"/>
    </w:lvl>
  </w:abstractNum>
  <w:abstractNum w:abstractNumId="117">
    <w:nsid w:val="5D205E20"/>
    <w:multiLevelType w:val="hybridMultilevel"/>
    <w:lvl w:ilvl="0">
      <w:lvlJc w:val="left"/>
      <w:lvlText w:val="(%1)"/>
      <w:numFmt w:val="lowerLetter"/>
      <w:start w:val="1"/>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2"/>
    </w:lvl>
  </w:abstractNum>
  <w:abstractNum w:abstractNumId="120">
    <w:nsid w:val="3F07ACC3"/>
    <w:multiLevelType w:val="hybridMultilevel"/>
    <w:lvl w:ilvl="0">
      <w:lvlJc w:val="left"/>
      <w:lvlText w:val="(%1)"/>
      <w:numFmt w:val="lowerLetter"/>
      <w:start w:val="1"/>
    </w:lvl>
  </w:abstractNum>
  <w:abstractNum w:abstractNumId="121">
    <w:nsid w:val="6B47F63E"/>
    <w:multiLevelType w:val="hybridMultilevel"/>
    <w:lvl w:ilvl="0">
      <w:lvlJc w:val="left"/>
      <w:lvlText w:val="(%1)"/>
      <w:numFmt w:val="lowerLetter"/>
      <w:start w:val="6"/>
    </w:lvl>
  </w:abstractNum>
  <w:abstractNum w:abstractNumId="122">
    <w:nsid w:val="5CB44A05"/>
    <w:multiLevelType w:val="hybridMultilevel"/>
    <w:lvl w:ilvl="0">
      <w:lvlJc w:val="left"/>
      <w:lvlText w:val="(%1)"/>
      <w:numFmt w:val="lowerLetter"/>
      <w:start w:val="1"/>
    </w:lvl>
  </w:abstractNum>
  <w:abstractNum w:abstractNumId="123">
    <w:nsid w:val="16CF80F1"/>
    <w:multiLevelType w:val="hybridMultilevel"/>
    <w:lvl w:ilvl="0">
      <w:lvlJc w:val="left"/>
      <w:lvlText w:val="%1"/>
      <w:numFmt w:val="decimal"/>
      <w:start w:val="1"/>
    </w:lvl>
    <w:lvl w:ilvl="1">
      <w:lvlJc w:val="left"/>
      <w:lvlText w:val="(%2)"/>
      <w:numFmt w:val="lowerLetter"/>
      <w:start w:val="2"/>
    </w:lvl>
  </w:abstractNum>
  <w:abstractNum w:abstractNumId="124">
    <w:nsid w:val="1C695DEC"/>
    <w:multiLevelType w:val="hybridMultilevel"/>
    <w:lvl w:ilvl="0">
      <w:lvlJc w:val="left"/>
      <w:lvlText w:val="(%1)"/>
      <w:numFmt w:val="decimal"/>
      <w:start w:val="30"/>
    </w:lvl>
    <w:lvl w:ilvl="1">
      <w:lvlJc w:val="left"/>
      <w:lvlText w:val="%2"/>
      <w:numFmt w:val="lowerLetter"/>
      <w:start w:val="1"/>
    </w:lvl>
  </w:abstractNum>
  <w:abstractNum w:abstractNumId="125">
    <w:nsid w:val="3FCFAED9"/>
    <w:multiLevelType w:val="hybridMultilevel"/>
    <w:lvl w:ilvl="0">
      <w:lvlJc w:val="left"/>
      <w:lvlText w:val="(%1)"/>
      <w:numFmt w:val="lowerRoman"/>
      <w:start w:val="1"/>
    </w:lvl>
  </w:abstractNum>
  <w:abstractNum w:abstractNumId="126">
    <w:nsid w:val="F856867"/>
    <w:multiLevelType w:val="hybridMultilevel"/>
    <w:lvl w:ilvl="0">
      <w:lvlJc w:val="left"/>
      <w:lvlText w:val="(%1)"/>
      <w:numFmt w:val="lowerRoman"/>
      <w:start w:val="1"/>
    </w:lvl>
  </w:abstractNum>
  <w:abstractNum w:abstractNumId="127">
    <w:nsid w:val="11B1CC33"/>
    <w:multiLevelType w:val="hybridMultilevel"/>
    <w:lvl w:ilvl="0">
      <w:lvlJc w:val="left"/>
      <w:lvlText w:val="%1"/>
      <w:numFmt w:val="lowerLetter"/>
      <w:start w:val="1"/>
    </w:lvl>
    <w:lvl w:ilvl="1">
      <w:lvlJc w:val="left"/>
      <w:lvlText w:val="(%2)"/>
      <w:numFmt w:val="lowerRoman"/>
      <w:start w:val="4"/>
    </w:lvl>
  </w:abstractNum>
  <w:abstractNum w:abstractNumId="128">
    <w:nsid w:val="2E22FBB7"/>
    <w:multiLevelType w:val="hybridMultilevel"/>
    <w:lvl w:ilvl="0">
      <w:lvlJc w:val="left"/>
      <w:lvlText w:val="(%1)"/>
      <w:numFmt w:val="lowerLetter"/>
      <w:start w:val="2"/>
    </w:lvl>
    <w:lvl w:ilvl="1">
      <w:lvlJc w:val="left"/>
      <w:lvlText w:val="(%2)"/>
      <w:numFmt w:val="lowerRoman"/>
      <w:start w:val="1"/>
    </w:lvl>
  </w:abstractNum>
  <w:abstractNum w:abstractNumId="129">
    <w:nsid w:val="29934699"/>
    <w:multiLevelType w:val="hybridMultilevel"/>
    <w:lvl w:ilvl="0">
      <w:lvlJc w:val="left"/>
      <w:lvlText w:val="(%1)"/>
      <w:numFmt w:val="lowerLetter"/>
      <w:start w:val="2"/>
    </w:lvl>
  </w:abstractNum>
  <w:abstractNum w:abstractNumId="130">
    <w:nsid w:val="77485850"/>
    <w:multiLevelType w:val="hybridMultilevel"/>
    <w:lvl w:ilvl="0">
      <w:lvlJc w:val="left"/>
      <w:lvlText w:val="(%1)"/>
      <w:numFmt w:val="lowerLetter"/>
      <w:start w:val="1"/>
    </w:lvl>
  </w:abstractNum>
  <w:abstractNum w:abstractNumId="131">
    <w:nsid w:val="744939A3"/>
    <w:multiLevelType w:val="hybridMultilevel"/>
    <w:lvl w:ilvl="0">
      <w:lvlJc w:val="left"/>
      <w:lvlText w:val="(%1)"/>
      <w:numFmt w:val="lowerLetter"/>
      <w:start w:val="7"/>
    </w:lvl>
  </w:abstractNum>
  <w:abstractNum w:abstractNumId="132">
    <w:nsid w:val="4FA0D2E3"/>
    <w:multiLevelType w:val="hybridMultilevel"/>
    <w:lvl w:ilvl="0">
      <w:lvlJc w:val="left"/>
      <w:lvlText w:val="(%1)"/>
      <w:numFmt w:val="lowerLetter"/>
      <w:start w:val="1"/>
    </w:lvl>
  </w:abstractNum>
  <w:abstractNum w:abstractNumId="133">
    <w:nsid w:val="6B1D2C14"/>
    <w:multiLevelType w:val="hybridMultilevel"/>
    <w:lvl w:ilvl="0">
      <w:lvlJc w:val="left"/>
      <w:lvlText w:val="(%1)"/>
      <w:numFmt w:val="lowerLetter"/>
      <w:start w:val="2"/>
    </w:lvl>
  </w:abstractNum>
  <w:abstractNum w:abstractNumId="134">
    <w:nsid w:val="68B867D3"/>
    <w:multiLevelType w:val="hybridMultilevel"/>
    <w:lvl w:ilvl="0">
      <w:lvlJc w:val="left"/>
      <w:lvlText w:val="(%1)"/>
      <w:numFmt w:val="lowerLetter"/>
      <w:start w:val="8"/>
    </w:lvl>
  </w:abstractNum>
  <w:abstractNum w:abstractNumId="135">
    <w:nsid w:val="3F7F5DD9"/>
    <w:multiLevelType w:val="hybridMultilevel"/>
    <w:lvl w:ilvl="0">
      <w:lvlJc w:val="left"/>
      <w:lvlText w:val="(%1)"/>
      <w:numFmt w:val="lowerLetter"/>
      <w:start w:val="1"/>
    </w:lvl>
  </w:abstractNum>
  <w:abstractNum w:abstractNumId="136">
    <w:nsid w:val="2AE05A34"/>
    <w:multiLevelType w:val="hybridMultilevel"/>
    <w:lvl w:ilvl="0">
      <w:lvlJc w:val="left"/>
      <w:lvlText w:val="(%1)"/>
      <w:numFmt w:val="lowerLetter"/>
      <w:start w:val="5"/>
    </w:lvl>
    <w:lvl w:ilvl="1">
      <w:lvlJc w:val="left"/>
      <w:lvlText w:val="(%2)"/>
      <w:numFmt w:val="lowerRoman"/>
      <w:start w:val="1"/>
    </w:lvl>
  </w:abstractNum>
  <w:abstractNum w:abstractNumId="137">
    <w:nsid w:val="32794FF7"/>
    <w:multiLevelType w:val="hybridMultilevel"/>
    <w:lvl w:ilvl="0">
      <w:lvlJc w:val="left"/>
      <w:lvlText w:val="(%1)"/>
      <w:numFmt w:val="lowerLetter"/>
      <w:start w:val="15"/>
    </w:lvl>
  </w:abstractNum>
  <w:abstractNum w:abstractNumId="138">
    <w:nsid w:val="5454945E"/>
    <w:multiLevelType w:val="hybridMultilevel"/>
    <w:lvl w:ilvl="0">
      <w:lvlJc w:val="left"/>
      <w:lvlText w:val="(%1)"/>
      <w:numFmt w:val="lowerLetter"/>
      <w:start w:val="1"/>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lowerLetter"/>
      <w:start w:val="2"/>
    </w:lvl>
  </w:abstractNum>
  <w:abstractNum w:abstractNumId="141">
    <w:nsid w:val="135B8110"/>
    <w:multiLevelType w:val="hybridMultilevel"/>
    <w:lvl w:ilvl="0">
      <w:lvlJc w:val="left"/>
      <w:lvlText w:val="%1"/>
      <w:numFmt w:val="lowerLetter"/>
      <w:start w:val="1"/>
    </w:lvl>
    <w:lvl w:ilvl="1">
      <w:lvlJc w:val="left"/>
      <w:lvlText w:val="(%2)"/>
      <w:numFmt w:val="lowerLetter"/>
      <w:start w:val="1"/>
    </w:lvl>
  </w:abstractNum>
  <w:abstractNum w:abstractNumId="142">
    <w:nsid w:val="94927A8"/>
    <w:multiLevelType w:val="hybridMultilevel"/>
    <w:lvl w:ilvl="0">
      <w:lvlJc w:val="left"/>
      <w:lvlText w:val="(%1)"/>
      <w:numFmt w:val="lowerLetter"/>
      <w:start w:val="4"/>
    </w:lvl>
    <w:lvl w:ilvl="1">
      <w:lvlJc w:val="left"/>
      <w:lvlText w:val="(%2)"/>
      <w:numFmt w:val="lowerLetter"/>
      <w:start w:val="5"/>
    </w:lvl>
  </w:abstractNum>
  <w:abstractNum w:abstractNumId="143">
    <w:nsid w:val="DCDF8F6"/>
    <w:multiLevelType w:val="hybridMultilevel"/>
    <w:lvl w:ilvl="0">
      <w:lvlJc w:val="left"/>
      <w:lvlText w:val="(%1)"/>
      <w:numFmt w:val="lowerLetter"/>
      <w:start w:val="1"/>
    </w:lvl>
  </w:abstractNum>
  <w:abstractNum w:abstractNumId="144">
    <w:nsid w:val="52D7B105"/>
    <w:multiLevelType w:val="hybridMultilevel"/>
    <w:lvl w:ilvl="0">
      <w:lvlJc w:val="left"/>
      <w:lvlText w:val="(%1)"/>
      <w:numFmt w:val="lowerLetter"/>
      <w:start w:val="6"/>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lowerLetter"/>
      <w:start w:val="3"/>
    </w:lvl>
  </w:abstractNum>
  <w:abstractNum w:abstractNumId="147">
    <w:nsid w:val="2A6AD9BE"/>
    <w:multiLevelType w:val="hybridMultilevel"/>
    <w:lvl w:ilvl="0">
      <w:lvlJc w:val="left"/>
      <w:lvlText w:val="(%1)"/>
      <w:numFmt w:val="lowerLetter"/>
      <w:start w:val="2"/>
    </w:lvl>
  </w:abstractNum>
  <w:abstractNum w:abstractNumId="148">
    <w:nsid w:val="BAAC1B4"/>
    <w:multiLevelType w:val="hybridMultilevel"/>
    <w:lvl w:ilvl="0">
      <w:lvlJc w:val="left"/>
      <w:lvlText w:val="(%1)"/>
      <w:numFmt w:val="lowerLetter"/>
      <w:start w:val="1"/>
    </w:lvl>
  </w:abstractNum>
  <w:abstractNum w:abstractNumId="149">
    <w:nsid w:val="36B2ACBC"/>
    <w:multiLevelType w:val="hybridMultilevel"/>
    <w:lvl w:ilvl="0">
      <w:lvlJc w:val="left"/>
      <w:lvlText w:val="(%1)"/>
      <w:numFmt w:val="lowerRoman"/>
      <w:start w:val="1"/>
    </w:lvl>
  </w:abstractNum>
  <w:abstractNum w:abstractNumId="150">
    <w:nsid w:val="779D8544"/>
    <w:multiLevelType w:val="hybridMultilevel"/>
    <w:lvl w:ilvl="0">
      <w:lvlJc w:val="left"/>
      <w:lvlText w:val="(%1)"/>
      <w:numFmt w:val="lowerLetter"/>
      <w:start w:val="1"/>
    </w:lvl>
  </w:abstractNum>
  <w:abstractNum w:abstractNumId="151">
    <w:nsid w:val="4AB26E78"/>
    <w:multiLevelType w:val="hybridMultilevel"/>
    <w:lvl w:ilvl="0">
      <w:lvlJc w:val="left"/>
      <w:lvlText w:val="(%1)"/>
      <w:numFmt w:val="lowerLetter"/>
      <w:start w:val="3"/>
    </w:lvl>
  </w:abstractNum>
  <w:abstractNum w:abstractNumId="152">
    <w:nsid w:val="21FAA2FA"/>
    <w:multiLevelType w:val="hybridMultilevel"/>
    <w:lvl w:ilvl="0">
      <w:lvlJc w:val="left"/>
      <w:lvlText w:val="(%1)"/>
      <w:numFmt w:val="lowerLetter"/>
      <w:start w:val="1"/>
    </w:lvl>
  </w:abstractNum>
  <w:abstractNum w:abstractNumId="153">
    <w:nsid w:val="5451CF49"/>
    <w:multiLevelType w:val="hybridMultilevel"/>
    <w:lvl w:ilvl="0">
      <w:lvlJc w:val="left"/>
      <w:lvlText w:val="(%1)"/>
      <w:numFmt w:val="lowerLetter"/>
      <w:start w:val="1"/>
    </w:lvl>
  </w:abstractNum>
  <w:abstractNum w:abstractNumId="154">
    <w:nsid w:val="6181EF69"/>
    <w:multiLevelType w:val="hybridMultilevel"/>
    <w:lvl w:ilvl="0">
      <w:lvlJc w:val="left"/>
      <w:lvlText w:val="(%1)"/>
      <w:numFmt w:val="lowerLetter"/>
      <w:start w:val="1"/>
    </w:lvl>
  </w:abstractNum>
  <w:abstractNum w:abstractNumId="155">
    <w:nsid w:val="3E6400E6"/>
    <w:multiLevelType w:val="hybridMultilevel"/>
    <w:lvl w:ilvl="0">
      <w:lvlJc w:val="left"/>
      <w:lvlText w:val="%1"/>
      <w:numFmt w:val="lowerLetter"/>
      <w:start w:val="1"/>
    </w:lvl>
    <w:lvl w:ilvl="1">
      <w:lvlJc w:val="left"/>
      <w:lvlText w:val="(%2)"/>
      <w:numFmt w:val="lowerRoman"/>
      <w:start w:val="1"/>
    </w:lvl>
  </w:abstractNum>
  <w:abstractNum w:abstractNumId="156">
    <w:nsid w:val="14217E23"/>
    <w:multiLevelType w:val="hybridMultilevel"/>
    <w:lvl w:ilvl="0">
      <w:lvlJc w:val="left"/>
      <w:lvlText w:val="(%1)"/>
      <w:numFmt w:val="lowerLetter"/>
      <w:start w:val="7"/>
    </w:lvl>
    <w:lvl w:ilvl="1">
      <w:lvlJc w:val="left"/>
      <w:lvlText w:val="(%2)"/>
      <w:numFmt w:val="lowerRoman"/>
      <w:start w:val="4"/>
    </w:lvl>
  </w:abstractNum>
  <w:abstractNum w:abstractNumId="157">
    <w:nsid w:val="710757D0"/>
    <w:multiLevelType w:val="hybridMultilevel"/>
    <w:lvl w:ilvl="0">
      <w:lvlJc w:val="left"/>
      <w:lvlText w:val="(%1)"/>
      <w:numFmt w:val="lowerLetter"/>
      <w:start w:val="2"/>
    </w:lvl>
  </w:abstractNum>
  <w:abstractNum w:abstractNumId="158">
    <w:nsid w:val="5015CD1A"/>
    <w:multiLevelType w:val="hybridMultilevel"/>
    <w:lvl w:ilvl="0">
      <w:lvlJc w:val="left"/>
      <w:lvlText w:val="(%1)"/>
      <w:numFmt w:val="lowerLetter"/>
      <w:start w:val="2"/>
    </w:lvl>
  </w:abstractNum>
  <w:abstractNum w:abstractNumId="159">
    <w:nsid w:val="424479DA"/>
    <w:multiLevelType w:val="hybridMultilevel"/>
    <w:lvl w:ilvl="0">
      <w:lvlJc w:val="left"/>
      <w:lvlText w:val="(%1)"/>
      <w:numFmt w:val="lowerLetter"/>
      <w:start w:val="1"/>
    </w:lvl>
  </w:abstractNum>
  <w:abstractNum w:abstractNumId="160">
    <w:nsid w:val="1A9A9E69"/>
    <w:multiLevelType w:val="hybridMultilevel"/>
    <w:lvl w:ilvl="0">
      <w:lvlJc w:val="left"/>
      <w:lvlText w:val="(%1)"/>
      <w:numFmt w:val="lowerLetter"/>
      <w:start w:val="6"/>
    </w:lvl>
  </w:abstractNum>
  <w:abstractNum w:abstractNumId="161">
    <w:nsid w:val="475E256A"/>
    <w:multiLevelType w:val="hybridMultilevel"/>
    <w:lvl w:ilvl="0">
      <w:lvlJc w:val="left"/>
      <w:lvlText w:val="(%1)"/>
      <w:numFmt w:val="lowerRoman"/>
      <w:start w:val="1"/>
    </w:lvl>
  </w:abstractNum>
  <w:abstractNum w:abstractNumId="162">
    <w:nsid w:val="368DB37E"/>
    <w:multiLevelType w:val="hybridMultilevel"/>
    <w:lvl w:ilvl="0">
      <w:lvlJc w:val="left"/>
      <w:lvlText w:val="(%1)"/>
      <w:numFmt w:val="lowerLetter"/>
      <w:start w:val="2"/>
    </w:lvl>
  </w:abstractNum>
  <w:abstractNum w:abstractNumId="163">
    <w:nsid w:val="6A3B714C"/>
    <w:multiLevelType w:val="hybridMultilevel"/>
    <w:lvl w:ilvl="0">
      <w:lvlJc w:val="left"/>
      <w:lvlText w:val="(%1)"/>
      <w:numFmt w:val="lowerLetter"/>
      <w:start w:val="3"/>
    </w:lvl>
  </w:abstractNum>
  <w:abstractNum w:abstractNumId="164">
    <w:nsid w:val="327B517E"/>
    <w:multiLevelType w:val="hybridMultilevel"/>
    <w:lvl w:ilvl="0">
      <w:lvlJc w:val="left"/>
      <w:lvlText w:val="(%1)"/>
      <w:numFmt w:val="lowerLetter"/>
      <w:start w:val="4"/>
    </w:lvl>
  </w:abstractNum>
  <w:abstractNum w:abstractNumId="165">
    <w:nsid w:val="1F461B51"/>
    <w:multiLevelType w:val="hybridMultilevel"/>
    <w:lvl w:ilvl="0">
      <w:lvlJc w:val="left"/>
      <w:lvlText w:val="(%1)"/>
      <w:numFmt w:val="lowerLetter"/>
      <w:start w:val="2"/>
    </w:lvl>
  </w:abstractNum>
  <w:abstractNum w:abstractNumId="166">
    <w:nsid w:val="29BACF25"/>
    <w:multiLevelType w:val="hybridMultilevel"/>
    <w:lvl w:ilvl="0">
      <w:lvlJc w:val="left"/>
      <w:lvlText w:val="(%1)"/>
      <w:numFmt w:val="lowerLetter"/>
      <w:start w:val="3"/>
    </w:lvl>
  </w:abstractNum>
  <w:abstractNum w:abstractNumId="167">
    <w:nsid w:val="5D5BABB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51BF6B48"/>
    <w:multiLevelType w:val="hybridMultilevel"/>
    <w:lvl w:ilvl="0">
      <w:lvlJc w:val="left"/>
      <w:lvlText w:val="%1"/>
      <w:numFmt w:val="lowerRoman"/>
      <w:start w:val="1"/>
    </w:lvl>
    <w:lvl w:ilvl="1">
      <w:lvlJc w:val="left"/>
      <w:lvlText w:val="(%2)"/>
      <w:numFmt w:val="upperLetter"/>
      <w:start w:val="2"/>
    </w:lvl>
  </w:abstractNum>
  <w:abstractNum w:abstractNumId="169">
    <w:nsid w:val="7E0F6384"/>
    <w:multiLevelType w:val="hybridMultilevel"/>
    <w:lvl w:ilvl="0">
      <w:lvlJc w:val="left"/>
      <w:lvlText w:val="(%1)"/>
      <w:numFmt w:val="lowerRoman"/>
      <w:start w:val="4"/>
    </w:lvl>
    <w:lvl w:ilvl="1">
      <w:lvlJc w:val="left"/>
      <w:lvlText w:val="%2"/>
      <w:numFmt w:val="upperLetter"/>
      <w:start w:val="1"/>
    </w:lvl>
  </w:abstractNum>
  <w:abstractNum w:abstractNumId="170">
    <w:nsid w:val="2B4B8B53"/>
    <w:multiLevelType w:val="hybridMultilevel"/>
    <w:lvl w:ilvl="0">
      <w:lvlJc w:val="left"/>
      <w:lvlText w:val="(%1)"/>
      <w:numFmt w:val="lowerLetter"/>
      <w:start w:val="3"/>
    </w:lvl>
  </w:abstractNum>
  <w:abstractNum w:abstractNumId="171">
    <w:nsid w:val="72E3413A"/>
    <w:multiLevelType w:val="hybridMultilevel"/>
    <w:lvl w:ilvl="0">
      <w:lvlJc w:val="left"/>
      <w:lvlText w:val="(%1)"/>
      <w:numFmt w:val="lowerLetter"/>
      <w:start w:val="5"/>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Letter"/>
      <w:start w:val="1"/>
    </w:lvl>
  </w:abstractNum>
  <w:abstractNum w:abstractNumId="174">
    <w:nsid w:val="B13A31"/>
    <w:multiLevelType w:val="hybridMultilevel"/>
    <w:lvl w:ilvl="0">
      <w:lvlJc w:val="left"/>
      <w:lvlText w:val="(%1)"/>
      <w:numFmt w:val="lowerLetter"/>
      <w:start w:val="3"/>
    </w:lvl>
  </w:abstractNum>
  <w:abstractNum w:abstractNumId="175">
    <w:nsid w:val="64429599"/>
    <w:multiLevelType w:val="hybridMultilevel"/>
    <w:lvl w:ilvl="0">
      <w:lvlJc w:val="left"/>
      <w:lvlText w:val="(%1)"/>
      <w:numFmt w:val="lowerLetter"/>
      <w:start w:val="1"/>
    </w:lvl>
    <w:lvl w:ilvl="1">
      <w:lvlJc w:val="left"/>
      <w:lvlText w:val="(%2)"/>
      <w:numFmt w:val="lowerRoman"/>
      <w:start w:val="1"/>
    </w:lvl>
  </w:abstractNum>
  <w:abstractNum w:abstractNumId="176">
    <w:nsid w:val="631F1690"/>
    <w:multiLevelType w:val="hybridMultilevel"/>
    <w:lvl w:ilvl="0">
      <w:lvlJc w:val="left"/>
      <w:lvlText w:val="(%1)"/>
      <w:numFmt w:val="lowerLetter"/>
      <w:start w:val="1"/>
    </w:lvl>
  </w:abstractNum>
  <w:abstractNum w:abstractNumId="177">
    <w:nsid w:val="25973E32"/>
    <w:multiLevelType w:val="hybridMultilevel"/>
    <w:lvl w:ilvl="0">
      <w:lvlJc w:val="left"/>
      <w:lvlText w:val="%1."/>
      <w:numFmt w:val="upperLetter"/>
      <w:start w:val="1"/>
    </w:lvl>
  </w:abstractNum>
  <w:abstractNum w:abstractNumId="178">
    <w:nsid w:val="EAD6F57"/>
    <w:multiLevelType w:val="hybridMultilevel"/>
    <w:lvl w:ilvl="0">
      <w:lvlJc w:val="left"/>
      <w:lvlText w:val="%1."/>
      <w:numFmt w:val="decimal"/>
      <w:start w:val="1"/>
    </w:lvl>
  </w:abstractNum>
  <w:abstractNum w:abstractNumId="179">
    <w:nsid w:val="6EC9D844"/>
    <w:multiLevelType w:val="hybridMultilevel"/>
    <w:lvl w:ilvl="0">
      <w:lvlJc w:val="left"/>
      <w:lvlText w:val="%1."/>
      <w:numFmt w:val="upperLetter"/>
      <w:start w:val="1"/>
    </w:lvl>
  </w:abstractNum>
  <w:abstractNum w:abstractNumId="180">
    <w:nsid w:val="5C49EAEE"/>
    <w:multiLevelType w:val="hybridMultilevel"/>
    <w:lvl w:ilvl="0">
      <w:lvlJc w:val="left"/>
      <w:lvlText w:val="%1."/>
      <w:numFmt w:val="decimal"/>
      <w:start w:val="2"/>
    </w:lvl>
  </w:abstractNum>
  <w:abstractNum w:abstractNumId="181">
    <w:nsid w:val="64AF49B"/>
    <w:multiLevelType w:val="hybridMultilevel"/>
    <w:lvl w:ilvl="0">
      <w:lvlJc w:val="left"/>
      <w:lvlText w:val="(%1)"/>
      <w:numFmt w:val="lowerLetter"/>
      <w:start w:val="1"/>
    </w:lvl>
  </w:abstractNum>
  <w:abstractNum w:abstractNumId="182">
    <w:nsid w:val="397C46BC"/>
    <w:multiLevelType w:val="hybridMultilevel"/>
    <w:lvl w:ilvl="0">
      <w:lvlJc w:val="left"/>
      <w:lvlText w:val="[***]"/>
      <w:numFmt w:val="bullet"/>
      <w:start w:val="1"/>
    </w:lvl>
  </w:abstractNum>
  <w:abstractNum w:abstractNumId="183">
    <w:nsid w:val="7E448DE9"/>
    <w:multiLevelType w:val="hybridMultilevel"/>
    <w:lvl w:ilvl="0">
      <w:lvlJc w:val="left"/>
      <w:lvlText w:val="%1."/>
      <w:numFmt w:val="decimal"/>
      <w:start w:val="3"/>
    </w:lvl>
  </w:abstractNum>
  <w:abstractNum w:abstractNumId="184">
    <w:nsid w:val="5A9CC3E5"/>
    <w:multiLevelType w:val="hybridMultilevel"/>
    <w:lvl w:ilvl="0">
      <w:lvlJc w:val="left"/>
      <w:lvlText w:val="[***]"/>
      <w:numFmt w:val="bullet"/>
      <w:start w:val="1"/>
    </w:lvl>
  </w:abstractNum>
  <w:abstractNum w:abstractNumId="185">
    <w:nsid w:val="1AFE3625"/>
    <w:multiLevelType w:val="hybridMultilevel"/>
    <w:lvl w:ilvl="0">
      <w:lvlJc w:val="left"/>
      <w:lvlText w:val="%1."/>
      <w:numFmt w:val="decimal"/>
      <w:start w:val="4"/>
    </w:lvl>
  </w:abstractNum>
  <w:abstractNum w:abstractNumId="186">
    <w:nsid w:val="3CA88ECF"/>
    <w:multiLevelType w:val="hybridMultilevel"/>
    <w:lvl w:ilvl="0">
      <w:lvlJc w:val="left"/>
      <w:lvlText w:val="[***]"/>
      <w:numFmt w:val="bullet"/>
      <w:start w:val="1"/>
    </w:lvl>
  </w:abstractNum>
  <w:abstractNum w:abstractNumId="187">
    <w:nsid w:val="6EBE4208"/>
    <w:multiLevelType w:val="hybridMultilevel"/>
    <w:lvl w:ilvl="0">
      <w:lvlJc w:val="left"/>
      <w:lvlText w:val="[***]"/>
      <w:numFmt w:val="bullet"/>
      <w:start w:val="1"/>
    </w:lvl>
  </w:abstractNum>
  <w:abstractNum w:abstractNumId="188">
    <w:nsid w:val="C058DF5"/>
    <w:multiLevelType w:val="hybridMultilevel"/>
    <w:lvl w:ilvl="0">
      <w:lvlJc w:val="left"/>
      <w:lvlText w:val="[***]"/>
      <w:numFmt w:val="bullet"/>
      <w:start w:val="1"/>
    </w:lvl>
    <w:lvl w:ilvl="1">
      <w:lvlJc w:val="left"/>
      <w:lvlText w:val="%2."/>
      <w:numFmt w:val="decimal"/>
      <w:start w:val="5"/>
    </w:lvl>
  </w:abstractNum>
  <w:abstractNum w:abstractNumId="189">
    <w:nsid w:val="CBE5BE9"/>
    <w:multiLevelType w:val="hybridMultilevel"/>
    <w:lvl w:ilvl="0">
      <w:lvlJc w:val="left"/>
      <w:lvlText w:val="%1."/>
      <w:numFmt w:val="decimal"/>
      <w:start w:val="6"/>
    </w:lvl>
  </w:abstractNum>
  <w:abstractNum w:abstractNumId="190">
    <w:nsid w:val="3102BBE2"/>
    <w:multiLevelType w:val="hybridMultilevel"/>
    <w:lvl w:ilvl="0">
      <w:lvlJc w:val="left"/>
      <w:lvlText w:val="(%1)"/>
      <w:numFmt w:val="lowerRoman"/>
      <w:start w:val="2"/>
    </w:lvl>
  </w:abstractNum>
  <w:abstractNum w:abstractNumId="191">
    <w:nsid w:val="26A02C5E"/>
    <w:multiLevelType w:val="hybridMultilevel"/>
    <w:lvl w:ilvl="0">
      <w:lvlJc w:val="left"/>
      <w:lvlText w:val="%1."/>
      <w:numFmt w:val="decimal"/>
      <w:start w:val="7"/>
    </w:lvl>
  </w:abstractNum>
  <w:abstractNum w:abstractNumId="192">
    <w:nsid w:val="541C8153"/>
    <w:multiLevelType w:val="hybridMultilevel"/>
    <w:lvl w:ilvl="0">
      <w:lvlJc w:val="left"/>
      <w:lvlText w:val="%1."/>
      <w:numFmt w:val="decimal"/>
      <w:start w:val="8"/>
    </w:lvl>
  </w:abstractNum>
  <w:abstractNum w:abstractNumId="193">
    <w:nsid w:val="67906F60"/>
    <w:multiLevelType w:val="hybridMultilevel"/>
    <w:lvl w:ilvl="0">
      <w:lvlJc w:val="left"/>
      <w:lvlText w:val="%1."/>
      <w:numFmt w:val="decimal"/>
      <w:start w:val="9"/>
    </w:lvl>
  </w:abstractNum>
  <w:abstractNum w:abstractNumId="194">
    <w:nsid w:val="10DB9DAA"/>
    <w:multiLevelType w:val="hybridMultilevel"/>
    <w:lvl w:ilvl="0">
      <w:lvlJc w:val="left"/>
      <w:lvlText w:val="%1."/>
      <w:numFmt w:val="decimal"/>
      <w:start w:val="10"/>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2022-08-03T15:28:15Z</dcterms:created>
  <dcterms:modified xsi:type="dcterms:W3CDTF">2022-08-03T15:28:15Z</dcterms:modified>
</cp:coreProperties>
</file>