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400685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426085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61" w:lineRule="exact"/>
        <w:rPr>
          <w:sz w:val="24"/>
          <w:szCs w:val="24"/>
          <w:color w:val="auto"/>
        </w:rPr>
      </w:pPr>
    </w:p>
    <w:p>
      <w:pPr>
        <w:ind w:left="31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05"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58" w:lineRule="exact"/>
        <w:rPr>
          <w:sz w:val="24"/>
          <w:szCs w:val="24"/>
          <w:color w:val="auto"/>
        </w:rPr>
      </w:pPr>
    </w:p>
    <w:p>
      <w:pPr>
        <w:ind w:left="600" w:hanging="430"/>
        <w:spacing w:after="0"/>
        <w:tabs>
          <w:tab w:leader="none" w:pos="600" w:val="left"/>
        </w:tabs>
        <w:numPr>
          <w:ilvl w:val="0"/>
          <w:numId w:val="1"/>
        </w:numPr>
        <w:rPr>
          <w:rFonts w:ascii="MS PGothic" w:cs="MS PGothic" w:eastAsia="MS PGothic" w:hAnsi="MS PGothic"/>
          <w:sz w:val="28"/>
          <w:szCs w:val="28"/>
          <w:color w:val="auto"/>
          <w:vertAlign w:val="superscript"/>
        </w:rPr>
      </w:pPr>
      <w:r>
        <w:rPr>
          <w:rFonts w:ascii="Arial" w:cs="Arial" w:eastAsia="Arial" w:hAnsi="Arial"/>
          <w:sz w:val="21"/>
          <w:szCs w:val="21"/>
          <w:b w:val="1"/>
          <w:bCs w:val="1"/>
          <w:color w:val="auto"/>
        </w:rPr>
        <w:t>QUARTERLY REPORT PURSUANT TO SECTION 13 OR 15(d) OF THE SECURITIES EXCHANGE ACT OF</w:t>
      </w:r>
    </w:p>
    <w:p>
      <w:pPr>
        <w:ind w:left="5620"/>
        <w:spacing w:after="0"/>
        <w:rPr>
          <w:rFonts w:ascii="MS PGothic" w:cs="MS PGothic" w:eastAsia="MS PGothic" w:hAnsi="MS PGothic"/>
          <w:sz w:val="28"/>
          <w:szCs w:val="28"/>
          <w:color w:val="auto"/>
          <w:vertAlign w:val="superscript"/>
        </w:rPr>
      </w:pPr>
      <w:r>
        <w:rPr>
          <w:rFonts w:ascii="Arial" w:cs="Arial" w:eastAsia="Arial" w:hAnsi="Arial"/>
          <w:sz w:val="22"/>
          <w:szCs w:val="22"/>
          <w:b w:val="1"/>
          <w:bCs w:val="1"/>
          <w:color w:val="auto"/>
        </w:rPr>
        <w:t>1934</w:t>
      </w:r>
    </w:p>
    <w:p>
      <w:pPr>
        <w:spacing w:after="0" w:line="8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33" w:lineRule="exact"/>
        <w:rPr>
          <w:sz w:val="24"/>
          <w:szCs w:val="24"/>
          <w:color w:val="auto"/>
        </w:rPr>
      </w:pPr>
    </w:p>
    <w:p>
      <w:pPr>
        <w:ind w:left="580" w:hanging="437"/>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ind w:left="562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ind w:left="366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001-36189</w:t>
      </w:r>
    </w:p>
    <w:p>
      <w:pPr>
        <w:spacing w:after="0" w:line="81"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65"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Tandem Diabetes Care, Inc.</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125" w:lineRule="exact"/>
        <w:rPr>
          <w:sz w:val="24"/>
          <w:szCs w:val="24"/>
          <w:color w:val="auto"/>
        </w:rPr>
      </w:pPr>
    </w:p>
    <w:tbl>
      <w:tblPr>
        <w:tblLayout w:type="fixed"/>
        <w:tblInd w:w="540" w:type="dxa"/>
        <w:tblCellMar>
          <w:top w:w="0" w:type="dxa"/>
          <w:left w:w="0" w:type="dxa"/>
          <w:bottom w:w="0" w:type="dxa"/>
          <w:right w:w="0" w:type="dxa"/>
        </w:tblCellMar>
      </w:tblPr>
      <w:tr>
        <w:trPr>
          <w:trHeight w:val="225"/>
        </w:trPr>
        <w:tc>
          <w:tcPr>
            <w:tcW w:w="1080" w:type="dxa"/>
            <w:vAlign w:val="bottom"/>
          </w:tcPr>
          <w:p>
            <w:pPr>
              <w:spacing w:after="0"/>
              <w:rPr>
                <w:sz w:val="19"/>
                <w:szCs w:val="19"/>
                <w:color w:val="auto"/>
              </w:rPr>
            </w:pPr>
          </w:p>
        </w:tc>
        <w:tc>
          <w:tcPr>
            <w:tcW w:w="2360" w:type="dxa"/>
            <w:vAlign w:val="bottom"/>
            <w:gridSpan w:val="2"/>
          </w:tcPr>
          <w:p>
            <w:pPr>
              <w:jc w:val="center"/>
              <w:ind w:left="380"/>
              <w:spacing w:after="0"/>
              <w:rPr>
                <w:sz w:val="20"/>
                <w:szCs w:val="20"/>
                <w:color w:val="auto"/>
              </w:rPr>
            </w:pPr>
            <w:r>
              <w:rPr>
                <w:rFonts w:ascii="Arial" w:cs="Arial" w:eastAsia="Arial" w:hAnsi="Arial"/>
                <w:sz w:val="18"/>
                <w:szCs w:val="18"/>
                <w:b w:val="1"/>
                <w:bCs w:val="1"/>
                <w:color w:val="auto"/>
                <w:w w:val="93"/>
              </w:rPr>
              <w:t>Delaware</w:t>
            </w: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580" w:type="dxa"/>
            <w:vAlign w:val="bottom"/>
            <w:gridSpan w:val="2"/>
          </w:tcPr>
          <w:p>
            <w:pPr>
              <w:jc w:val="right"/>
              <w:ind w:right="344"/>
              <w:spacing w:after="0"/>
              <w:rPr>
                <w:sz w:val="20"/>
                <w:szCs w:val="20"/>
                <w:color w:val="auto"/>
              </w:rPr>
            </w:pPr>
            <w:r>
              <w:rPr>
                <w:rFonts w:ascii="Arial" w:cs="Arial" w:eastAsia="Arial" w:hAnsi="Arial"/>
                <w:sz w:val="18"/>
                <w:szCs w:val="18"/>
                <w:b w:val="1"/>
                <w:bCs w:val="1"/>
                <w:color w:val="auto"/>
              </w:rPr>
              <w:t>20-4327508</w:t>
            </w:r>
          </w:p>
        </w:tc>
      </w:tr>
      <w:tr>
        <w:trPr>
          <w:trHeight w:val="144"/>
        </w:trPr>
        <w:tc>
          <w:tcPr>
            <w:tcW w:w="1080" w:type="dxa"/>
            <w:vAlign w:val="bottom"/>
          </w:tcPr>
          <w:p>
            <w:pPr>
              <w:spacing w:after="0"/>
              <w:rPr>
                <w:sz w:val="12"/>
                <w:szCs w:val="12"/>
                <w:color w:val="auto"/>
              </w:rPr>
            </w:pPr>
          </w:p>
        </w:tc>
        <w:tc>
          <w:tcPr>
            <w:tcW w:w="2360" w:type="dxa"/>
            <w:vAlign w:val="bottom"/>
            <w:gridSpan w:val="2"/>
          </w:tcPr>
          <w:p>
            <w:pPr>
              <w:jc w:val="center"/>
              <w:ind w:left="400"/>
              <w:spacing w:after="0" w:line="144" w:lineRule="exact"/>
              <w:rPr>
                <w:sz w:val="20"/>
                <w:szCs w:val="20"/>
                <w:color w:val="auto"/>
              </w:rPr>
            </w:pPr>
            <w:r>
              <w:rPr>
                <w:rFonts w:ascii="Arial" w:cs="Arial" w:eastAsia="Arial" w:hAnsi="Arial"/>
                <w:sz w:val="14"/>
                <w:szCs w:val="14"/>
                <w:b w:val="1"/>
                <w:bCs w:val="1"/>
                <w:color w:val="auto"/>
                <w:w w:val="93"/>
              </w:rPr>
              <w:t>(State or other jurisdiction of</w:t>
            </w: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tcPr>
          <w:p>
            <w:pPr>
              <w:jc w:val="center"/>
              <w:ind w:left="684"/>
              <w:spacing w:after="0" w:line="144" w:lineRule="exact"/>
              <w:rPr>
                <w:sz w:val="20"/>
                <w:szCs w:val="20"/>
                <w:color w:val="auto"/>
              </w:rPr>
            </w:pPr>
            <w:r>
              <w:rPr>
                <w:rFonts w:ascii="Arial" w:cs="Arial" w:eastAsia="Arial" w:hAnsi="Arial"/>
                <w:sz w:val="14"/>
                <w:szCs w:val="14"/>
                <w:b w:val="1"/>
                <w:bCs w:val="1"/>
                <w:color w:val="auto"/>
                <w:w w:val="96"/>
              </w:rPr>
              <w:t>(I.R.S. Employer</w:t>
            </w:r>
          </w:p>
        </w:tc>
      </w:tr>
      <w:tr>
        <w:trPr>
          <w:trHeight w:val="184"/>
        </w:trPr>
        <w:tc>
          <w:tcPr>
            <w:tcW w:w="1080" w:type="dxa"/>
            <w:vAlign w:val="bottom"/>
          </w:tcPr>
          <w:p>
            <w:pPr>
              <w:spacing w:after="0"/>
              <w:rPr>
                <w:sz w:val="16"/>
                <w:szCs w:val="16"/>
                <w:color w:val="auto"/>
              </w:rPr>
            </w:pPr>
          </w:p>
        </w:tc>
        <w:tc>
          <w:tcPr>
            <w:tcW w:w="2360" w:type="dxa"/>
            <w:vAlign w:val="bottom"/>
            <w:gridSpan w:val="2"/>
          </w:tcPr>
          <w:p>
            <w:pPr>
              <w:jc w:val="center"/>
              <w:ind w:left="400"/>
              <w:spacing w:after="0"/>
              <w:rPr>
                <w:sz w:val="20"/>
                <w:szCs w:val="20"/>
                <w:color w:val="auto"/>
              </w:rPr>
            </w:pPr>
            <w:r>
              <w:rPr>
                <w:rFonts w:ascii="Arial" w:cs="Arial" w:eastAsia="Arial" w:hAnsi="Arial"/>
                <w:sz w:val="14"/>
                <w:szCs w:val="14"/>
                <w:b w:val="1"/>
                <w:bCs w:val="1"/>
                <w:color w:val="auto"/>
                <w:w w:val="94"/>
              </w:rPr>
              <w:t>incorporation or organization)</w:t>
            </w: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jc w:val="center"/>
              <w:ind w:left="704"/>
              <w:spacing w:after="0"/>
              <w:rPr>
                <w:sz w:val="20"/>
                <w:szCs w:val="20"/>
                <w:color w:val="auto"/>
              </w:rPr>
            </w:pPr>
            <w:r>
              <w:rPr>
                <w:rFonts w:ascii="Arial" w:cs="Arial" w:eastAsia="Arial" w:hAnsi="Arial"/>
                <w:sz w:val="14"/>
                <w:szCs w:val="14"/>
                <w:b w:val="1"/>
                <w:bCs w:val="1"/>
                <w:color w:val="auto"/>
                <w:w w:val="96"/>
              </w:rPr>
              <w:t>Identification No.)</w:t>
            </w:r>
          </w:p>
        </w:tc>
      </w:tr>
      <w:tr>
        <w:trPr>
          <w:trHeight w:val="225"/>
        </w:trPr>
        <w:tc>
          <w:tcPr>
            <w:tcW w:w="1080" w:type="dxa"/>
            <w:vAlign w:val="bottom"/>
          </w:tcPr>
          <w:p>
            <w:pPr>
              <w:spacing w:after="0"/>
              <w:rPr>
                <w:sz w:val="19"/>
                <w:szCs w:val="19"/>
                <w:color w:val="auto"/>
              </w:rPr>
            </w:pPr>
          </w:p>
        </w:tc>
        <w:tc>
          <w:tcPr>
            <w:tcW w:w="2360" w:type="dxa"/>
            <w:vAlign w:val="bottom"/>
            <w:gridSpan w:val="2"/>
          </w:tcPr>
          <w:p>
            <w:pPr>
              <w:jc w:val="center"/>
              <w:ind w:left="380"/>
              <w:spacing w:after="0"/>
              <w:rPr>
                <w:sz w:val="20"/>
                <w:szCs w:val="20"/>
                <w:color w:val="auto"/>
              </w:rPr>
            </w:pPr>
            <w:r>
              <w:rPr>
                <w:rFonts w:ascii="Arial" w:cs="Arial" w:eastAsia="Arial" w:hAnsi="Arial"/>
                <w:sz w:val="18"/>
                <w:szCs w:val="18"/>
                <w:b w:val="1"/>
                <w:bCs w:val="1"/>
                <w:color w:val="auto"/>
                <w:w w:val="87"/>
              </w:rPr>
              <w:t>11075 Roselle Street</w:t>
            </w: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580" w:type="dxa"/>
            <w:vAlign w:val="bottom"/>
            <w:gridSpan w:val="2"/>
          </w:tcPr>
          <w:p>
            <w:pPr>
              <w:jc w:val="right"/>
              <w:ind w:right="544"/>
              <w:spacing w:after="0"/>
              <w:rPr>
                <w:sz w:val="20"/>
                <w:szCs w:val="20"/>
                <w:color w:val="auto"/>
              </w:rPr>
            </w:pPr>
            <w:r>
              <w:rPr>
                <w:rFonts w:ascii="Arial" w:cs="Arial" w:eastAsia="Arial" w:hAnsi="Arial"/>
                <w:sz w:val="18"/>
                <w:szCs w:val="18"/>
                <w:b w:val="1"/>
                <w:bCs w:val="1"/>
                <w:color w:val="auto"/>
              </w:rPr>
              <w:t>92121</w:t>
            </w:r>
          </w:p>
        </w:tc>
      </w:tr>
      <w:tr>
        <w:trPr>
          <w:trHeight w:val="230"/>
        </w:trPr>
        <w:tc>
          <w:tcPr>
            <w:tcW w:w="1080" w:type="dxa"/>
            <w:vAlign w:val="bottom"/>
          </w:tcPr>
          <w:p>
            <w:pPr>
              <w:spacing w:after="0"/>
              <w:rPr>
                <w:sz w:val="19"/>
                <w:szCs w:val="19"/>
                <w:color w:val="auto"/>
              </w:rPr>
            </w:pPr>
          </w:p>
        </w:tc>
        <w:tc>
          <w:tcPr>
            <w:tcW w:w="2360" w:type="dxa"/>
            <w:vAlign w:val="bottom"/>
            <w:gridSpan w:val="2"/>
          </w:tcPr>
          <w:p>
            <w:pPr>
              <w:ind w:left="640"/>
              <w:spacing w:after="0"/>
              <w:rPr>
                <w:sz w:val="20"/>
                <w:szCs w:val="20"/>
                <w:color w:val="auto"/>
              </w:rPr>
            </w:pPr>
            <w:r>
              <w:rPr>
                <w:rFonts w:ascii="Arial" w:cs="Arial" w:eastAsia="Arial" w:hAnsi="Arial"/>
                <w:sz w:val="18"/>
                <w:szCs w:val="18"/>
                <w:b w:val="1"/>
                <w:bCs w:val="1"/>
                <w:color w:val="auto"/>
                <w:w w:val="93"/>
              </w:rPr>
              <w:t>San Diego, California</w:t>
            </w: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jc w:val="center"/>
              <w:ind w:left="704"/>
              <w:spacing w:after="0"/>
              <w:rPr>
                <w:sz w:val="20"/>
                <w:szCs w:val="20"/>
                <w:color w:val="auto"/>
              </w:rPr>
            </w:pPr>
            <w:r>
              <w:rPr>
                <w:rFonts w:ascii="Arial" w:cs="Arial" w:eastAsia="Arial" w:hAnsi="Arial"/>
                <w:sz w:val="14"/>
                <w:szCs w:val="14"/>
                <w:b w:val="1"/>
                <w:bCs w:val="1"/>
                <w:color w:val="auto"/>
                <w:w w:val="95"/>
              </w:rPr>
              <w:t>(Zip Code)</w:t>
            </w:r>
          </w:p>
        </w:tc>
      </w:tr>
      <w:tr>
        <w:trPr>
          <w:trHeight w:val="186"/>
        </w:trPr>
        <w:tc>
          <w:tcPr>
            <w:tcW w:w="1080" w:type="dxa"/>
            <w:vAlign w:val="bottom"/>
          </w:tcPr>
          <w:p>
            <w:pPr>
              <w:spacing w:after="0"/>
              <w:rPr>
                <w:sz w:val="16"/>
                <w:szCs w:val="16"/>
                <w:color w:val="auto"/>
              </w:rPr>
            </w:pPr>
          </w:p>
        </w:tc>
        <w:tc>
          <w:tcPr>
            <w:tcW w:w="5720" w:type="dxa"/>
            <w:vAlign w:val="bottom"/>
            <w:gridSpan w:val="5"/>
          </w:tcPr>
          <w:p>
            <w:pPr>
              <w:jc w:val="center"/>
              <w:ind w:right="29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r>
      <w:tr>
        <w:trPr>
          <w:trHeight w:val="286"/>
        </w:trPr>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(858) 366-6900</w:t>
            </w: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66"/>
        </w:trPr>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3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234"/>
        </w:trPr>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140" w:type="dxa"/>
            <w:vAlign w:val="bottom"/>
            <w:gridSpan w:val="6"/>
          </w:tcPr>
          <w:p>
            <w:pPr>
              <w:jc w:val="center"/>
              <w:ind w:right="1384"/>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70"/>
        </w:trPr>
        <w:tc>
          <w:tcPr>
            <w:tcW w:w="108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60" w:type="dxa"/>
            <w:vAlign w:val="bottom"/>
            <w:gridSpan w:val="2"/>
          </w:tcPr>
          <w:p>
            <w:pPr>
              <w:jc w:val="center"/>
              <w:ind w:right="1520"/>
              <w:spacing w:after="0"/>
              <w:rPr>
                <w:sz w:val="20"/>
                <w:szCs w:val="20"/>
                <w:color w:val="auto"/>
              </w:rPr>
            </w:pPr>
            <w:r>
              <w:rPr>
                <w:rFonts w:ascii="Arial" w:cs="Arial" w:eastAsia="Arial" w:hAnsi="Arial"/>
                <w:sz w:val="14"/>
                <w:szCs w:val="14"/>
                <w:b w:val="1"/>
                <w:bCs w:val="1"/>
                <w:color w:val="auto"/>
                <w:w w:val="92"/>
              </w:rPr>
              <w:t>Trading Symbol(s)</w:t>
            </w:r>
          </w:p>
        </w:tc>
        <w:tc>
          <w:tcPr>
            <w:tcW w:w="258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0"/>
        </w:trPr>
        <w:tc>
          <w:tcPr>
            <w:tcW w:w="10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r>
      <w:tr>
        <w:trPr>
          <w:trHeight w:val="250"/>
        </w:trPr>
        <w:tc>
          <w:tcPr>
            <w:tcW w:w="344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700" w:type="dxa"/>
            <w:vAlign w:val="bottom"/>
          </w:tcPr>
          <w:p>
            <w:pPr>
              <w:spacing w:after="0"/>
              <w:rPr>
                <w:sz w:val="21"/>
                <w:szCs w:val="21"/>
                <w:color w:val="auto"/>
              </w:rPr>
            </w:pPr>
          </w:p>
        </w:tc>
        <w:tc>
          <w:tcPr>
            <w:tcW w:w="266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rPr>
              <w:t>TNDM</w:t>
            </w:r>
          </w:p>
        </w:tc>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Market</w:t>
            </w:r>
          </w:p>
        </w:tc>
      </w:tr>
    </w:tbl>
    <w:p>
      <w:pPr>
        <w:spacing w:after="0" w:line="81"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2" w:lineRule="exact"/>
        <w:rPr>
          <w:sz w:val="24"/>
          <w:szCs w:val="24"/>
          <w:color w:val="auto"/>
        </w:rPr>
      </w:pPr>
    </w:p>
    <w:p>
      <w:pPr>
        <w:ind w:right="200"/>
        <w:spacing w:after="0" w:line="16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80"/>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00" w:type="dxa"/>
            <w:vAlign w:val="bottom"/>
          </w:tcPr>
          <w:p>
            <w:pPr>
              <w:ind w:left="1340"/>
              <w:spacing w:after="0"/>
              <w:rPr>
                <w:sz w:val="20"/>
                <w:szCs w:val="20"/>
                <w:color w:val="auto"/>
              </w:rPr>
            </w:pPr>
            <w:r>
              <w:rPr>
                <w:rFonts w:ascii="Arial" w:cs="Arial" w:eastAsia="Arial" w:hAnsi="Arial"/>
                <w:sz w:val="14"/>
                <w:szCs w:val="14"/>
                <w:color w:val="auto"/>
              </w:rPr>
              <w:t>x</w:t>
            </w:r>
          </w:p>
        </w:tc>
        <w:tc>
          <w:tcPr>
            <w:tcW w:w="4020" w:type="dxa"/>
            <w:vAlign w:val="bottom"/>
          </w:tcPr>
          <w:p>
            <w:pPr>
              <w:ind w:left="1240"/>
              <w:spacing w:after="0"/>
              <w:rPr>
                <w:sz w:val="20"/>
                <w:szCs w:val="20"/>
                <w:color w:val="auto"/>
              </w:rPr>
            </w:pPr>
            <w:r>
              <w:rPr>
                <w:rFonts w:ascii="Arial" w:cs="Arial" w:eastAsia="Arial" w:hAnsi="Arial"/>
                <w:sz w:val="14"/>
                <w:szCs w:val="14"/>
                <w:color w:val="auto"/>
              </w:rPr>
              <w:t>Accelerated filer</w:t>
            </w:r>
          </w:p>
        </w:tc>
        <w:tc>
          <w:tcPr>
            <w:tcW w:w="13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2620" w:type="dxa"/>
            <w:vAlign w:val="bottom"/>
          </w:tcPr>
          <w:p>
            <w:pPr>
              <w:spacing w:after="0"/>
              <w:rPr>
                <w:sz w:val="20"/>
                <w:szCs w:val="20"/>
                <w:color w:val="auto"/>
              </w:rPr>
            </w:pPr>
            <w:r>
              <w:rPr>
                <w:rFonts w:ascii="Arial" w:cs="Arial" w:eastAsia="Arial" w:hAnsi="Arial"/>
                <w:sz w:val="14"/>
                <w:szCs w:val="14"/>
                <w:color w:val="auto"/>
              </w:rPr>
              <w:t>Non-accelerated filer</w:t>
            </w:r>
          </w:p>
        </w:tc>
        <w:tc>
          <w:tcPr>
            <w:tcW w:w="2700" w:type="dxa"/>
            <w:vAlign w:val="bottom"/>
          </w:tcPr>
          <w:p>
            <w:pPr>
              <w:ind w:left="1340"/>
              <w:spacing w:after="0" w:line="141" w:lineRule="exact"/>
              <w:rPr>
                <w:sz w:val="20"/>
                <w:szCs w:val="20"/>
                <w:color w:val="auto"/>
              </w:rPr>
            </w:pPr>
            <w:r>
              <w:rPr>
                <w:rFonts w:ascii="MS PGothic" w:cs="MS PGothic" w:eastAsia="MS PGothic" w:hAnsi="MS PGothic"/>
                <w:sz w:val="14"/>
                <w:szCs w:val="14"/>
                <w:color w:val="auto"/>
              </w:rPr>
              <w:t>☐</w:t>
            </w:r>
          </w:p>
        </w:tc>
        <w:tc>
          <w:tcPr>
            <w:tcW w:w="4020" w:type="dxa"/>
            <w:vAlign w:val="bottom"/>
          </w:tcPr>
          <w:p>
            <w:pPr>
              <w:ind w:left="1240"/>
              <w:spacing w:after="0"/>
              <w:rPr>
                <w:sz w:val="20"/>
                <w:szCs w:val="20"/>
                <w:color w:val="auto"/>
              </w:rPr>
            </w:pPr>
            <w:r>
              <w:rPr>
                <w:rFonts w:ascii="Arial" w:cs="Arial" w:eastAsia="Arial" w:hAnsi="Arial"/>
                <w:sz w:val="14"/>
                <w:szCs w:val="14"/>
                <w:color w:val="auto"/>
              </w:rPr>
              <w:t>Smaller reporting company</w:t>
            </w:r>
          </w:p>
        </w:tc>
        <w:tc>
          <w:tcPr>
            <w:tcW w:w="13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6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020" w:type="dxa"/>
            <w:vAlign w:val="bottom"/>
          </w:tcPr>
          <w:p>
            <w:pPr>
              <w:ind w:left="1240"/>
              <w:spacing w:after="0"/>
              <w:rPr>
                <w:sz w:val="20"/>
                <w:szCs w:val="20"/>
                <w:color w:val="auto"/>
              </w:rPr>
            </w:pPr>
            <w:r>
              <w:rPr>
                <w:rFonts w:ascii="Arial" w:cs="Arial" w:eastAsia="Arial" w:hAnsi="Arial"/>
                <w:sz w:val="14"/>
                <w:szCs w:val="14"/>
                <w:color w:val="auto"/>
              </w:rPr>
              <w:t>Emerging growth company</w:t>
            </w:r>
          </w:p>
        </w:tc>
        <w:tc>
          <w:tcPr>
            <w:tcW w:w="13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58" w:lineRule="exact"/>
        <w:rPr>
          <w:sz w:val="24"/>
          <w:szCs w:val="24"/>
          <w:color w:val="auto"/>
        </w:rPr>
      </w:pPr>
    </w:p>
    <w:p>
      <w:pPr>
        <w:jc w:val="both"/>
        <w:ind w:right="540"/>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6"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9" w:lineRule="exact"/>
        <w:rPr>
          <w:sz w:val="24"/>
          <w:szCs w:val="24"/>
          <w:color w:val="auto"/>
        </w:rPr>
      </w:pPr>
    </w:p>
    <w:p>
      <w:pPr>
        <w:ind w:left="820"/>
        <w:spacing w:after="0"/>
        <w:rPr>
          <w:sz w:val="20"/>
          <w:szCs w:val="20"/>
          <w:color w:val="auto"/>
        </w:rPr>
      </w:pPr>
      <w:r>
        <w:rPr>
          <w:rFonts w:ascii="Arial" w:cs="Arial" w:eastAsia="Arial" w:hAnsi="Arial"/>
          <w:sz w:val="14"/>
          <w:szCs w:val="14"/>
          <w:color w:val="auto"/>
        </w:rPr>
        <w:t>As of July 30, 2021, there were 63,029,361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728345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98425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123825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0060" w:type="dxa"/>
            <w:vAlign w:val="bottom"/>
          </w:tcPr>
          <w:p>
            <w:pPr>
              <w:ind w:left="390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100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ind w:left="20"/>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Part I</w:t>
              </w:r>
            </w:hyperlink>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Financial Information</w:t>
            </w:r>
          </w:p>
        </w:tc>
        <w:tc>
          <w:tcPr>
            <w:tcW w:w="380" w:type="dxa"/>
            <w:vAlign w:val="bottom"/>
            <w:shd w:val="clear" w:color="auto" w:fill="CCEEFF"/>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1006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3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spacing w:after="0"/>
              <w:rPr>
                <w:sz w:val="19"/>
                <w:szCs w:val="19"/>
                <w:color w:val="auto"/>
              </w:rPr>
            </w:pPr>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Condensed Consolidated Balance Sheets at June 30, 2021 (Unaudited) and December 31, 2020</w:t>
            </w:r>
          </w:p>
        </w:tc>
        <w:tc>
          <w:tcPr>
            <w:tcW w:w="380" w:type="dxa"/>
            <w:vAlign w:val="bottom"/>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10060" w:type="dxa"/>
            <w:vAlign w:val="bottom"/>
          </w:tcPr>
          <w:p>
            <w:pPr>
              <w:ind w:left="140"/>
              <w:spacing w:after="0" w:line="176" w:lineRule="exact"/>
              <w:rPr>
                <w:sz w:val="20"/>
                <w:szCs w:val="20"/>
                <w:color w:val="auto"/>
              </w:rPr>
            </w:pPr>
            <w:r>
              <w:rPr>
                <w:rFonts w:ascii="Arial" w:cs="Arial" w:eastAsia="Arial" w:hAnsi="Arial"/>
                <w:sz w:val="18"/>
                <w:szCs w:val="18"/>
                <w:color w:val="auto"/>
                <w:w w:val="92"/>
              </w:rPr>
              <w:t>Condensed Consolidated Statements of Operations and Comprehensive Income (Loss) for the Three and Six Months Ended June 30,</w:t>
            </w:r>
          </w:p>
        </w:tc>
        <w:tc>
          <w:tcPr>
            <w:tcW w:w="380" w:type="dxa"/>
            <w:vAlign w:val="bottom"/>
            <w:vMerge w:val="restart"/>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060" w:type="dxa"/>
            <w:vAlign w:val="bottom"/>
          </w:tcPr>
          <w:p>
            <w:pPr>
              <w:ind w:left="140"/>
              <w:spacing w:after="0"/>
              <w:rPr>
                <w:sz w:val="20"/>
                <w:szCs w:val="20"/>
                <w:color w:val="auto"/>
              </w:rPr>
            </w:pPr>
            <w:r>
              <w:rPr>
                <w:rFonts w:ascii="Arial" w:cs="Arial" w:eastAsia="Arial" w:hAnsi="Arial"/>
                <w:sz w:val="18"/>
                <w:szCs w:val="18"/>
                <w:color w:val="auto"/>
              </w:rPr>
              <w:t>2021 and 2020 (Unaudited)</w:t>
            </w:r>
          </w:p>
        </w:tc>
        <w:tc>
          <w:tcPr>
            <w:tcW w:w="3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spacing w:after="0"/>
              <w:rPr>
                <w:sz w:val="19"/>
                <w:szCs w:val="19"/>
                <w:color w:val="auto"/>
              </w:rPr>
            </w:pPr>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Condensed Consolidated Statements of Stockholders’ Equity for the Three and Six Months Ended June 30, 2021 and 2020 (Unaudited)</w:t>
            </w:r>
          </w:p>
        </w:tc>
        <w:tc>
          <w:tcPr>
            <w:tcW w:w="380" w:type="dxa"/>
            <w:vAlign w:val="bottom"/>
            <w:shd w:val="clear" w:color="auto" w:fill="CCEEFF"/>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0060" w:type="dxa"/>
            <w:vAlign w:val="bottom"/>
          </w:tcPr>
          <w:p>
            <w:pPr>
              <w:ind w:left="140"/>
              <w:spacing w:after="0"/>
              <w:rPr>
                <w:sz w:val="20"/>
                <w:szCs w:val="20"/>
                <w:color w:val="auto"/>
              </w:rPr>
            </w:pPr>
            <w:r>
              <w:rPr>
                <w:rFonts w:ascii="Arial" w:cs="Arial" w:eastAsia="Arial" w:hAnsi="Arial"/>
                <w:sz w:val="18"/>
                <w:szCs w:val="18"/>
                <w:color w:val="auto"/>
              </w:rPr>
              <w:t>Condensed Consolidated Statements of Cash Flows for the Six Months Ended June 30, 2021 and 2020 (Unaudited)</w:t>
            </w:r>
          </w:p>
        </w:tc>
        <w:tc>
          <w:tcPr>
            <w:tcW w:w="3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spacing w:after="0"/>
              <w:rPr>
                <w:sz w:val="19"/>
                <w:szCs w:val="19"/>
                <w:color w:val="auto"/>
              </w:rPr>
            </w:pPr>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to Unaudited Condensed Consolidated Financial Statements</w:t>
            </w:r>
          </w:p>
        </w:tc>
        <w:tc>
          <w:tcPr>
            <w:tcW w:w="380" w:type="dxa"/>
            <w:vAlign w:val="bottom"/>
            <w:shd w:val="clear" w:color="auto" w:fill="CCEEFF"/>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ind w:left="20"/>
              <w:spacing w:after="0"/>
              <w:rPr>
                <w:rFonts w:ascii="Arial" w:cs="Arial" w:eastAsia="Arial" w:hAnsi="Arial"/>
                <w:sz w:val="18"/>
                <w:szCs w:val="18"/>
                <w:color w:val="auto"/>
              </w:rPr>
            </w:pPr>
            <w:hyperlink w:anchor="page24">
              <w:r>
                <w:rPr>
                  <w:rFonts w:ascii="Arial" w:cs="Arial" w:eastAsia="Arial" w:hAnsi="Arial"/>
                  <w:sz w:val="18"/>
                  <w:szCs w:val="18"/>
                  <w:color w:val="auto"/>
                </w:rPr>
                <w:t>Item 2</w:t>
              </w:r>
            </w:hyperlink>
          </w:p>
        </w:tc>
        <w:tc>
          <w:tcPr>
            <w:tcW w:w="1006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23</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ind w:left="20"/>
              <w:spacing w:after="0"/>
              <w:rPr>
                <w:rFonts w:ascii="Arial" w:cs="Arial" w:eastAsia="Arial" w:hAnsi="Arial"/>
                <w:sz w:val="18"/>
                <w:szCs w:val="18"/>
                <w:color w:val="auto"/>
              </w:rPr>
            </w:pPr>
            <w:hyperlink w:anchor="page43">
              <w:r>
                <w:rPr>
                  <w:rFonts w:ascii="Arial" w:cs="Arial" w:eastAsia="Arial" w:hAnsi="Arial"/>
                  <w:sz w:val="18"/>
                  <w:szCs w:val="18"/>
                  <w:color w:val="auto"/>
                </w:rPr>
                <w:t>Item 3</w:t>
              </w:r>
            </w:hyperlink>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380" w:type="dxa"/>
            <w:vAlign w:val="bottom"/>
            <w:shd w:val="clear" w:color="auto" w:fill="CCEEFF"/>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ind w:left="20"/>
              <w:spacing w:after="0"/>
              <w:rPr>
                <w:rFonts w:ascii="Arial" w:cs="Arial" w:eastAsia="Arial" w:hAnsi="Arial"/>
                <w:sz w:val="18"/>
                <w:szCs w:val="18"/>
                <w:color w:val="auto"/>
              </w:rPr>
            </w:pPr>
            <w:hyperlink w:anchor="page44">
              <w:r>
                <w:rPr>
                  <w:rFonts w:ascii="Arial" w:cs="Arial" w:eastAsia="Arial" w:hAnsi="Arial"/>
                  <w:sz w:val="18"/>
                  <w:szCs w:val="18"/>
                  <w:color w:val="auto"/>
                </w:rPr>
                <w:t>Item 4</w:t>
              </w:r>
            </w:hyperlink>
          </w:p>
        </w:tc>
        <w:tc>
          <w:tcPr>
            <w:tcW w:w="1006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38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43</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spacing w:after="0"/>
              <w:rPr>
                <w:sz w:val="14"/>
                <w:szCs w:val="14"/>
                <w:color w:val="auto"/>
              </w:rPr>
            </w:pPr>
          </w:p>
        </w:tc>
        <w:tc>
          <w:tcPr>
            <w:tcW w:w="10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60" w:type="dxa"/>
            <w:vAlign w:val="bottom"/>
          </w:tcPr>
          <w:p>
            <w:pPr>
              <w:ind w:left="20"/>
              <w:spacing w:after="0"/>
              <w:rPr>
                <w:rFonts w:ascii="Arial" w:cs="Arial" w:eastAsia="Arial" w:hAnsi="Arial"/>
                <w:sz w:val="18"/>
                <w:szCs w:val="18"/>
                <w:b w:val="1"/>
                <w:bCs w:val="1"/>
                <w:color w:val="auto"/>
              </w:rPr>
            </w:pPr>
            <w:hyperlink w:anchor="page45">
              <w:r>
                <w:rPr>
                  <w:rFonts w:ascii="Arial" w:cs="Arial" w:eastAsia="Arial" w:hAnsi="Arial"/>
                  <w:sz w:val="18"/>
                  <w:szCs w:val="18"/>
                  <w:b w:val="1"/>
                  <w:bCs w:val="1"/>
                  <w:color w:val="auto"/>
                </w:rPr>
                <w:t>Part II</w:t>
              </w:r>
            </w:hyperlink>
          </w:p>
        </w:tc>
        <w:tc>
          <w:tcPr>
            <w:tcW w:w="1006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38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ind w:left="20"/>
              <w:spacing w:after="0"/>
              <w:rPr>
                <w:rFonts w:ascii="Arial" w:cs="Arial" w:eastAsia="Arial" w:hAnsi="Arial"/>
                <w:sz w:val="18"/>
                <w:szCs w:val="18"/>
                <w:color w:val="auto"/>
              </w:rPr>
            </w:pPr>
            <w:hyperlink w:anchor="page46">
              <w:r>
                <w:rPr>
                  <w:rFonts w:ascii="Arial" w:cs="Arial" w:eastAsia="Arial" w:hAnsi="Arial"/>
                  <w:sz w:val="18"/>
                  <w:szCs w:val="18"/>
                  <w:color w:val="auto"/>
                </w:rPr>
                <w:t>Item 1</w:t>
              </w:r>
            </w:hyperlink>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Proceedings</w:t>
            </w:r>
          </w:p>
        </w:tc>
        <w:tc>
          <w:tcPr>
            <w:tcW w:w="380" w:type="dxa"/>
            <w:vAlign w:val="bottom"/>
            <w:shd w:val="clear" w:color="auto" w:fill="CCEEFF"/>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44</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ind w:left="20"/>
              <w:spacing w:after="0"/>
              <w:rPr>
                <w:rFonts w:ascii="Arial" w:cs="Arial" w:eastAsia="Arial" w:hAnsi="Arial"/>
                <w:sz w:val="18"/>
                <w:szCs w:val="18"/>
                <w:color w:val="auto"/>
              </w:rPr>
            </w:pPr>
            <w:hyperlink w:anchor="page46">
              <w:r>
                <w:rPr>
                  <w:rFonts w:ascii="Arial" w:cs="Arial" w:eastAsia="Arial" w:hAnsi="Arial"/>
                  <w:sz w:val="18"/>
                  <w:szCs w:val="18"/>
                  <w:color w:val="auto"/>
                </w:rPr>
                <w:t>Item 1A</w:t>
              </w:r>
            </w:hyperlink>
          </w:p>
        </w:tc>
        <w:tc>
          <w:tcPr>
            <w:tcW w:w="1006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38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ind w:left="20"/>
              <w:spacing w:after="0"/>
              <w:rPr>
                <w:rFonts w:ascii="Arial" w:cs="Arial" w:eastAsia="Arial" w:hAnsi="Arial"/>
                <w:sz w:val="18"/>
                <w:szCs w:val="18"/>
                <w:color w:val="auto"/>
              </w:rPr>
            </w:pPr>
            <w:hyperlink w:anchor="page83">
              <w:r>
                <w:rPr>
                  <w:rFonts w:ascii="Arial" w:cs="Arial" w:eastAsia="Arial" w:hAnsi="Arial"/>
                  <w:sz w:val="18"/>
                  <w:szCs w:val="18"/>
                  <w:color w:val="auto"/>
                </w:rPr>
                <w:t>Item 6</w:t>
              </w:r>
            </w:hyperlink>
          </w:p>
        </w:tc>
        <w:tc>
          <w:tcPr>
            <w:tcW w:w="10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Exhibits</w:t>
            </w:r>
          </w:p>
        </w:tc>
        <w:tc>
          <w:tcPr>
            <w:tcW w:w="380" w:type="dxa"/>
            <w:vAlign w:val="bottom"/>
            <w:shd w:val="clear" w:color="auto" w:fill="CCEEFF"/>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82</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6"/>
        </w:trPr>
        <w:tc>
          <w:tcPr>
            <w:tcW w:w="760" w:type="dxa"/>
            <w:vAlign w:val="bottom"/>
            <w:tcBorders>
              <w:bottom w:val="single" w:sz="8" w:color="9A9A9A"/>
            </w:tcBorders>
          </w:tcPr>
          <w:p>
            <w:pPr>
              <w:spacing w:after="0"/>
              <w:rPr>
                <w:sz w:val="24"/>
                <w:szCs w:val="24"/>
                <w:color w:val="auto"/>
              </w:rPr>
            </w:pPr>
          </w:p>
        </w:tc>
        <w:tc>
          <w:tcPr>
            <w:tcW w:w="100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par value)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5"/>
        </w:trPr>
        <w:tc>
          <w:tcPr>
            <w:tcW w:w="8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7"/>
        </w:trPr>
        <w:tc>
          <w:tcPr>
            <w:tcW w:w="8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92"/>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Arial" w:cs="Arial" w:eastAsia="Arial" w:hAnsi="Arial"/>
                <w:sz w:val="14"/>
                <w:szCs w:val="14"/>
                <w:b w:val="1"/>
                <w:bCs w:val="1"/>
                <w:color w:val="auto"/>
                <w:w w:val="92"/>
              </w:rPr>
              <w:t>(Note 1)</w:t>
            </w:r>
          </w:p>
        </w:tc>
        <w:tc>
          <w:tcPr>
            <w:tcW w:w="0" w:type="dxa"/>
            <w:vAlign w:val="bottom"/>
          </w:tcPr>
          <w:p>
            <w:pPr>
              <w:spacing w:after="0"/>
              <w:rPr>
                <w:sz w:val="1"/>
                <w:szCs w:val="1"/>
                <w:color w:val="auto"/>
              </w:rPr>
            </w:pPr>
          </w:p>
        </w:tc>
      </w:tr>
      <w:tr>
        <w:trPr>
          <w:trHeight w:val="231"/>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98,578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94,613</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446,724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390,323</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80,212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82,195</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66,705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63,721</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6,066</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6,383</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698,285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637,235</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48,890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50,022</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19,773</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16,576</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9,385</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795,250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716,415</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17,805</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Employee-related liabilities</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34,159</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Common stock warrants</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14,261</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9,421</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18,336</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17,341</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108,723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103,852</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senior notes, net - long-term</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280,599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202,984</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Operating lease liabilities - long-term</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15,914</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32,467</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27,360</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449,165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350,110</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11)</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40" w:type="dxa"/>
            <w:vAlign w:val="bottom"/>
            <w:shd w:val="clear" w:color="auto" w:fill="CFF0FC"/>
          </w:tcPr>
          <w:p>
            <w:pPr>
              <w:ind w:left="220"/>
              <w:spacing w:after="0" w:line="176" w:lineRule="exact"/>
              <w:rPr>
                <w:sz w:val="20"/>
                <w:szCs w:val="20"/>
                <w:color w:val="auto"/>
              </w:rPr>
            </w:pPr>
            <w:r>
              <w:rPr>
                <w:rFonts w:ascii="Arial" w:cs="Arial" w:eastAsia="Arial" w:hAnsi="Arial"/>
                <w:sz w:val="18"/>
                <w:szCs w:val="18"/>
                <w:color w:val="auto"/>
                <w:w w:val="89"/>
              </w:rPr>
              <w:t>Common stock, $0.001 par value; 200,000 shares authorized, 62,952 and 62,335 shares issued and outstanding at</w:t>
            </w:r>
          </w:p>
        </w:tc>
        <w:tc>
          <w:tcPr>
            <w:tcW w:w="20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June 30, 2021 (unaudited) and December 31, 2020, respectively.</w:t>
            </w:r>
          </w:p>
        </w:tc>
        <w:tc>
          <w:tcPr>
            <w:tcW w:w="200" w:type="dxa"/>
            <w:vAlign w:val="bottom"/>
            <w:shd w:val="clear" w:color="auto" w:fill="CFF0FC"/>
          </w:tcPr>
          <w:p>
            <w:pPr>
              <w:spacing w:after="0"/>
              <w:rPr>
                <w:sz w:val="19"/>
                <w:szCs w:val="19"/>
                <w:color w:val="auto"/>
              </w:rPr>
            </w:pPr>
          </w:p>
        </w:tc>
        <w:tc>
          <w:tcPr>
            <w:tcW w:w="11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997,190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1,025,233</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(651,197)</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(659,210)</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346,085</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366,305</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795,250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716,415</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34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900" w:type="dxa"/>
            <w:vAlign w:val="bottom"/>
            <w:tcBorders>
              <w:bottom w:val="single" w:sz="8" w:color="CFF0FC"/>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FF0FC"/>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r>
      <w:tr>
        <w:trPr>
          <w:trHeight w:val="224"/>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172,139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109,236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313,176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207,162</w:t>
            </w:r>
          </w:p>
        </w:tc>
        <w:tc>
          <w:tcPr>
            <w:tcW w:w="100" w:type="dxa"/>
            <w:vAlign w:val="bottom"/>
            <w:shd w:val="clear" w:color="auto" w:fill="CFF0FC"/>
          </w:tcPr>
          <w:p>
            <w:pPr>
              <w:spacing w:after="0"/>
              <w:rPr>
                <w:sz w:val="19"/>
                <w:szCs w:val="19"/>
                <w:color w:val="auto"/>
              </w:rPr>
            </w:pPr>
          </w:p>
        </w:tc>
      </w:tr>
      <w:tr>
        <w:trPr>
          <w:trHeight w:val="229"/>
        </w:trPr>
        <w:tc>
          <w:tcPr>
            <w:tcW w:w="59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79,685</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54,846</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147,435</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102,511</w:t>
            </w:r>
          </w:p>
        </w:tc>
        <w:tc>
          <w:tcPr>
            <w:tcW w:w="100" w:type="dxa"/>
            <w:vAlign w:val="bottom"/>
            <w:tcBorders>
              <w:bottom w:val="single" w:sz="8" w:color="CFF0FC"/>
            </w:tcBorders>
          </w:tcPr>
          <w:p>
            <w:pPr>
              <w:spacing w:after="0"/>
              <w:rPr>
                <w:sz w:val="19"/>
                <w:szCs w:val="19"/>
                <w:color w:val="auto"/>
              </w:rPr>
            </w:pPr>
          </w:p>
        </w:tc>
      </w:tr>
      <w:tr>
        <w:trPr>
          <w:trHeight w:val="223"/>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92,454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54,390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165,741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104,651</w:t>
            </w:r>
          </w:p>
        </w:tc>
        <w:tc>
          <w:tcPr>
            <w:tcW w:w="100" w:type="dxa"/>
            <w:vAlign w:val="bottom"/>
            <w:shd w:val="clear" w:color="auto" w:fill="CFF0FC"/>
          </w:tcPr>
          <w:p>
            <w:pPr>
              <w:spacing w:after="0"/>
              <w:rPr>
                <w:sz w:val="19"/>
                <w:szCs w:val="19"/>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9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66,523</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50,440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125,086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100,157</w:t>
            </w: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20,499</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15,987</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38,460</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30,104</w:t>
            </w:r>
          </w:p>
        </w:tc>
        <w:tc>
          <w:tcPr>
            <w:tcW w:w="100" w:type="dxa"/>
            <w:vAlign w:val="bottom"/>
            <w:tcBorders>
              <w:bottom w:val="single" w:sz="8" w:color="CFF0FC"/>
            </w:tcBorders>
          </w:tcPr>
          <w:p>
            <w:pPr>
              <w:spacing w:after="0"/>
              <w:rPr>
                <w:sz w:val="19"/>
                <w:szCs w:val="19"/>
                <w:color w:val="auto"/>
              </w:rPr>
            </w:pPr>
          </w:p>
        </w:tc>
      </w:tr>
      <w:tr>
        <w:trPr>
          <w:trHeight w:val="223"/>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87,022</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66,427</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163,546</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130,261</w:t>
            </w:r>
          </w:p>
        </w:tc>
        <w:tc>
          <w:tcPr>
            <w:tcW w:w="100" w:type="dxa"/>
            <w:vAlign w:val="bottom"/>
            <w:shd w:val="clear" w:color="auto" w:fill="CFF0FC"/>
          </w:tcPr>
          <w:p>
            <w:pPr>
              <w:spacing w:after="0"/>
              <w:rPr>
                <w:sz w:val="19"/>
                <w:szCs w:val="19"/>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(25,610)</w:t>
            </w:r>
          </w:p>
        </w:tc>
        <w:tc>
          <w:tcPr>
            <w:tcW w:w="100" w:type="dxa"/>
            <w:vAlign w:val="bottom"/>
          </w:tcPr>
          <w:p>
            <w:pPr>
              <w:spacing w:after="0"/>
              <w:rPr>
                <w:sz w:val="19"/>
                <w:szCs w:val="19"/>
                <w:color w:val="auto"/>
              </w:rPr>
            </w:pPr>
          </w:p>
        </w:tc>
      </w:tr>
      <w:tr>
        <w:trPr>
          <w:trHeight w:val="229"/>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Interest income and other, net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9"/>
                <w:szCs w:val="19"/>
                <w:color w:val="auto"/>
              </w:rPr>
            </w:pPr>
          </w:p>
        </w:tc>
      </w:tr>
      <w:tr>
        <w:trPr>
          <w:trHeight w:val="229"/>
        </w:trPr>
        <w:tc>
          <w:tcPr>
            <w:tcW w:w="59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(3,176)</w:t>
            </w:r>
          </w:p>
        </w:tc>
        <w:tc>
          <w:tcPr>
            <w:tcW w:w="100" w:type="dxa"/>
            <w:vAlign w:val="bottom"/>
            <w:shd w:val="clear" w:color="auto" w:fill="CFF0FC"/>
          </w:tcPr>
          <w:p>
            <w:pPr>
              <w:spacing w:after="0"/>
              <w:rPr>
                <w:sz w:val="19"/>
                <w:szCs w:val="19"/>
                <w:color w:val="auto"/>
              </w:rPr>
            </w:pPr>
          </w:p>
        </w:tc>
      </w:tr>
      <w:tr>
        <w:trPr>
          <w:trHeight w:val="229"/>
        </w:trPr>
        <w:tc>
          <w:tcPr>
            <w:tcW w:w="590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Change in fair value of common stock warrants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(14,336)</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(16,258)</w:t>
            </w:r>
          </w:p>
        </w:tc>
        <w:tc>
          <w:tcPr>
            <w:tcW w:w="100" w:type="dxa"/>
            <w:vAlign w:val="bottom"/>
            <w:tcBorders>
              <w:bottom w:val="single" w:sz="8" w:color="CFF0FC"/>
            </w:tcBorders>
          </w:tcPr>
          <w:p>
            <w:pPr>
              <w:spacing w:after="0"/>
              <w:rPr>
                <w:sz w:val="19"/>
                <w:szCs w:val="19"/>
                <w:color w:val="auto"/>
              </w:rPr>
            </w:pPr>
          </w:p>
        </w:tc>
      </w:tr>
      <w:tr>
        <w:trPr>
          <w:trHeight w:val="223"/>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(17,145)</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(3,287)</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(18,341)</w:t>
            </w:r>
          </w:p>
        </w:tc>
        <w:tc>
          <w:tcPr>
            <w:tcW w:w="100" w:type="dxa"/>
            <w:vAlign w:val="bottom"/>
            <w:shd w:val="clear" w:color="auto" w:fill="CFF0FC"/>
          </w:tcPr>
          <w:p>
            <w:pPr>
              <w:spacing w:after="0"/>
              <w:rPr>
                <w:sz w:val="19"/>
                <w:szCs w:val="19"/>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(43,951)</w:t>
            </w:r>
          </w:p>
        </w:tc>
        <w:tc>
          <w:tcPr>
            <w:tcW w:w="100" w:type="dxa"/>
            <w:vAlign w:val="bottom"/>
          </w:tcPr>
          <w:p>
            <w:pPr>
              <w:spacing w:after="0"/>
              <w:rPr>
                <w:sz w:val="19"/>
                <w:szCs w:val="19"/>
                <w:color w:val="auto"/>
              </w:rPr>
            </w:pPr>
          </w:p>
        </w:tc>
      </w:tr>
      <w:tr>
        <w:trPr>
          <w:trHeight w:val="230"/>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100" w:type="dxa"/>
            <w:vAlign w:val="bottom"/>
            <w:shd w:val="clear" w:color="auto" w:fill="CFF0FC"/>
          </w:tcPr>
          <w:p>
            <w:pPr>
              <w:spacing w:after="0"/>
              <w:rPr>
                <w:sz w:val="19"/>
                <w:szCs w:val="19"/>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(41,974)</w:t>
            </w:r>
          </w:p>
        </w:tc>
        <w:tc>
          <w:tcPr>
            <w:tcW w:w="100" w:type="dxa"/>
            <w:vAlign w:val="bottom"/>
          </w:tcPr>
          <w:p>
            <w:pPr>
              <w:spacing w:after="0"/>
              <w:rPr>
                <w:sz w:val="19"/>
                <w:szCs w:val="19"/>
                <w:color w:val="auto"/>
              </w:rPr>
            </w:pPr>
          </w:p>
        </w:tc>
      </w:tr>
      <w:tr>
        <w:trPr>
          <w:trHeight w:val="20"/>
        </w:trPr>
        <w:tc>
          <w:tcPr>
            <w:tcW w:w="59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197"/>
        </w:trPr>
        <w:tc>
          <w:tcPr>
            <w:tcW w:w="5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comprehensive income (loss):</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Unrealized gain (loss) on short-term investments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r>
      <w:tr>
        <w:trPr>
          <w:trHeight w:val="229"/>
        </w:trPr>
        <w:tc>
          <w:tcPr>
            <w:tcW w:w="59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currency translation gain (loss)</w:t>
            </w: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FF0FC"/>
          </w:tcPr>
          <w:p>
            <w:pPr>
              <w:spacing w:after="0"/>
              <w:rPr>
                <w:sz w:val="19"/>
                <w:szCs w:val="19"/>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(42,053)</w:t>
            </w:r>
          </w:p>
        </w:tc>
        <w:tc>
          <w:tcPr>
            <w:tcW w:w="100" w:type="dxa"/>
            <w:vAlign w:val="bottom"/>
          </w:tcPr>
          <w:p>
            <w:pPr>
              <w:spacing w:after="0"/>
              <w:rPr>
                <w:sz w:val="19"/>
                <w:szCs w:val="19"/>
                <w:color w:val="auto"/>
              </w:rPr>
            </w:pPr>
          </w:p>
        </w:tc>
      </w:tr>
      <w:tr>
        <w:trPr>
          <w:trHeight w:val="20"/>
        </w:trPr>
        <w:tc>
          <w:tcPr>
            <w:tcW w:w="59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37"/>
        </w:trPr>
        <w:tc>
          <w:tcPr>
            <w:tcW w:w="5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Net income (loss) per share, basic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9"/>
                <w:szCs w:val="19"/>
                <w:color w:val="auto"/>
              </w:rPr>
            </w:pPr>
          </w:p>
        </w:tc>
      </w:tr>
      <w:tr>
        <w:trPr>
          <w:trHeight w:val="20"/>
        </w:trPr>
        <w:tc>
          <w:tcPr>
            <w:tcW w:w="59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48"/>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 per share, diluted</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7"/>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4"/>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5"/>
              </w:rPr>
              <w:t>Weighted average shares used to compute basic net income (loss) per share</w:t>
            </w: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62,717</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60,424</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62,583</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60,082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04"/>
        </w:trPr>
        <w:tc>
          <w:tcPr>
            <w:tcW w:w="5900" w:type="dxa"/>
            <w:vAlign w:val="bottom"/>
          </w:tcPr>
          <w:p>
            <w:pPr>
              <w:ind w:left="20"/>
              <w:spacing w:after="0" w:line="203" w:lineRule="exact"/>
              <w:rPr>
                <w:sz w:val="20"/>
                <w:szCs w:val="20"/>
                <w:color w:val="auto"/>
              </w:rPr>
            </w:pPr>
            <w:r>
              <w:rPr>
                <w:rFonts w:ascii="Arial" w:cs="Arial" w:eastAsia="Arial" w:hAnsi="Arial"/>
                <w:sz w:val="18"/>
                <w:szCs w:val="18"/>
                <w:color w:val="auto"/>
                <w:w w:val="93"/>
              </w:rPr>
              <w:t>Weighted average shares used to compute diluted net income (loss) per share</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65,663</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60,424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62,583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60,082</w:t>
            </w:r>
          </w:p>
        </w:tc>
        <w:tc>
          <w:tcPr>
            <w:tcW w:w="100" w:type="dxa"/>
            <w:vAlign w:val="bottom"/>
          </w:tcPr>
          <w:p>
            <w:pPr>
              <w:spacing w:after="0"/>
              <w:rPr>
                <w:sz w:val="17"/>
                <w:szCs w:val="17"/>
                <w:color w:val="auto"/>
              </w:rPr>
            </w:pPr>
          </w:p>
        </w:tc>
      </w:tr>
      <w:tr>
        <w:trPr>
          <w:trHeight w:val="20"/>
        </w:trPr>
        <w:tc>
          <w:tcPr>
            <w:tcW w:w="5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June 30,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82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82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4"/>
                <w:szCs w:val="4"/>
                <w:color w:val="auto"/>
              </w:rPr>
            </w:pPr>
          </w:p>
        </w:tc>
        <w:tc>
          <w:tcPr>
            <w:tcW w:w="138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1180" w:type="dxa"/>
            <w:vAlign w:val="bottom"/>
            <w:gridSpan w:val="2"/>
            <w:vMerge w:val="restart"/>
          </w:tcPr>
          <w:p>
            <w:pPr>
              <w:jc w:val="center"/>
              <w:ind w:right="280"/>
              <w:spacing w:after="0" w:line="122"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4"/>
                <w:szCs w:val="4"/>
                <w:color w:val="auto"/>
              </w:rPr>
            </w:pPr>
          </w:p>
        </w:tc>
        <w:tc>
          <w:tcPr>
            <w:tcW w:w="1160" w:type="dxa"/>
            <w:vAlign w:val="bottom"/>
            <w:vMerge w:val="restart"/>
          </w:tcPr>
          <w:p>
            <w:pPr>
              <w:jc w:val="center"/>
              <w:ind w:right="128"/>
              <w:spacing w:after="0" w:line="12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48"/>
        </w:trPr>
        <w:tc>
          <w:tcPr>
            <w:tcW w:w="3820" w:type="dxa"/>
            <w:vAlign w:val="bottom"/>
          </w:tcPr>
          <w:p>
            <w:pPr>
              <w:spacing w:after="0"/>
              <w:rPr>
                <w:sz w:val="4"/>
                <w:szCs w:val="4"/>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4"/>
        </w:trPr>
        <w:tc>
          <w:tcPr>
            <w:tcW w:w="38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March 31, 2021</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62,571</w:t>
            </w:r>
          </w:p>
        </w:tc>
        <w:tc>
          <w:tcPr>
            <w:tcW w:w="100" w:type="dxa"/>
            <w:vAlign w:val="bottom"/>
            <w:tcBorders>
              <w:top w:val="single" w:sz="8" w:color="CFF0FC"/>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jc w:val="right"/>
              <w:ind w:right="5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63</w:t>
            </w:r>
          </w:p>
        </w:tc>
        <w:tc>
          <w:tcPr>
            <w:tcW w:w="1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968,450</w:t>
            </w: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(655,205)</w:t>
            </w:r>
          </w:p>
        </w:tc>
        <w:tc>
          <w:tcPr>
            <w:tcW w:w="1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313,414</w:t>
            </w:r>
          </w:p>
        </w:tc>
        <w:tc>
          <w:tcPr>
            <w:tcW w:w="0" w:type="dxa"/>
            <w:vAlign w:val="bottom"/>
          </w:tcPr>
          <w:p>
            <w:pPr>
              <w:spacing w:after="0"/>
              <w:rPr>
                <w:sz w:val="1"/>
                <w:szCs w:val="1"/>
                <w:color w:val="auto"/>
              </w:rPr>
            </w:pPr>
          </w:p>
        </w:tc>
      </w:tr>
      <w:tr>
        <w:trPr>
          <w:trHeight w:val="186"/>
        </w:trPr>
        <w:tc>
          <w:tcPr>
            <w:tcW w:w="382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8,172</w:t>
            </w:r>
          </w:p>
        </w:tc>
        <w:tc>
          <w:tcPr>
            <w:tcW w:w="0" w:type="dxa"/>
            <w:vAlign w:val="bottom"/>
          </w:tcPr>
          <w:p>
            <w:pPr>
              <w:spacing w:after="0"/>
              <w:rPr>
                <w:sz w:val="1"/>
                <w:szCs w:val="1"/>
                <w:color w:val="auto"/>
              </w:rPr>
            </w:pPr>
          </w:p>
        </w:tc>
      </w:tr>
      <w:tr>
        <w:trPr>
          <w:trHeight w:val="138"/>
        </w:trPr>
        <w:tc>
          <w:tcPr>
            <w:tcW w:w="3820" w:type="dxa"/>
            <w:vAlign w:val="bottom"/>
            <w:shd w:val="clear" w:color="auto" w:fill="CFF0FC"/>
          </w:tcPr>
          <w:p>
            <w:pPr>
              <w:ind w:left="180"/>
              <w:spacing w:after="0" w:line="139" w:lineRule="exact"/>
              <w:rPr>
                <w:sz w:val="20"/>
                <w:szCs w:val="20"/>
                <w:color w:val="auto"/>
              </w:rPr>
            </w:pPr>
            <w:r>
              <w:rPr>
                <w:rFonts w:ascii="Arial" w:cs="Arial" w:eastAsia="Arial" w:hAnsi="Arial"/>
                <w:sz w:val="14"/>
                <w:szCs w:val="14"/>
                <w:color w:val="auto"/>
              </w:rPr>
              <w:t>Vesting of restricted stock units, net of shares withheld for</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(867)</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11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taxes</w:t>
            </w:r>
          </w:p>
        </w:tc>
        <w:tc>
          <w:tcPr>
            <w:tcW w:w="9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tcPr>
          <w:p>
            <w:pPr>
              <w:ind w:left="180"/>
              <w:spacing w:after="0"/>
              <w:rPr>
                <w:sz w:val="20"/>
                <w:szCs w:val="20"/>
                <w:color w:val="auto"/>
              </w:rPr>
            </w:pPr>
            <w:r>
              <w:rPr>
                <w:rFonts w:ascii="Arial" w:cs="Arial" w:eastAsia="Arial" w:hAnsi="Arial"/>
                <w:sz w:val="14"/>
                <w:szCs w:val="14"/>
                <w:color w:val="auto"/>
                <w:w w:val="93"/>
              </w:rPr>
              <w:t>Issuance of common stock for Employee Stock Purchase Plan</w:t>
            </w:r>
          </w:p>
        </w:tc>
        <w:tc>
          <w:tcPr>
            <w:tcW w:w="9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6,317</w:t>
            </w:r>
          </w:p>
        </w:tc>
        <w:tc>
          <w:tcPr>
            <w:tcW w:w="0" w:type="dxa"/>
            <w:vAlign w:val="bottom"/>
          </w:tcPr>
          <w:p>
            <w:pPr>
              <w:spacing w:after="0"/>
              <w:rPr>
                <w:sz w:val="1"/>
                <w:szCs w:val="1"/>
                <w:color w:val="auto"/>
              </w:rPr>
            </w:pPr>
          </w:p>
        </w:tc>
      </w:tr>
      <w:tr>
        <w:trPr>
          <w:trHeight w:val="192"/>
        </w:trPr>
        <w:tc>
          <w:tcPr>
            <w:tcW w:w="38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15,118</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15,118</w:t>
            </w:r>
          </w:p>
        </w:tc>
        <w:tc>
          <w:tcPr>
            <w:tcW w:w="0" w:type="dxa"/>
            <w:vAlign w:val="bottom"/>
          </w:tcPr>
          <w:p>
            <w:pPr>
              <w:spacing w:after="0"/>
              <w:rPr>
                <w:sz w:val="1"/>
                <w:szCs w:val="1"/>
                <w:color w:val="auto"/>
              </w:rPr>
            </w:pPr>
          </w:p>
        </w:tc>
      </w:tr>
      <w:tr>
        <w:trPr>
          <w:trHeight w:val="186"/>
        </w:trPr>
        <w:tc>
          <w:tcPr>
            <w:tcW w:w="3820" w:type="dxa"/>
            <w:vAlign w:val="bottom"/>
          </w:tcPr>
          <w:p>
            <w:pPr>
              <w:ind w:left="180"/>
              <w:spacing w:after="0"/>
              <w:rPr>
                <w:sz w:val="20"/>
                <w:szCs w:val="20"/>
                <w:color w:val="auto"/>
              </w:rPr>
            </w:pPr>
            <w:r>
              <w:rPr>
                <w:rFonts w:ascii="Arial" w:cs="Arial" w:eastAsia="Arial" w:hAnsi="Arial"/>
                <w:sz w:val="14"/>
                <w:szCs w:val="14"/>
                <w:color w:val="auto"/>
              </w:rPr>
              <w:t>Unrealized loss on short-term investments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2"/>
        </w:trPr>
        <w:tc>
          <w:tcPr>
            <w:tcW w:w="38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6"/>
        </w:trPr>
        <w:tc>
          <w:tcPr>
            <w:tcW w:w="38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4,008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4,008</w:t>
            </w:r>
          </w:p>
        </w:tc>
        <w:tc>
          <w:tcPr>
            <w:tcW w:w="0" w:type="dxa"/>
            <w:vAlign w:val="bottom"/>
          </w:tcPr>
          <w:p>
            <w:pPr>
              <w:spacing w:after="0"/>
              <w:rPr>
                <w:sz w:val="1"/>
                <w:szCs w:val="1"/>
                <w:color w:val="auto"/>
              </w:rPr>
            </w:pPr>
          </w:p>
        </w:tc>
      </w:tr>
      <w:tr>
        <w:trPr>
          <w:trHeight w:val="211"/>
        </w:trPr>
        <w:tc>
          <w:tcPr>
            <w:tcW w:w="38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June 30, 2021</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62,952</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ind w:right="5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63</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997,190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(651,197)</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346,085</w:t>
            </w: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June 30, 2021</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84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4"/>
                <w:szCs w:val="4"/>
                <w:color w:val="auto"/>
              </w:rPr>
            </w:pPr>
          </w:p>
        </w:tc>
        <w:tc>
          <w:tcPr>
            <w:tcW w:w="138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116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4"/>
                <w:szCs w:val="4"/>
                <w:color w:val="auto"/>
              </w:rPr>
            </w:pPr>
          </w:p>
        </w:tc>
        <w:tc>
          <w:tcPr>
            <w:tcW w:w="1180" w:type="dxa"/>
            <w:vAlign w:val="bottom"/>
            <w:vMerge w:val="restart"/>
          </w:tcPr>
          <w:p>
            <w:pPr>
              <w:jc w:val="center"/>
              <w:ind w:right="108"/>
              <w:spacing w:after="0" w:line="12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48"/>
        </w:trPr>
        <w:tc>
          <w:tcPr>
            <w:tcW w:w="3740" w:type="dxa"/>
            <w:vAlign w:val="bottom"/>
          </w:tcPr>
          <w:p>
            <w:pPr>
              <w:spacing w:after="0"/>
              <w:rPr>
                <w:sz w:val="4"/>
                <w:szCs w:val="4"/>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37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December 31, 2020</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62,335</w:t>
            </w:r>
          </w:p>
        </w:tc>
        <w:tc>
          <w:tcPr>
            <w:tcW w:w="10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62</w:t>
            </w: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1,025,233</w:t>
            </w: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220</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(659,210)</w:t>
            </w: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366,305</w:t>
            </w:r>
          </w:p>
        </w:tc>
        <w:tc>
          <w:tcPr>
            <w:tcW w:w="0" w:type="dxa"/>
            <w:vAlign w:val="bottom"/>
          </w:tcPr>
          <w:p>
            <w:pPr>
              <w:spacing w:after="0"/>
              <w:rPr>
                <w:sz w:val="1"/>
                <w:szCs w:val="1"/>
                <w:color w:val="auto"/>
              </w:rPr>
            </w:pPr>
          </w:p>
        </w:tc>
      </w:tr>
      <w:tr>
        <w:trPr>
          <w:trHeight w:val="189"/>
        </w:trPr>
        <w:tc>
          <w:tcPr>
            <w:tcW w:w="3740" w:type="dxa"/>
            <w:vAlign w:val="bottom"/>
          </w:tcPr>
          <w:p>
            <w:pPr>
              <w:ind w:left="180"/>
              <w:spacing w:after="0" w:line="189" w:lineRule="exact"/>
              <w:rPr>
                <w:sz w:val="20"/>
                <w:szCs w:val="20"/>
                <w:color w:val="auto"/>
              </w:rPr>
            </w:pPr>
            <w:r>
              <w:rPr>
                <w:rFonts w:ascii="Arial" w:cs="Arial" w:eastAsia="Arial" w:hAnsi="Arial"/>
                <w:sz w:val="14"/>
                <w:szCs w:val="14"/>
                <w:color w:val="auto"/>
                <w:w w:val="94"/>
              </w:rPr>
              <w:t>Effect of change in accounting for convertible senior notes</w:t>
            </w:r>
            <w:r>
              <w:rPr>
                <w:rFonts w:ascii="Arial" w:cs="Arial" w:eastAsia="Arial" w:hAnsi="Arial"/>
                <w:sz w:val="18"/>
                <w:szCs w:val="18"/>
                <w:color w:val="auto"/>
                <w:w w:val="94"/>
                <w:vertAlign w:val="superscript"/>
              </w:rPr>
              <w:t>(1)</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(85,803)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9,049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(76,754)</w:t>
            </w: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Exercise of stock options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11,307</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11,308</w:t>
            </w:r>
          </w:p>
        </w:tc>
        <w:tc>
          <w:tcPr>
            <w:tcW w:w="0" w:type="dxa"/>
            <w:vAlign w:val="bottom"/>
          </w:tcPr>
          <w:p>
            <w:pPr>
              <w:spacing w:after="0"/>
              <w:rPr>
                <w:sz w:val="1"/>
                <w:szCs w:val="1"/>
                <w:color w:val="auto"/>
              </w:rPr>
            </w:pPr>
          </w:p>
        </w:tc>
      </w:tr>
      <w:tr>
        <w:trPr>
          <w:trHeight w:val="135"/>
        </w:trPr>
        <w:tc>
          <w:tcPr>
            <w:tcW w:w="3740" w:type="dxa"/>
            <w:vAlign w:val="bottom"/>
          </w:tcPr>
          <w:p>
            <w:pPr>
              <w:ind w:left="180"/>
              <w:spacing w:after="0" w:line="135" w:lineRule="exact"/>
              <w:rPr>
                <w:sz w:val="20"/>
                <w:szCs w:val="20"/>
                <w:color w:val="auto"/>
              </w:rPr>
            </w:pPr>
            <w:r>
              <w:rPr>
                <w:rFonts w:ascii="Arial" w:cs="Arial" w:eastAsia="Arial" w:hAnsi="Arial"/>
                <w:sz w:val="14"/>
                <w:szCs w:val="14"/>
                <w:color w:val="auto"/>
                <w:w w:val="98"/>
              </w:rPr>
              <w:t>Vesting of restricted stock units, net of shares withheld for</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86"/>
        </w:trPr>
        <w:tc>
          <w:tcPr>
            <w:tcW w:w="3740" w:type="dxa"/>
            <w:vAlign w:val="bottom"/>
          </w:tcPr>
          <w:p>
            <w:pPr>
              <w:ind w:left="180"/>
              <w:spacing w:after="0"/>
              <w:rPr>
                <w:sz w:val="20"/>
                <w:szCs w:val="20"/>
                <w:color w:val="auto"/>
              </w:rPr>
            </w:pPr>
            <w:r>
              <w:rPr>
                <w:rFonts w:ascii="Arial" w:cs="Arial" w:eastAsia="Arial" w:hAnsi="Arial"/>
                <w:sz w:val="14"/>
                <w:szCs w:val="14"/>
                <w:color w:val="auto"/>
              </w:rPr>
              <w:t>taxes</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740" w:type="dxa"/>
            <w:vAlign w:val="bottom"/>
            <w:shd w:val="clear" w:color="auto" w:fill="CFF0FC"/>
          </w:tcPr>
          <w:p>
            <w:pPr>
              <w:ind w:left="180"/>
              <w:spacing w:after="0" w:line="139" w:lineRule="exact"/>
              <w:rPr>
                <w:sz w:val="20"/>
                <w:szCs w:val="20"/>
                <w:color w:val="auto"/>
              </w:rPr>
            </w:pPr>
            <w:r>
              <w:rPr>
                <w:rFonts w:ascii="Arial" w:cs="Arial" w:eastAsia="Arial" w:hAnsi="Arial"/>
                <w:sz w:val="14"/>
                <w:szCs w:val="14"/>
                <w:color w:val="auto"/>
                <w:w w:val="99"/>
              </w:rPr>
              <w:t>Issuance of common stock for Employee Stock Purchase</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6,317</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6,317</w:t>
            </w: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Plan</w:t>
            </w:r>
          </w:p>
        </w:tc>
        <w:tc>
          <w:tcPr>
            <w:tcW w:w="9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3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40" w:type="dxa"/>
            <w:vAlign w:val="bottom"/>
          </w:tcPr>
          <w:p>
            <w:pPr>
              <w:ind w:left="180"/>
              <w:spacing w:after="0"/>
              <w:rPr>
                <w:sz w:val="20"/>
                <w:szCs w:val="20"/>
                <w:color w:val="auto"/>
              </w:rPr>
            </w:pPr>
            <w:r>
              <w:rPr>
                <w:rFonts w:ascii="Arial" w:cs="Arial" w:eastAsia="Arial" w:hAnsi="Arial"/>
                <w:sz w:val="14"/>
                <w:szCs w:val="14"/>
                <w:color w:val="auto"/>
              </w:rPr>
              <w:t>Exercise of common stock warrants</w:t>
            </w:r>
          </w:p>
        </w:tc>
        <w:tc>
          <w:tcPr>
            <w:tcW w:w="98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92"/>
        </w:trPr>
        <w:tc>
          <w:tcPr>
            <w:tcW w:w="3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Fair value of common stock warrants at time of exercise</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12,434</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12,434</w:t>
            </w:r>
          </w:p>
        </w:tc>
        <w:tc>
          <w:tcPr>
            <w:tcW w:w="0" w:type="dxa"/>
            <w:vAlign w:val="bottom"/>
          </w:tcPr>
          <w:p>
            <w:pPr>
              <w:spacing w:after="0"/>
              <w:rPr>
                <w:sz w:val="1"/>
                <w:szCs w:val="1"/>
                <w:color w:val="auto"/>
              </w:rPr>
            </w:pPr>
          </w:p>
        </w:tc>
      </w:tr>
      <w:tr>
        <w:trPr>
          <w:trHeight w:val="186"/>
        </w:trPr>
        <w:tc>
          <w:tcPr>
            <w:tcW w:w="37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28,132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28,132</w:t>
            </w:r>
          </w:p>
        </w:tc>
        <w:tc>
          <w:tcPr>
            <w:tcW w:w="0" w:type="dxa"/>
            <w:vAlign w:val="bottom"/>
          </w:tcPr>
          <w:p>
            <w:pPr>
              <w:spacing w:after="0"/>
              <w:rPr>
                <w:sz w:val="1"/>
                <w:szCs w:val="1"/>
                <w:color w:val="auto"/>
              </w:rPr>
            </w:pPr>
          </w:p>
        </w:tc>
      </w:tr>
      <w:tr>
        <w:trPr>
          <w:trHeight w:val="192"/>
        </w:trPr>
        <w:tc>
          <w:tcPr>
            <w:tcW w:w="3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Unrealized loss on short-term investments</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86"/>
        </w:trPr>
        <w:tc>
          <w:tcPr>
            <w:tcW w:w="374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loss</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(1,036)</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186"/>
        </w:trPr>
        <w:tc>
          <w:tcPr>
            <w:tcW w:w="3740" w:type="dxa"/>
            <w:vAlign w:val="bottom"/>
          </w:tcPr>
          <w:p>
            <w:pPr>
              <w:ind w:left="20"/>
              <w:spacing w:after="0"/>
              <w:rPr>
                <w:sz w:val="20"/>
                <w:szCs w:val="20"/>
                <w:color w:val="auto"/>
              </w:rPr>
            </w:pPr>
            <w:r>
              <w:rPr>
                <w:rFonts w:ascii="Arial" w:cs="Arial" w:eastAsia="Arial" w:hAnsi="Arial"/>
                <w:sz w:val="14"/>
                <w:szCs w:val="14"/>
                <w:color w:val="auto"/>
              </w:rPr>
              <w:t>Balance at June 30,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62,952</w:t>
            </w:r>
          </w:p>
        </w:tc>
        <w:tc>
          <w:tcPr>
            <w:tcW w:w="100" w:type="dxa"/>
            <w:vAlign w:val="bottom"/>
          </w:tcPr>
          <w:p>
            <w:pPr>
              <w:spacing w:after="0"/>
              <w:rPr>
                <w:sz w:val="16"/>
                <w:szCs w:val="16"/>
                <w:color w:val="auto"/>
              </w:rPr>
            </w:pPr>
          </w:p>
        </w:tc>
        <w:tc>
          <w:tcPr>
            <w:tcW w:w="76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63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997,190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(651,197)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346,085</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60" w:right="480" w:hanging="252"/>
        <w:spacing w:after="0" w:line="275" w:lineRule="auto"/>
        <w:tabs>
          <w:tab w:leader="none" w:pos="246"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The Company adopted ASU No. 2020-06, </w:t>
      </w:r>
      <w:r>
        <w:rPr>
          <w:rFonts w:ascii="Arial" w:cs="Arial" w:eastAsia="Arial" w:hAnsi="Arial"/>
          <w:sz w:val="16"/>
          <w:szCs w:val="16"/>
          <w:i w:val="1"/>
          <w:iCs w:val="1"/>
          <w:color w:val="auto"/>
        </w:rPr>
        <w:t>Accounting for Convertible Instruments and Contracts in an Entity’s Own Equity</w:t>
      </w:r>
      <w:r>
        <w:rPr>
          <w:rFonts w:ascii="Arial" w:cs="Arial" w:eastAsia="Arial" w:hAnsi="Arial"/>
          <w:sz w:val="16"/>
          <w:szCs w:val="16"/>
          <w:color w:val="auto"/>
        </w:rPr>
        <w:t xml:space="preserve"> effective January 1, 2021 (see Note 2, “Summary of Significant Accounting Policies”).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FFFFFF"/>
        </w:rPr>
        <w:t>:AccountingStandardsUpdate202006Member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June 30,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82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2"/>
                <w:szCs w:val="2"/>
                <w:color w:val="auto"/>
              </w:rPr>
            </w:pPr>
          </w:p>
        </w:tc>
        <w:tc>
          <w:tcPr>
            <w:tcW w:w="136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2"/>
                <w:szCs w:val="2"/>
                <w:color w:val="auto"/>
              </w:rPr>
            </w:pPr>
          </w:p>
        </w:tc>
        <w:tc>
          <w:tcPr>
            <w:tcW w:w="118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
                <w:szCs w:val="2"/>
                <w:color w:val="auto"/>
              </w:rPr>
            </w:pPr>
          </w:p>
        </w:tc>
        <w:tc>
          <w:tcPr>
            <w:tcW w:w="1160" w:type="dxa"/>
            <w:vAlign w:val="bottom"/>
            <w:vMerge w:val="restart"/>
          </w:tcPr>
          <w:p>
            <w:pPr>
              <w:jc w:val="center"/>
              <w:ind w:right="88"/>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88"/>
        </w:trPr>
        <w:tc>
          <w:tcPr>
            <w:tcW w:w="3820" w:type="dxa"/>
            <w:vAlign w:val="bottom"/>
          </w:tcPr>
          <w:p>
            <w:pPr>
              <w:spacing w:after="0"/>
              <w:rPr>
                <w:sz w:val="7"/>
                <w:szCs w:val="7"/>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4"/>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60,071</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60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847,056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(639,695)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207,176</w:t>
            </w:r>
          </w:p>
        </w:tc>
        <w:tc>
          <w:tcPr>
            <w:tcW w:w="0" w:type="dxa"/>
            <w:vAlign w:val="bottom"/>
          </w:tcPr>
          <w:p>
            <w:pPr>
              <w:spacing w:after="0"/>
              <w:rPr>
                <w:sz w:val="1"/>
                <w:szCs w:val="1"/>
                <w:color w:val="auto"/>
              </w:rPr>
            </w:pPr>
          </w:p>
        </w:tc>
      </w:tr>
      <w:tr>
        <w:trPr>
          <w:trHeight w:val="186"/>
        </w:trPr>
        <w:tc>
          <w:tcPr>
            <w:tcW w:w="382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12,255</w:t>
            </w:r>
          </w:p>
        </w:tc>
        <w:tc>
          <w:tcPr>
            <w:tcW w:w="0" w:type="dxa"/>
            <w:vAlign w:val="bottom"/>
          </w:tcPr>
          <w:p>
            <w:pPr>
              <w:spacing w:after="0"/>
              <w:rPr>
                <w:sz w:val="1"/>
                <w:szCs w:val="1"/>
                <w:color w:val="auto"/>
              </w:rPr>
            </w:pPr>
          </w:p>
        </w:tc>
      </w:tr>
      <w:tr>
        <w:trPr>
          <w:trHeight w:val="192"/>
        </w:trPr>
        <w:tc>
          <w:tcPr>
            <w:tcW w:w="38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Issuance of common stock for Employee Stock Purchase Plan</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4,916</w:t>
            </w:r>
          </w:p>
        </w:tc>
        <w:tc>
          <w:tcPr>
            <w:tcW w:w="0" w:type="dxa"/>
            <w:vAlign w:val="bottom"/>
          </w:tcPr>
          <w:p>
            <w:pPr>
              <w:spacing w:after="0"/>
              <w:rPr>
                <w:sz w:val="1"/>
                <w:szCs w:val="1"/>
                <w:color w:val="auto"/>
              </w:rPr>
            </w:pPr>
          </w:p>
        </w:tc>
      </w:tr>
      <w:tr>
        <w:trPr>
          <w:trHeight w:val="186"/>
        </w:trPr>
        <w:tc>
          <w:tcPr>
            <w:tcW w:w="3820" w:type="dxa"/>
            <w:vAlign w:val="bottom"/>
          </w:tcPr>
          <w:p>
            <w:pPr>
              <w:ind w:left="180"/>
              <w:spacing w:after="0"/>
              <w:rPr>
                <w:sz w:val="20"/>
                <w:szCs w:val="20"/>
                <w:color w:val="auto"/>
              </w:rPr>
            </w:pPr>
            <w:r>
              <w:rPr>
                <w:rFonts w:ascii="Arial" w:cs="Arial" w:eastAsia="Arial" w:hAnsi="Arial"/>
                <w:sz w:val="14"/>
                <w:szCs w:val="14"/>
                <w:color w:val="auto"/>
              </w:rPr>
              <w:t>Exercise of common stock warrants</w:t>
            </w:r>
          </w:p>
        </w:tc>
        <w:tc>
          <w:tcPr>
            <w:tcW w:w="9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38"/>
        </w:trPr>
        <w:tc>
          <w:tcPr>
            <w:tcW w:w="3820" w:type="dxa"/>
            <w:vAlign w:val="bottom"/>
            <w:shd w:val="clear" w:color="auto" w:fill="CCEEFF"/>
          </w:tcPr>
          <w:p>
            <w:pPr>
              <w:ind w:left="180"/>
              <w:spacing w:after="0" w:line="139" w:lineRule="exact"/>
              <w:rPr>
                <w:sz w:val="20"/>
                <w:szCs w:val="20"/>
                <w:color w:val="auto"/>
              </w:rPr>
            </w:pPr>
            <w:r>
              <w:rPr>
                <w:rFonts w:ascii="Arial" w:cs="Arial" w:eastAsia="Arial" w:hAnsi="Arial"/>
                <w:sz w:val="14"/>
                <w:szCs w:val="14"/>
                <w:color w:val="auto"/>
                <w:w w:val="94"/>
              </w:rPr>
              <w:t>Equity component of convertible senior notes issuance, net of</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85,803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85,803</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costs</w:t>
            </w:r>
          </w:p>
        </w:tc>
        <w:tc>
          <w:tcPr>
            <w:tcW w:w="1080" w:type="dxa"/>
            <w:vAlign w:val="bottom"/>
            <w:gridSpan w:val="2"/>
            <w:vMerge w:val="continue"/>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20" w:type="dxa"/>
            <w:vAlign w:val="bottom"/>
          </w:tcPr>
          <w:p>
            <w:pPr>
              <w:ind w:left="180"/>
              <w:spacing w:after="0" w:line="135" w:lineRule="exact"/>
              <w:rPr>
                <w:sz w:val="20"/>
                <w:szCs w:val="20"/>
                <w:color w:val="auto"/>
              </w:rPr>
            </w:pPr>
            <w:r>
              <w:rPr>
                <w:rFonts w:ascii="Arial" w:cs="Arial" w:eastAsia="Arial" w:hAnsi="Arial"/>
                <w:sz w:val="14"/>
                <w:szCs w:val="14"/>
                <w:color w:val="auto"/>
                <w:w w:val="99"/>
              </w:rPr>
              <w:t>Payment for capped call transactions related to convertible</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1"/>
                <w:szCs w:val="11"/>
                <w:color w:val="auto"/>
              </w:rPr>
            </w:pPr>
          </w:p>
        </w:tc>
        <w:tc>
          <w:tcPr>
            <w:tcW w:w="3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(34,069)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80" w:type="dxa"/>
            <w:vAlign w:val="bottom"/>
            <w:gridSpan w:val="2"/>
            <w:vMerge w:val="restart"/>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(34,069)</w:t>
            </w:r>
          </w:p>
        </w:tc>
        <w:tc>
          <w:tcPr>
            <w:tcW w:w="0" w:type="dxa"/>
            <w:vAlign w:val="bottom"/>
          </w:tcPr>
          <w:p>
            <w:pPr>
              <w:spacing w:after="0"/>
              <w:rPr>
                <w:sz w:val="1"/>
                <w:szCs w:val="1"/>
                <w:color w:val="auto"/>
              </w:rPr>
            </w:pPr>
          </w:p>
        </w:tc>
      </w:tr>
      <w:tr>
        <w:trPr>
          <w:trHeight w:val="186"/>
        </w:trPr>
        <w:tc>
          <w:tcPr>
            <w:tcW w:w="3820" w:type="dxa"/>
            <w:vAlign w:val="bottom"/>
          </w:tcPr>
          <w:p>
            <w:pPr>
              <w:ind w:left="180"/>
              <w:spacing w:after="0"/>
              <w:rPr>
                <w:sz w:val="20"/>
                <w:szCs w:val="20"/>
                <w:color w:val="auto"/>
              </w:rPr>
            </w:pPr>
            <w:r>
              <w:rPr>
                <w:rFonts w:ascii="Arial" w:cs="Arial" w:eastAsia="Arial" w:hAnsi="Arial"/>
                <w:sz w:val="14"/>
                <w:szCs w:val="14"/>
                <w:color w:val="auto"/>
              </w:rPr>
              <w:t>senior notes</w:t>
            </w:r>
          </w:p>
        </w:tc>
        <w:tc>
          <w:tcPr>
            <w:tcW w:w="108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16,413</w:t>
            </w:r>
          </w:p>
        </w:tc>
        <w:tc>
          <w:tcPr>
            <w:tcW w:w="0" w:type="dxa"/>
            <w:vAlign w:val="bottom"/>
          </w:tcPr>
          <w:p>
            <w:pPr>
              <w:spacing w:after="0"/>
              <w:rPr>
                <w:sz w:val="1"/>
                <w:szCs w:val="1"/>
                <w:color w:val="auto"/>
              </w:rPr>
            </w:pPr>
          </w:p>
        </w:tc>
      </w:tr>
      <w:tr>
        <w:trPr>
          <w:trHeight w:val="186"/>
        </w:trPr>
        <w:tc>
          <w:tcPr>
            <w:tcW w:w="3820" w:type="dxa"/>
            <w:vAlign w:val="bottom"/>
          </w:tcPr>
          <w:p>
            <w:pPr>
              <w:ind w:left="180"/>
              <w:spacing w:after="0"/>
              <w:rPr>
                <w:sz w:val="20"/>
                <w:szCs w:val="20"/>
                <w:color w:val="auto"/>
              </w:rPr>
            </w:pPr>
            <w:r>
              <w:rPr>
                <w:rFonts w:ascii="Arial" w:cs="Arial" w:eastAsia="Arial" w:hAnsi="Arial"/>
                <w:sz w:val="14"/>
                <w:szCs w:val="14"/>
                <w:color w:val="auto"/>
              </w:rPr>
              <w:t>Unrealized gain on short-term investments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92"/>
        </w:trPr>
        <w:tc>
          <w:tcPr>
            <w:tcW w:w="3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86"/>
        </w:trPr>
        <w:tc>
          <w:tcPr>
            <w:tcW w:w="382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(27,107)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(27,107)</w:t>
            </w:r>
          </w:p>
        </w:tc>
        <w:tc>
          <w:tcPr>
            <w:tcW w:w="0" w:type="dxa"/>
            <w:vAlign w:val="bottom"/>
          </w:tcPr>
          <w:p>
            <w:pPr>
              <w:spacing w:after="0"/>
              <w:rPr>
                <w:sz w:val="1"/>
                <w:szCs w:val="1"/>
                <w:color w:val="auto"/>
              </w:rPr>
            </w:pPr>
          </w:p>
        </w:tc>
      </w:tr>
      <w:tr>
        <w:trPr>
          <w:trHeight w:val="211"/>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2020</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61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934,402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(666,802)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267,704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June 30, 2020</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84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8"/>
        </w:trPr>
        <w:tc>
          <w:tcPr>
            <w:tcW w:w="374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vMerge w:val="restart"/>
          </w:tcPr>
          <w:p>
            <w:pPr>
              <w:jc w:val="center"/>
              <w:ind w:right="280"/>
              <w:spacing w:after="0" w:line="142"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line="20" w:lineRule="exact"/>
              <w:rPr>
                <w:sz w:val="1"/>
                <w:szCs w:val="1"/>
                <w:color w:val="auto"/>
              </w:rPr>
            </w:pPr>
          </w:p>
        </w:tc>
        <w:tc>
          <w:tcPr>
            <w:tcW w:w="1380" w:type="dxa"/>
            <w:vAlign w:val="bottom"/>
            <w:gridSpan w:val="2"/>
            <w:vMerge w:val="restart"/>
          </w:tcPr>
          <w:p>
            <w:pPr>
              <w:jc w:val="center"/>
              <w:ind w:right="260"/>
              <w:spacing w:after="0" w:line="142"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line="20" w:lineRule="exact"/>
              <w:rPr>
                <w:sz w:val="1"/>
                <w:szCs w:val="1"/>
                <w:color w:val="auto"/>
              </w:rPr>
            </w:pPr>
          </w:p>
        </w:tc>
        <w:tc>
          <w:tcPr>
            <w:tcW w:w="1160" w:type="dxa"/>
            <w:vAlign w:val="bottom"/>
            <w:gridSpan w:val="2"/>
            <w:vMerge w:val="restart"/>
          </w:tcPr>
          <w:p>
            <w:pPr>
              <w:ind w:left="40"/>
              <w:spacing w:after="0" w:line="142"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line="20" w:lineRule="exact"/>
              <w:rPr>
                <w:sz w:val="1"/>
                <w:szCs w:val="1"/>
                <w:color w:val="auto"/>
              </w:rPr>
            </w:pPr>
          </w:p>
        </w:tc>
        <w:tc>
          <w:tcPr>
            <w:tcW w:w="1160" w:type="dxa"/>
            <w:vAlign w:val="bottom"/>
            <w:vMerge w:val="restart"/>
          </w:tcPr>
          <w:p>
            <w:pPr>
              <w:jc w:val="center"/>
              <w:ind w:right="108"/>
              <w:spacing w:after="0" w:line="142"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02"/>
        </w:trPr>
        <w:tc>
          <w:tcPr>
            <w:tcW w:w="3740" w:type="dxa"/>
            <w:vAlign w:val="bottom"/>
          </w:tcPr>
          <w:p>
            <w:pPr>
              <w:spacing w:after="0"/>
              <w:rPr>
                <w:sz w:val="8"/>
                <w:szCs w:val="8"/>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5"/>
                <w:szCs w:val="15"/>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7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December 31, 2019</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59,396</w:t>
            </w:r>
          </w:p>
        </w:tc>
        <w:tc>
          <w:tcPr>
            <w:tcW w:w="1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59</w:t>
            </w: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819,626</w:t>
            </w: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122</w:t>
            </w: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(624,828)</w:t>
            </w: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194,979</w:t>
            </w:r>
          </w:p>
        </w:tc>
        <w:tc>
          <w:tcPr>
            <w:tcW w:w="0" w:type="dxa"/>
            <w:vAlign w:val="bottom"/>
          </w:tcPr>
          <w:p>
            <w:pPr>
              <w:spacing w:after="0"/>
              <w:rPr>
                <w:sz w:val="1"/>
                <w:szCs w:val="1"/>
                <w:color w:val="auto"/>
              </w:rPr>
            </w:pPr>
          </w:p>
        </w:tc>
      </w:tr>
      <w:tr>
        <w:trPr>
          <w:trHeight w:val="210"/>
        </w:trPr>
        <w:tc>
          <w:tcPr>
            <w:tcW w:w="374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4"/>
                <w:szCs w:val="14"/>
                <w:color w:val="auto"/>
              </w:rPr>
              <w:t>1,126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23,728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23,730</w:t>
            </w:r>
          </w:p>
        </w:tc>
        <w:tc>
          <w:tcPr>
            <w:tcW w:w="0" w:type="dxa"/>
            <w:vAlign w:val="bottom"/>
          </w:tcPr>
          <w:p>
            <w:pPr>
              <w:spacing w:after="0"/>
              <w:rPr>
                <w:sz w:val="1"/>
                <w:szCs w:val="1"/>
                <w:color w:val="auto"/>
              </w:rPr>
            </w:pPr>
          </w:p>
        </w:tc>
      </w:tr>
      <w:tr>
        <w:trPr>
          <w:trHeight w:val="176"/>
        </w:trPr>
        <w:tc>
          <w:tcPr>
            <w:tcW w:w="3740" w:type="dxa"/>
            <w:vAlign w:val="bottom"/>
            <w:shd w:val="clear" w:color="auto" w:fill="CFF0FC"/>
          </w:tcPr>
          <w:p>
            <w:pPr>
              <w:ind w:left="180"/>
              <w:spacing w:after="0"/>
              <w:rPr>
                <w:sz w:val="20"/>
                <w:szCs w:val="20"/>
                <w:color w:val="auto"/>
              </w:rPr>
            </w:pPr>
            <w:r>
              <w:rPr>
                <w:rFonts w:ascii="Arial" w:cs="Arial" w:eastAsia="Arial" w:hAnsi="Arial"/>
                <w:sz w:val="14"/>
                <w:szCs w:val="14"/>
                <w:color w:val="auto"/>
                <w:w w:val="99"/>
              </w:rPr>
              <w:t>Issuance of common stock for Employee Stock Purchase</w:t>
            </w: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Plan</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4,916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4,916</w:t>
            </w:r>
          </w:p>
        </w:tc>
        <w:tc>
          <w:tcPr>
            <w:tcW w:w="0" w:type="dxa"/>
            <w:vAlign w:val="bottom"/>
          </w:tcPr>
          <w:p>
            <w:pPr>
              <w:spacing w:after="0"/>
              <w:rPr>
                <w:sz w:val="1"/>
                <w:szCs w:val="1"/>
                <w:color w:val="auto"/>
              </w:rPr>
            </w:pPr>
          </w:p>
        </w:tc>
      </w:tr>
      <w:tr>
        <w:trPr>
          <w:trHeight w:val="210"/>
        </w:trPr>
        <w:tc>
          <w:tcPr>
            <w:tcW w:w="3740" w:type="dxa"/>
            <w:vAlign w:val="bottom"/>
          </w:tcPr>
          <w:p>
            <w:pPr>
              <w:ind w:left="180"/>
              <w:spacing w:after="0"/>
              <w:rPr>
                <w:sz w:val="20"/>
                <w:szCs w:val="20"/>
                <w:color w:val="auto"/>
              </w:rPr>
            </w:pPr>
            <w:r>
              <w:rPr>
                <w:rFonts w:ascii="Arial" w:cs="Arial" w:eastAsia="Arial" w:hAnsi="Arial"/>
                <w:sz w:val="14"/>
                <w:szCs w:val="14"/>
                <w:color w:val="auto"/>
              </w:rPr>
              <w:t>Exercise of common stock warrants</w:t>
            </w:r>
          </w:p>
        </w:tc>
        <w:tc>
          <w:tcPr>
            <w:tcW w:w="9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2,036</w:t>
            </w:r>
          </w:p>
        </w:tc>
        <w:tc>
          <w:tcPr>
            <w:tcW w:w="0" w:type="dxa"/>
            <w:vAlign w:val="bottom"/>
          </w:tcPr>
          <w:p>
            <w:pPr>
              <w:spacing w:after="0"/>
              <w:rPr>
                <w:sz w:val="1"/>
                <w:szCs w:val="1"/>
                <w:color w:val="auto"/>
              </w:rPr>
            </w:pPr>
          </w:p>
        </w:tc>
      </w:tr>
      <w:tr>
        <w:trPr>
          <w:trHeight w:val="222"/>
        </w:trPr>
        <w:tc>
          <w:tcPr>
            <w:tcW w:w="3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Fair value of common stock warrants at time of exercise</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35"/>
        </w:trPr>
        <w:tc>
          <w:tcPr>
            <w:tcW w:w="3740" w:type="dxa"/>
            <w:vAlign w:val="bottom"/>
          </w:tcPr>
          <w:p>
            <w:pPr>
              <w:ind w:left="180"/>
              <w:spacing w:after="0" w:line="135" w:lineRule="exact"/>
              <w:rPr>
                <w:sz w:val="20"/>
                <w:szCs w:val="20"/>
                <w:color w:val="auto"/>
              </w:rPr>
            </w:pPr>
            <w:r>
              <w:rPr>
                <w:rFonts w:ascii="Arial" w:cs="Arial" w:eastAsia="Arial" w:hAnsi="Arial"/>
                <w:sz w:val="14"/>
                <w:szCs w:val="14"/>
                <w:color w:val="auto"/>
                <w:w w:val="92"/>
              </w:rPr>
              <w:t>Equity component of convertible senior notes issuance, net of</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1"/>
                <w:szCs w:val="11"/>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85,803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85,803</w:t>
            </w:r>
          </w:p>
        </w:tc>
        <w:tc>
          <w:tcPr>
            <w:tcW w:w="0" w:type="dxa"/>
            <w:vAlign w:val="bottom"/>
          </w:tcPr>
          <w:p>
            <w:pPr>
              <w:spacing w:after="0"/>
              <w:rPr>
                <w:sz w:val="1"/>
                <w:szCs w:val="1"/>
                <w:color w:val="auto"/>
              </w:rPr>
            </w:pPr>
          </w:p>
        </w:tc>
      </w:tr>
      <w:tr>
        <w:trPr>
          <w:trHeight w:val="186"/>
        </w:trPr>
        <w:tc>
          <w:tcPr>
            <w:tcW w:w="3740" w:type="dxa"/>
            <w:vAlign w:val="bottom"/>
          </w:tcPr>
          <w:p>
            <w:pPr>
              <w:ind w:left="180"/>
              <w:spacing w:after="0"/>
              <w:rPr>
                <w:sz w:val="20"/>
                <w:szCs w:val="20"/>
                <w:color w:val="auto"/>
              </w:rPr>
            </w:pPr>
            <w:r>
              <w:rPr>
                <w:rFonts w:ascii="Arial" w:cs="Arial" w:eastAsia="Arial" w:hAnsi="Arial"/>
                <w:sz w:val="14"/>
                <w:szCs w:val="14"/>
                <w:color w:val="auto"/>
              </w:rPr>
              <w:t>issuance costs</w:t>
            </w:r>
          </w:p>
        </w:tc>
        <w:tc>
          <w:tcPr>
            <w:tcW w:w="108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740" w:type="dxa"/>
            <w:vAlign w:val="bottom"/>
            <w:shd w:val="clear" w:color="auto" w:fill="CFF0FC"/>
          </w:tcPr>
          <w:p>
            <w:pPr>
              <w:ind w:left="180"/>
              <w:spacing w:after="0" w:line="139" w:lineRule="exact"/>
              <w:rPr>
                <w:sz w:val="20"/>
                <w:szCs w:val="20"/>
                <w:color w:val="auto"/>
              </w:rPr>
            </w:pPr>
            <w:r>
              <w:rPr>
                <w:rFonts w:ascii="Arial" w:cs="Arial" w:eastAsia="Arial" w:hAnsi="Arial"/>
                <w:sz w:val="14"/>
                <w:szCs w:val="14"/>
                <w:color w:val="auto"/>
                <w:w w:val="97"/>
              </w:rPr>
              <w:t>Payment for capped call transactions related to convertible</w:t>
            </w:r>
          </w:p>
        </w:tc>
        <w:tc>
          <w:tcPr>
            <w:tcW w:w="10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2"/>
                <w:szCs w:val="12"/>
                <w:color w:val="auto"/>
              </w:rPr>
            </w:pPr>
          </w:p>
        </w:tc>
        <w:tc>
          <w:tcPr>
            <w:tcW w:w="3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(34,069)</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(34,069)</w:t>
            </w: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senior notes</w:t>
            </w:r>
          </w:p>
        </w:tc>
        <w:tc>
          <w:tcPr>
            <w:tcW w:w="1080" w:type="dxa"/>
            <w:vAlign w:val="bottom"/>
            <w:gridSpan w:val="2"/>
            <w:vMerge w:val="continue"/>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3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32,221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32,221</w:t>
            </w:r>
          </w:p>
        </w:tc>
        <w:tc>
          <w:tcPr>
            <w:tcW w:w="0" w:type="dxa"/>
            <w:vAlign w:val="bottom"/>
          </w:tcPr>
          <w:p>
            <w:pPr>
              <w:spacing w:after="0"/>
              <w:rPr>
                <w:sz w:val="1"/>
                <w:szCs w:val="1"/>
                <w:color w:val="auto"/>
              </w:rPr>
            </w:pPr>
          </w:p>
        </w:tc>
      </w:tr>
      <w:tr>
        <w:trPr>
          <w:trHeight w:val="222"/>
        </w:trPr>
        <w:tc>
          <w:tcPr>
            <w:tcW w:w="3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Unrealized gain on short-term investments</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10"/>
        </w:trPr>
        <w:tc>
          <w:tcPr>
            <w:tcW w:w="374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loss</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(41,974)</w:t>
            </w:r>
          </w:p>
        </w:tc>
        <w:tc>
          <w:tcPr>
            <w:tcW w:w="100" w:type="dxa"/>
            <w:vAlign w:val="bottom"/>
            <w:shd w:val="clear" w:color="auto" w:fill="CFF0FC"/>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(41,974)</w:t>
            </w:r>
          </w:p>
        </w:tc>
        <w:tc>
          <w:tcPr>
            <w:tcW w:w="0" w:type="dxa"/>
            <w:vAlign w:val="bottom"/>
          </w:tcPr>
          <w:p>
            <w:pPr>
              <w:spacing w:after="0"/>
              <w:rPr>
                <w:sz w:val="1"/>
                <w:szCs w:val="1"/>
                <w:color w:val="auto"/>
              </w:rPr>
            </w:pPr>
          </w:p>
        </w:tc>
      </w:tr>
      <w:tr>
        <w:trPr>
          <w:trHeight w:val="188"/>
        </w:trPr>
        <w:tc>
          <w:tcPr>
            <w:tcW w:w="3740" w:type="dxa"/>
            <w:vAlign w:val="bottom"/>
          </w:tcPr>
          <w:p>
            <w:pPr>
              <w:ind w:left="20"/>
              <w:spacing w:after="0"/>
              <w:rPr>
                <w:sz w:val="20"/>
                <w:szCs w:val="20"/>
                <w:color w:val="auto"/>
              </w:rPr>
            </w:pPr>
            <w:r>
              <w:rPr>
                <w:rFonts w:ascii="Arial" w:cs="Arial" w:eastAsia="Arial" w:hAnsi="Arial"/>
                <w:sz w:val="14"/>
                <w:szCs w:val="14"/>
                <w:color w:val="auto"/>
              </w:rPr>
              <w:t>Balance at June 30, 2020</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60,787</w:t>
            </w:r>
          </w:p>
        </w:tc>
        <w:tc>
          <w:tcPr>
            <w:tcW w:w="10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61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934,402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(666,802)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267,704</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8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70"/>
        </w:trPr>
        <w:tc>
          <w:tcPr>
            <w:tcW w:w="8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6"/>
        </w:trPr>
        <w:tc>
          <w:tcPr>
            <w:tcW w:w="8440" w:type="dxa"/>
            <w:vAlign w:val="bottom"/>
          </w:tcPr>
          <w:p>
            <w:pPr>
              <w:spacing w:after="0"/>
              <w:rPr>
                <w:sz w:val="20"/>
                <w:szCs w:val="20"/>
                <w:color w:val="auto"/>
              </w:rPr>
            </w:pPr>
            <w:r>
              <w:rPr>
                <w:rFonts w:ascii="Arial" w:cs="Arial" w:eastAsia="Arial" w:hAnsi="Arial"/>
                <w:sz w:val="14"/>
                <w:szCs w:val="14"/>
                <w:color w:val="auto"/>
              </w:rPr>
              <w:t>Net loss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(1,036)</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(41,974)</w:t>
            </w:r>
          </w:p>
        </w:tc>
      </w:tr>
      <w:tr>
        <w:trPr>
          <w:trHeight w:val="192"/>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loss to net cash provided (used) by operating activities: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8440" w:type="dxa"/>
            <w:vAlign w:val="bottom"/>
          </w:tcPr>
          <w:p>
            <w:pPr>
              <w:ind w:left="200"/>
              <w:spacing w:after="0"/>
              <w:rPr>
                <w:sz w:val="20"/>
                <w:szCs w:val="20"/>
                <w:color w:val="auto"/>
              </w:rPr>
            </w:pPr>
            <w:r>
              <w:rPr>
                <w:rFonts w:ascii="Arial" w:cs="Arial" w:eastAsia="Arial" w:hAnsi="Arial"/>
                <w:sz w:val="14"/>
                <w:szCs w:val="14"/>
                <w:color w:val="auto"/>
              </w:rPr>
              <w:t>Depreciation and amortization expense</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6,925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4,035</w:t>
            </w:r>
          </w:p>
        </w:tc>
      </w:tr>
      <w:tr>
        <w:trPr>
          <w:trHeight w:val="192"/>
        </w:trPr>
        <w:tc>
          <w:tcPr>
            <w:tcW w:w="8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debt discount and issuance costs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2,457</w:t>
            </w:r>
          </w:p>
        </w:tc>
      </w:tr>
      <w:tr>
        <w:trPr>
          <w:trHeight w:val="186"/>
        </w:trPr>
        <w:tc>
          <w:tcPr>
            <w:tcW w:w="8440" w:type="dxa"/>
            <w:vAlign w:val="bottom"/>
          </w:tcPr>
          <w:p>
            <w:pPr>
              <w:ind w:left="200"/>
              <w:spacing w:after="0"/>
              <w:rPr>
                <w:sz w:val="20"/>
                <w:szCs w:val="20"/>
                <w:color w:val="auto"/>
              </w:rPr>
            </w:pPr>
            <w:r>
              <w:rPr>
                <w:rFonts w:ascii="Arial" w:cs="Arial" w:eastAsia="Arial" w:hAnsi="Arial"/>
                <w:sz w:val="14"/>
                <w:szCs w:val="14"/>
                <w:color w:val="auto"/>
              </w:rPr>
              <w:t>Provision for expected credit losses</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1,529</w:t>
            </w:r>
          </w:p>
        </w:tc>
      </w:tr>
      <w:tr>
        <w:trPr>
          <w:trHeight w:val="192"/>
        </w:trPr>
        <w:tc>
          <w:tcPr>
            <w:tcW w:w="8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Provision for (recovery of) inventory obsolescence</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186"/>
        </w:trPr>
        <w:tc>
          <w:tcPr>
            <w:tcW w:w="8440" w:type="dxa"/>
            <w:vAlign w:val="bottom"/>
          </w:tcPr>
          <w:p>
            <w:pPr>
              <w:ind w:left="200"/>
              <w:spacing w:after="0"/>
              <w:rPr>
                <w:sz w:val="20"/>
                <w:szCs w:val="20"/>
                <w:color w:val="auto"/>
              </w:rPr>
            </w:pPr>
            <w:r>
              <w:rPr>
                <w:rFonts w:ascii="Arial" w:cs="Arial" w:eastAsia="Arial" w:hAnsi="Arial"/>
                <w:sz w:val="14"/>
                <w:szCs w:val="14"/>
                <w:color w:val="auto"/>
              </w:rPr>
              <w:t>Change in fair value of common stock warrants</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962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16,258</w:t>
            </w:r>
          </w:p>
        </w:tc>
      </w:tr>
      <w:tr>
        <w:trPr>
          <w:trHeight w:val="192"/>
        </w:trPr>
        <w:tc>
          <w:tcPr>
            <w:tcW w:w="8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discount on short-term investments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w:t>
            </w:r>
          </w:p>
        </w:tc>
      </w:tr>
      <w:tr>
        <w:trPr>
          <w:trHeight w:val="186"/>
        </w:trPr>
        <w:tc>
          <w:tcPr>
            <w:tcW w:w="8440" w:type="dxa"/>
            <w:vAlign w:val="bottom"/>
          </w:tcPr>
          <w:p>
            <w:pPr>
              <w:ind w:left="200"/>
              <w:spacing w:after="0"/>
              <w:rPr>
                <w:sz w:val="20"/>
                <w:szCs w:val="20"/>
                <w:color w:val="auto"/>
              </w:rPr>
            </w:pPr>
            <w:r>
              <w:rPr>
                <w:rFonts w:ascii="Arial" w:cs="Arial" w:eastAsia="Arial" w:hAnsi="Arial"/>
                <w:sz w:val="14"/>
                <w:szCs w:val="14"/>
                <w:color w:val="auto"/>
              </w:rPr>
              <w:t>Benefit for deferred income taxes</w:t>
            </w: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(2,126)</w:t>
            </w:r>
          </w:p>
        </w:tc>
      </w:tr>
      <w:tr>
        <w:trPr>
          <w:trHeight w:val="192"/>
        </w:trPr>
        <w:tc>
          <w:tcPr>
            <w:tcW w:w="8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Stock-based compensation expense</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27,924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32,286</w:t>
            </w:r>
          </w:p>
        </w:tc>
      </w:tr>
      <w:tr>
        <w:trPr>
          <w:trHeight w:val="186"/>
        </w:trPr>
        <w:tc>
          <w:tcPr>
            <w:tcW w:w="8440" w:type="dxa"/>
            <w:vAlign w:val="bottom"/>
          </w:tcPr>
          <w:p>
            <w:pPr>
              <w:ind w:left="20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92"/>
        </w:trPr>
        <w:tc>
          <w:tcPr>
            <w:tcW w:w="8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8440" w:type="dxa"/>
            <w:vAlign w:val="bottom"/>
          </w:tcPr>
          <w:p>
            <w:pPr>
              <w:ind w:left="42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92"/>
        </w:trPr>
        <w:tc>
          <w:tcPr>
            <w:tcW w:w="84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Inventories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(13,181)</w:t>
            </w:r>
          </w:p>
        </w:tc>
      </w:tr>
      <w:tr>
        <w:trPr>
          <w:trHeight w:val="186"/>
        </w:trPr>
        <w:tc>
          <w:tcPr>
            <w:tcW w:w="8440" w:type="dxa"/>
            <w:vAlign w:val="bottom"/>
          </w:tcPr>
          <w:p>
            <w:pPr>
              <w:ind w:left="420"/>
              <w:spacing w:after="0"/>
              <w:rPr>
                <w:sz w:val="20"/>
                <w:szCs w:val="20"/>
                <w:color w:val="auto"/>
              </w:rPr>
            </w:pPr>
            <w:r>
              <w:rPr>
                <w:rFonts w:ascii="Arial" w:cs="Arial" w:eastAsia="Arial" w:hAnsi="Arial"/>
                <w:sz w:val="14"/>
                <w:szCs w:val="14"/>
                <w:color w:val="auto"/>
              </w:rPr>
              <w:t>Prepaid and other current assets</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(2,101)</w:t>
            </w:r>
          </w:p>
        </w:tc>
      </w:tr>
      <w:tr>
        <w:trPr>
          <w:trHeight w:val="192"/>
        </w:trPr>
        <w:tc>
          <w:tcPr>
            <w:tcW w:w="84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Other long-term assets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6"/>
        </w:trPr>
        <w:tc>
          <w:tcPr>
            <w:tcW w:w="8440" w:type="dxa"/>
            <w:vAlign w:val="bottom"/>
          </w:tcPr>
          <w:p>
            <w:pPr>
              <w:ind w:left="420"/>
              <w:spacing w:after="0"/>
              <w:rPr>
                <w:sz w:val="20"/>
                <w:szCs w:val="20"/>
                <w:color w:val="auto"/>
              </w:rPr>
            </w:pPr>
            <w:r>
              <w:rPr>
                <w:rFonts w:ascii="Arial" w:cs="Arial" w:eastAsia="Arial" w:hAnsi="Arial"/>
                <w:sz w:val="14"/>
                <w:szCs w:val="14"/>
                <w:color w:val="auto"/>
              </w:rPr>
              <w:t>Accounts payable and accrued expenses</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11,957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(3,779)</w:t>
            </w:r>
          </w:p>
        </w:tc>
      </w:tr>
      <w:tr>
        <w:trPr>
          <w:trHeight w:val="192"/>
        </w:trPr>
        <w:tc>
          <w:tcPr>
            <w:tcW w:w="84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Employee-related liabilities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(3,094)</w:t>
            </w:r>
          </w:p>
        </w:tc>
      </w:tr>
      <w:tr>
        <w:trPr>
          <w:trHeight w:val="186"/>
        </w:trPr>
        <w:tc>
          <w:tcPr>
            <w:tcW w:w="8440" w:type="dxa"/>
            <w:vAlign w:val="bottom"/>
          </w:tcPr>
          <w:p>
            <w:pPr>
              <w:ind w:left="420"/>
              <w:spacing w:after="0"/>
              <w:rPr>
                <w:sz w:val="20"/>
                <w:szCs w:val="20"/>
                <w:color w:val="auto"/>
              </w:rPr>
            </w:pPr>
            <w:r>
              <w:rPr>
                <w:rFonts w:ascii="Arial" w:cs="Arial" w:eastAsia="Arial" w:hAnsi="Arial"/>
                <w:sz w:val="14"/>
                <w:szCs w:val="14"/>
                <w:color w:val="auto"/>
              </w:rPr>
              <w:t>Deferred revenue</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5,288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2,668</w:t>
            </w:r>
          </w:p>
        </w:tc>
      </w:tr>
      <w:tr>
        <w:trPr>
          <w:trHeight w:val="192"/>
        </w:trPr>
        <w:tc>
          <w:tcPr>
            <w:tcW w:w="84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Other current liabilities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2,428</w:t>
            </w:r>
          </w:p>
        </w:tc>
      </w:tr>
      <w:tr>
        <w:trPr>
          <w:trHeight w:val="186"/>
        </w:trPr>
        <w:tc>
          <w:tcPr>
            <w:tcW w:w="844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2,207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w:t>
            </w:r>
          </w:p>
        </w:tc>
      </w:tr>
      <w:tr>
        <w:trPr>
          <w:trHeight w:val="186"/>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(used) by operating activities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57,580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(5,132)</w:t>
            </w:r>
          </w:p>
        </w:tc>
      </w:tr>
      <w:tr>
        <w:trPr>
          <w:trHeight w:val="188"/>
        </w:trPr>
        <w:tc>
          <w:tcPr>
            <w:tcW w:w="844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Purchases of short-term investments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(385,580)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(166,984)</w:t>
            </w:r>
          </w:p>
        </w:tc>
      </w:tr>
      <w:tr>
        <w:trPr>
          <w:trHeight w:val="186"/>
        </w:trPr>
        <w:tc>
          <w:tcPr>
            <w:tcW w:w="8440" w:type="dxa"/>
            <w:vAlign w:val="bottom"/>
          </w:tcPr>
          <w:p>
            <w:pPr>
              <w:spacing w:after="0"/>
              <w:rPr>
                <w:sz w:val="20"/>
                <w:szCs w:val="20"/>
                <w:color w:val="auto"/>
              </w:rPr>
            </w:pPr>
            <w:r>
              <w:rPr>
                <w:rFonts w:ascii="Arial" w:cs="Arial" w:eastAsia="Arial" w:hAnsi="Arial"/>
                <w:sz w:val="14"/>
                <w:szCs w:val="14"/>
                <w:color w:val="auto"/>
              </w:rPr>
              <w:t>Proceeds from maturities of short-term investments</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308,607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54,709</w:t>
            </w:r>
          </w:p>
        </w:tc>
      </w:tr>
      <w:tr>
        <w:trPr>
          <w:trHeight w:val="192"/>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Proceeds from sales of short-term investments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20,788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35,027</w:t>
            </w:r>
          </w:p>
        </w:tc>
      </w:tr>
      <w:tr>
        <w:trPr>
          <w:trHeight w:val="186"/>
        </w:trPr>
        <w:tc>
          <w:tcPr>
            <w:tcW w:w="844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(16,552)</w:t>
            </w:r>
          </w:p>
        </w:tc>
      </w:tr>
      <w:tr>
        <w:trPr>
          <w:trHeight w:val="192"/>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Acquisition of intangible assets and equity investments</w:t>
            </w: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(4,805)</w:t>
            </w:r>
          </w:p>
        </w:tc>
      </w:tr>
      <w:tr>
        <w:trPr>
          <w:trHeight w:val="179"/>
        </w:trPr>
        <w:tc>
          <w:tcPr>
            <w:tcW w:w="844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(70,855)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(98,605)</w:t>
            </w:r>
          </w:p>
        </w:tc>
      </w:tr>
      <w:tr>
        <w:trPr>
          <w:trHeight w:val="192"/>
        </w:trPr>
        <w:tc>
          <w:tcPr>
            <w:tcW w:w="8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8440" w:type="dxa"/>
            <w:vAlign w:val="bottom"/>
          </w:tcPr>
          <w:p>
            <w:pPr>
              <w:spacing w:after="0"/>
              <w:rPr>
                <w:sz w:val="20"/>
                <w:szCs w:val="20"/>
                <w:color w:val="auto"/>
              </w:rPr>
            </w:pPr>
            <w:r>
              <w:rPr>
                <w:rFonts w:ascii="Arial" w:cs="Arial" w:eastAsia="Arial" w:hAnsi="Arial"/>
                <w:sz w:val="14"/>
                <w:szCs w:val="14"/>
                <w:color w:val="auto"/>
              </w:rPr>
              <w:t>Proceeds from issuance of convertible senior notes, net of $8,809 debt issuance costs</w:t>
            </w: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278,691</w:t>
            </w:r>
          </w:p>
        </w:tc>
      </w:tr>
      <w:tr>
        <w:trPr>
          <w:trHeight w:val="192"/>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Payment for capped call transactions related to convertible senior notes</w:t>
            </w: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(34,069)</w:t>
            </w:r>
          </w:p>
        </w:tc>
      </w:tr>
      <w:tr>
        <w:trPr>
          <w:trHeight w:val="186"/>
        </w:trPr>
        <w:tc>
          <w:tcPr>
            <w:tcW w:w="8440" w:type="dxa"/>
            <w:vAlign w:val="bottom"/>
          </w:tcPr>
          <w:p>
            <w:pPr>
              <w:spacing w:after="0"/>
              <w:rPr>
                <w:sz w:val="20"/>
                <w:szCs w:val="20"/>
                <w:color w:val="auto"/>
              </w:rPr>
            </w:pPr>
            <w:r>
              <w:rPr>
                <w:rFonts w:ascii="Arial" w:cs="Arial" w:eastAsia="Arial" w:hAnsi="Arial"/>
                <w:sz w:val="14"/>
                <w:szCs w:val="14"/>
                <w:color w:val="auto"/>
              </w:rPr>
              <w:t>Proceeds from issuance of common stock under Company stock plans, net</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16,758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28,645</w:t>
            </w:r>
          </w:p>
        </w:tc>
      </w:tr>
      <w:tr>
        <w:trPr>
          <w:trHeight w:val="192"/>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Proceeds from exercise of common stock warrants</w:t>
            </w: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2,036</w:t>
            </w:r>
          </w:p>
        </w:tc>
      </w:tr>
      <w:tr>
        <w:trPr>
          <w:trHeight w:val="179"/>
        </w:trPr>
        <w:tc>
          <w:tcPr>
            <w:tcW w:w="8440" w:type="dxa"/>
            <w:vAlign w:val="bottom"/>
          </w:tcPr>
          <w:p>
            <w:pPr>
              <w:spacing w:after="0"/>
              <w:rPr>
                <w:sz w:val="20"/>
                <w:szCs w:val="20"/>
                <w:color w:val="auto"/>
              </w:rPr>
            </w:pPr>
            <w:r>
              <w:rPr>
                <w:rFonts w:ascii="Arial" w:cs="Arial" w:eastAsia="Arial" w:hAnsi="Arial"/>
                <w:sz w:val="14"/>
                <w:szCs w:val="14"/>
                <w:color w:val="auto"/>
              </w:rPr>
              <w:t>Net cash provided by financing activities</w:t>
            </w: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17,196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275,303</w:t>
            </w:r>
          </w:p>
        </w:tc>
      </w:tr>
      <w:tr>
        <w:trPr>
          <w:trHeight w:val="192"/>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Effect of foreign exchange rate changes on cash</w:t>
            </w: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w:t>
            </w:r>
          </w:p>
        </w:tc>
      </w:tr>
      <w:tr>
        <w:trPr>
          <w:trHeight w:val="179"/>
        </w:trPr>
        <w:tc>
          <w:tcPr>
            <w:tcW w:w="8440" w:type="dxa"/>
            <w:vAlign w:val="bottom"/>
          </w:tcPr>
          <w:p>
            <w:pPr>
              <w:spacing w:after="0"/>
              <w:rPr>
                <w:sz w:val="20"/>
                <w:szCs w:val="20"/>
                <w:color w:val="auto"/>
              </w:rPr>
            </w:pPr>
            <w:r>
              <w:rPr>
                <w:rFonts w:ascii="Arial" w:cs="Arial" w:eastAsia="Arial" w:hAnsi="Arial"/>
                <w:sz w:val="14"/>
                <w:szCs w:val="14"/>
                <w:color w:val="auto"/>
              </w:rPr>
              <w:t>Net increase in cash and cash equivalents</w:t>
            </w:r>
          </w:p>
        </w:tc>
        <w:tc>
          <w:tcPr>
            <w:tcW w:w="2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3,965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171,304</w:t>
            </w:r>
          </w:p>
        </w:tc>
      </w:tr>
      <w:tr>
        <w:trPr>
          <w:trHeight w:val="189"/>
        </w:trPr>
        <w:tc>
          <w:tcPr>
            <w:tcW w:w="844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beginning of period</w:t>
            </w: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94,613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51,175</w:t>
            </w:r>
          </w:p>
        </w:tc>
      </w:tr>
      <w:tr>
        <w:trPr>
          <w:trHeight w:val="186"/>
        </w:trPr>
        <w:tc>
          <w:tcPr>
            <w:tcW w:w="844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98,578</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222,479</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6"/>
        </w:trPr>
        <w:tc>
          <w:tcPr>
            <w:tcW w:w="844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9"/>
        </w:trPr>
        <w:tc>
          <w:tcPr>
            <w:tcW w:w="8440" w:type="dxa"/>
            <w:vAlign w:val="bottom"/>
          </w:tcPr>
          <w:p>
            <w:pPr>
              <w:spacing w:after="0"/>
              <w:rPr>
                <w:sz w:val="20"/>
                <w:szCs w:val="20"/>
                <w:color w:val="auto"/>
              </w:rPr>
            </w:pPr>
            <w:r>
              <w:rPr>
                <w:rFonts w:ascii="Arial" w:cs="Arial" w:eastAsia="Arial" w:hAnsi="Arial"/>
                <w:sz w:val="14"/>
                <w:szCs w:val="14"/>
                <w:color w:val="auto"/>
              </w:rPr>
              <w:t>Income taxes paid</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6"/>
        </w:trPr>
        <w:tc>
          <w:tcPr>
            <w:tcW w:w="844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2"/>
        </w:trPr>
        <w:tc>
          <w:tcPr>
            <w:tcW w:w="8440" w:type="dxa"/>
            <w:vAlign w:val="bottom"/>
          </w:tcPr>
          <w:p>
            <w:pPr>
              <w:spacing w:after="0"/>
              <w:rPr>
                <w:sz w:val="20"/>
                <w:szCs w:val="20"/>
                <w:color w:val="auto"/>
              </w:rPr>
            </w:pPr>
            <w:r>
              <w:rPr>
                <w:rFonts w:ascii="Arial" w:cs="Arial" w:eastAsia="Arial" w:hAnsi="Arial"/>
                <w:sz w:val="14"/>
                <w:szCs w:val="14"/>
                <w:color w:val="auto"/>
              </w:rPr>
              <w:t>Right-of-use assets obtained in exchange for operating lease obligations</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15,087</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8,805</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8"/>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Property and equipment included in accounts payable</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40" w:type="dxa"/>
            <w:vAlign w:val="bottom"/>
          </w:tcPr>
          <w:p>
            <w:pPr>
              <w:spacing w:after="0"/>
              <w:rPr>
                <w:sz w:val="20"/>
                <w:szCs w:val="20"/>
                <w:color w:val="auto"/>
              </w:rPr>
            </w:pPr>
            <w:r>
              <w:rPr>
                <w:rFonts w:ascii="Arial" w:cs="Arial" w:eastAsia="Arial" w:hAnsi="Arial"/>
                <w:sz w:val="14"/>
                <w:szCs w:val="14"/>
                <w:color w:val="auto"/>
              </w:rPr>
              <w:t>Intangible costs in other current and other long-term liabilities</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2,348</w:t>
            </w:r>
          </w:p>
        </w:tc>
      </w:tr>
      <w:tr>
        <w:trPr>
          <w:trHeight w:val="20"/>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TANDEM DIABETES CARE,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ind w:firstLine="810"/>
        <w:spacing w:after="0" w:line="311" w:lineRule="auto"/>
        <w:rPr>
          <w:sz w:val="20"/>
          <w:szCs w:val="20"/>
          <w:color w:val="auto"/>
        </w:rPr>
      </w:pPr>
      <w:r>
        <w:rPr>
          <w:rFonts w:ascii="Arial" w:cs="Arial" w:eastAsia="Arial" w:hAnsi="Arial"/>
          <w:sz w:val="16"/>
          <w:szCs w:val="16"/>
          <w:color w:val="auto"/>
        </w:rPr>
        <w:t>Tandem Diabetes Care, Inc. is a medical device company with a positively different approach to the design, development and commercialization of products for people with insulin-dependent diabetes. Tandem Diabetes Care, Inc. is incorporated in the state of Delaware. Unless the context requires otherwise, the terms the “Company” or “Tandem” refer to Tandem Diabetes Care, Inc., together with its wholly-owned subsidiaries in the U.S. and Canada.</w:t>
      </w:r>
    </w:p>
    <w:p>
      <w:pPr>
        <w:spacing w:after="0" w:line="149"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The Company manufactures, sells and supports insulin pump products that are designed to address the evolving needs and preferences of differentiated segments of the insulin-dependent diabetes market. The Company’s manufacturing, sales and support activities principally focus on the t:slim X2 Insulin Delivery System (t:slim X2), the Company’s flagship pump platform which is capable of remote software updates and is designed to display continuous glucose monitoring (CGM) sensor information directly on the pump home screen. The Company’s insulin pump products are compatible with other complementary digital health offerings, such as the t:connect cloud-based diabetes management application (t:connect) and the Tandem Device Updater, a Mac and PC-compatible tool which offers and supports different updates of the Company’s insulin pump software from a personal computer. The Company’s insulin pump products are generally considered durable medical equipment and have an expected lifespan of at least four years. In addition to insulin pumps, the Company sells disposable products that are used together with the pumps and are replaced every few days, including cartridges for storing and delivering insulin, and infusion sets that connect the insulin pump to a user’s body, as well as other accessories for enhanced usability.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ind w:right="80" w:firstLine="810"/>
        <w:spacing w:after="0" w:line="257" w:lineRule="auto"/>
        <w:rPr>
          <w:sz w:val="20"/>
          <w:szCs w:val="20"/>
          <w:color w:val="auto"/>
        </w:rPr>
      </w:pPr>
      <w:r>
        <w:rPr>
          <w:rFonts w:ascii="Arial" w:cs="Arial" w:eastAsia="Arial" w:hAnsi="Arial"/>
          <w:sz w:val="18"/>
          <w:szCs w:val="18"/>
          <w:color w:val="auto"/>
        </w:rPr>
        <w:t>The Company has prepared the accompanying unaudited condensed consolidated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considered necessary for a fair presentation of the financial information contained herein, have been included.</w:t>
      </w:r>
    </w:p>
    <w:p>
      <w:pPr>
        <w:spacing w:after="0" w:line="188" w:lineRule="exact"/>
        <w:rPr>
          <w:sz w:val="20"/>
          <w:szCs w:val="20"/>
          <w:color w:val="auto"/>
        </w:rPr>
      </w:pPr>
    </w:p>
    <w:p>
      <w:pPr>
        <w:ind w:right="140" w:firstLine="810"/>
        <w:spacing w:after="0" w:line="259" w:lineRule="auto"/>
        <w:rPr>
          <w:sz w:val="20"/>
          <w:szCs w:val="20"/>
          <w:color w:val="auto"/>
        </w:rPr>
      </w:pPr>
      <w:r>
        <w:rPr>
          <w:rFonts w:ascii="Arial" w:cs="Arial" w:eastAsia="Arial" w:hAnsi="Arial"/>
          <w:sz w:val="18"/>
          <w:szCs w:val="18"/>
          <w:color w:val="auto"/>
        </w:rPr>
        <w:t>Interim financial results are not necessarily indicative of results anticipated for the full year or any other period(s). These unaudited condensed consolidated financial statements should be read in conjunction with the Company’s audited consolidated financial statements and accompanying notes included in the Company’s Annual Report on Form 10-K for the year ended December 31, 2020 (Annual Report), from which the balance sheet information herein was derived.</w:t>
      </w:r>
    </w:p>
    <w:p>
      <w:pPr>
        <w:spacing w:after="0" w:line="187" w:lineRule="exact"/>
        <w:rPr>
          <w:sz w:val="20"/>
          <w:szCs w:val="20"/>
          <w:color w:val="auto"/>
        </w:rPr>
      </w:pPr>
    </w:p>
    <w:p>
      <w:pPr>
        <w:ind w:right="180" w:firstLine="81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Tandem Diabetes Care, Inc. and its wholly-owned subsidiaries in the U.S. and Canada. All significant intercompany balances and transactions have been eliminated in consolidation.</w:t>
      </w:r>
    </w:p>
    <w:p>
      <w:pPr>
        <w:spacing w:after="0" w:line="170" w:lineRule="exact"/>
        <w:rPr>
          <w:sz w:val="20"/>
          <w:szCs w:val="20"/>
          <w:color w:val="auto"/>
        </w:rPr>
      </w:pPr>
    </w:p>
    <w:p>
      <w:pPr>
        <w:ind w:right="100" w:firstLine="810"/>
        <w:spacing w:after="0" w:line="255" w:lineRule="auto"/>
        <w:rPr>
          <w:sz w:val="20"/>
          <w:szCs w:val="20"/>
          <w:color w:val="auto"/>
        </w:rPr>
      </w:pPr>
      <w:r>
        <w:rPr>
          <w:rFonts w:ascii="Arial" w:cs="Arial" w:eastAsia="Arial" w:hAnsi="Arial"/>
          <w:sz w:val="18"/>
          <w:szCs w:val="18"/>
          <w:color w:val="auto"/>
        </w:rPr>
        <w:t>The functional currency of the Company’s foreign subsidiary is the local currency. The Company translates the financial statements of its foreign subsidiary into U.S. dollars using period-end exchange rates for assets and liabilities and average exchange rates for each period for revenue, costs and expenses. Translation related adjustments are included in other comprehensive loss, and in accumulated other comprehensive income in the stockholders’ equity section of the Company’s condensed consolidated balance sheets. Foreign exchange gains or losses resulting from balances denominated in a currency other than the functional currency are recognized in interest income and other, net in the Company’s condensed consolidated statements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color w:val="auto"/>
        </w:rPr>
        <w:t>Prior year amounts related to the presentation of other income (expense), net on the Company’s condensed consolidated statement of operations and comprehensive loss, have been reclassified to conform to the current year presentation. Starting with the third quarter of 2020, the first full quarter in which the Company’s convertible senior notes were outstanding, the Company began to present non-operating expenses unrelated to the convertible senior notes with interest income and other, net. In prior periods, other non-operating expenses were combined with interest expense and reported as interest and other expense.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jc w:val="both"/>
        <w:ind w:firstLine="810"/>
        <w:spacing w:after="0" w:line="263" w:lineRule="auto"/>
        <w:rPr>
          <w:sz w:val="20"/>
          <w:szCs w:val="20"/>
          <w:color w:val="auto"/>
        </w:rPr>
      </w:pPr>
      <w:r>
        <w:rPr>
          <w:rFonts w:ascii="Arial" w:cs="Arial" w:eastAsia="Arial" w:hAnsi="Arial"/>
          <w:sz w:val="18"/>
          <w:szCs w:val="18"/>
          <w:color w:val="auto"/>
        </w:rPr>
        <w:t xml:space="preserve">There have been no material changes to the Company’s significant accounting policies during the six months ended June 30, 2021, as compared to those disclosed in the Annual Report, other than the adoption of ASU No. 2020-06, </w:t>
      </w:r>
      <w:r>
        <w:rPr>
          <w:rFonts w:ascii="Arial" w:cs="Arial" w:eastAsia="Arial" w:hAnsi="Arial"/>
          <w:sz w:val="18"/>
          <w:szCs w:val="18"/>
          <w:i w:val="1"/>
          <w:iCs w:val="1"/>
          <w:color w:val="auto"/>
        </w:rPr>
        <w:t>Accounting for Convertible Instruments and Contracts in an Entity’s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Own Equity, </w:t>
      </w:r>
      <w:r>
        <w:rPr>
          <w:rFonts w:ascii="Arial" w:cs="Arial" w:eastAsia="Arial" w:hAnsi="Arial"/>
          <w:sz w:val="18"/>
          <w:szCs w:val="18"/>
          <w:color w:val="auto"/>
        </w:rPr>
        <w:t>effective January 1, 2021 (see Note 7, “Convertible Senior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judgments that affect the reported amounts of assets, liabilities, revenues and expenses and the disclosure of contingent assets and liabilities in the Company’s consolidated financial statements and accompanying notes as of the date of the consolidated financial statements. Some of those judgments can be subjective and complex, and therefore, actual results could differ materially from those estimates under different assumptions or conditions.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80" w:firstLine="810"/>
        <w:spacing w:after="0" w:line="273" w:lineRule="auto"/>
        <w:rPr>
          <w:sz w:val="20"/>
          <w:szCs w:val="20"/>
          <w:color w:val="auto"/>
        </w:rPr>
      </w:pPr>
      <w:r>
        <w:rPr>
          <w:rFonts w:ascii="Arial" w:cs="Arial" w:eastAsia="Arial" w:hAnsi="Arial"/>
          <w:sz w:val="17"/>
          <w:szCs w:val="17"/>
          <w:color w:val="auto"/>
        </w:rPr>
        <w:t>The Company grants credit to various customers in the ordinary course of business and is paid directly by customers who use the products, distributors and third-party insurance payors. The Company maintains an allowance for its current estimate of expected credit losses. Provisions for expected credit losses are estimated based on historical experience, assessment of specific risk, review of outstanding invoices, forecasts about the future, and various assumptions and estimates that are believed to be reasonable under the circumstances, which included the Company’s estimates of credit risks as a result of the coronavirus pandemic (COVID-19 global pandemic). Uncollectible accounts are written off against the allowance after appropriate collection efforts have been exhausted and when it is deemed that a balance is uncollectible.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60" w:firstLine="810"/>
        <w:spacing w:after="0" w:line="296" w:lineRule="auto"/>
        <w:rPr>
          <w:sz w:val="20"/>
          <w:szCs w:val="20"/>
          <w:color w:val="auto"/>
        </w:rPr>
      </w:pPr>
      <w:r>
        <w:rPr>
          <w:rFonts w:ascii="Arial" w:cs="Arial" w:eastAsia="Arial" w:hAnsi="Arial"/>
          <w:sz w:val="16"/>
          <w:szCs w:val="16"/>
          <w:color w:val="auto"/>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 The Company determined the fair value of its convertible senior notes to be $326.6 million at June 30, 2021, and $333.5 million at December 31, 2020, based on Level 2 quoted market prices (see Note 7, “Convertible Senior Notes”). The estimated fair value of certain of the Company’s common stock warrants was determined using the Black-Scholes pricing model as of June 30, 2021 and December 31, 2020 (see Note 5, “Fair Value Measurements”).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Operating Lease Right-of-Use Assets and Liabilities</w:t>
      </w:r>
    </w:p>
    <w:p>
      <w:pPr>
        <w:spacing w:after="0" w:line="225"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Lease right-of-use assets represent the Company’s right to use an underlying asset for the lease term and lease liabilities represent its obligation to make lease payments arising from the lease. Operating lease right-of-use assets and liabilities are recognized when the Company takes possession of the leased property (the Commencement Date) based on the present value of lease payments over the lease term. For lease agreements entered into or reassessed after the adoption of ASC 842, the Company combines lease and non-lease components. Rent expense on noncancellable leases containing known future scheduled rent increases is recorded on a straight-line basis over the term of the respective leases beginning on the Commencement Date (see Note 6, “Leases”). The difference between rent expense and rent paid is accounted for as a component of operating lease right-of-use assets on the Company’s condensed consolidated balance sheets. Landlord improvement allowances and other similar lease incentives are recorded as property and equipment and as a reduction of the right-of-use leased assets, and are amortized on a straight-line basis as a reduction to operating lease costs.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Basis Equity Investment</w:t>
      </w:r>
    </w:p>
    <w:p>
      <w:pPr>
        <w:spacing w:after="0" w:line="252" w:lineRule="exact"/>
        <w:rPr>
          <w:sz w:val="20"/>
          <w:szCs w:val="20"/>
          <w:color w:val="auto"/>
        </w:rPr>
      </w:pPr>
    </w:p>
    <w:p>
      <w:pPr>
        <w:ind w:right="20" w:firstLine="810"/>
        <w:spacing w:after="0" w:line="311" w:lineRule="auto"/>
        <w:rPr>
          <w:sz w:val="20"/>
          <w:szCs w:val="20"/>
          <w:color w:val="auto"/>
        </w:rPr>
      </w:pPr>
      <w:r>
        <w:rPr>
          <w:rFonts w:ascii="Arial" w:cs="Arial" w:eastAsia="Arial" w:hAnsi="Arial"/>
          <w:sz w:val="16"/>
          <w:szCs w:val="16"/>
          <w:color w:val="auto"/>
        </w:rPr>
        <w:t>During the second quarter of 2021, the Company made an $8.1 million equity investment in a private company, which represented less than 5% of the outstanding equity of that company. The investment is accounted for using the cost method, as the investment does not have a readily determinable fair value, and is included as a component of other long-term assets on the condensed consolidated balance sheet at June 30,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Subject to Amortization</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810"/>
        <w:spacing w:after="0" w:line="259" w:lineRule="auto"/>
        <w:rPr>
          <w:sz w:val="20"/>
          <w:szCs w:val="20"/>
          <w:color w:val="auto"/>
        </w:rPr>
      </w:pPr>
      <w:r>
        <w:rPr>
          <w:rFonts w:ascii="Arial" w:cs="Arial" w:eastAsia="Arial" w:hAnsi="Arial"/>
          <w:sz w:val="18"/>
          <w:szCs w:val="18"/>
          <w:color w:val="auto"/>
        </w:rPr>
        <w:t>Finite-lived intangible assets are recorded at cost, net of accumulated amortization and, if applicable, impairment charges. Amortization of finite-lived intangible assets is provided over their estimated useful lives on a straight-line basis. The Company reviews its finite-lived intangible assets for impairment whenever events or changes in circumstances indicate that the carrying amount of an asset may not be recoverable. The Company did not recognize any impairment losses during the six months ended June 30, 2021 and 2020.</w:t>
      </w:r>
    </w:p>
    <w:p>
      <w:pPr>
        <w:spacing w:after="0" w:line="187"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 xml:space="preserve">On June 24, 2020, the Company acquired Sugarmate, Inc. (Sugarmate), the developer of a mobile app designed to help people visualize diabetes therapy data in innovative ways. The Sugarmate acquisition was accounted for as an acquisition of assets in accordance with Accounting Standards Update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Substantially all of the fair value was concentrated in a single identifiable asset, a technology-based intangible asset. The purchased intangible asset is being amortized on a straight-line basis over an estimated useful life of five years. The Company’s results of operations include the operating results of Sugarmate since the date of acquisition, the amounts of which were not material.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firstLine="810"/>
        <w:spacing w:after="0" w:line="259" w:lineRule="auto"/>
        <w:rPr>
          <w:sz w:val="20"/>
          <w:szCs w:val="20"/>
          <w:color w:val="auto"/>
        </w:rPr>
      </w:pPr>
      <w:r>
        <w:rPr>
          <w:rFonts w:ascii="Arial" w:cs="Arial" w:eastAsia="Arial" w:hAnsi="Arial"/>
          <w:sz w:val="18"/>
          <w:szCs w:val="18"/>
          <w:color w:val="auto"/>
        </w:rPr>
        <w:t>Revenue is generated primarily from sales of insulin pumps, disposable cartridges and infusion sets to individual customers with third-party insurance coverage and through a network of distributors that resell the products to insulin-dependent diabetes customers. The Company recognizes revenue when it transfers promised goods or services to customers in an amount that reflects the consideration to which the Company expects to be entitled in exchange for those goods or services.</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Revenue Recognition for Arrangements with Multiple Deliverables</w:t>
      </w:r>
    </w:p>
    <w:p>
      <w:pPr>
        <w:spacing w:after="0" w:line="225"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The Company considers the individual deliverables in its product offering to be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typically is upon shipment for our distributor arrangements and upon receipt for sales directly to individual customers. Complementary products, such as t:connect and the Tandem Device Updater, are considered performance obligations that are satisfied over time, as access and support for these products is provided throughout the typical four-year warranty period of the insulin pumps. Accordingly, revenue related to the complementary products is deferred and recognized ratably over a four-year period. When there is no standalone value for the complementary product, the Company determines their value by applying the expected cost plus a margin approach and then allocates the residual to the insulin pumps. Deferred revenue related to these performance obligations that are satisfied over time was included in the following consolidated balance sheet accounts in the amounts shown as of June 30, 2021 and December 31, 2020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10,426</w:t>
            </w:r>
          </w:p>
        </w:tc>
      </w:tr>
      <w:tr>
        <w:trPr>
          <w:trHeight w:val="248"/>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225" w:lineRule="exact"/>
        <w:rPr>
          <w:sz w:val="20"/>
          <w:szCs w:val="20"/>
          <w:color w:val="auto"/>
        </w:rPr>
      </w:pPr>
    </w:p>
    <w:p>
      <w:pPr>
        <w:ind w:right="80" w:firstLine="810"/>
        <w:spacing w:after="0" w:line="290" w:lineRule="auto"/>
        <w:rPr>
          <w:sz w:val="20"/>
          <w:szCs w:val="20"/>
          <w:color w:val="auto"/>
        </w:rPr>
      </w:pPr>
      <w:r>
        <w:rPr>
          <w:rFonts w:ascii="Arial" w:cs="Arial" w:eastAsia="Arial" w:hAnsi="Arial"/>
          <w:sz w:val="16"/>
          <w:szCs w:val="16"/>
          <w:color w:val="auto"/>
        </w:rPr>
        <w:t>The Company generally provides a four-year warranty on its insulin pumps to end-user customers and may replace any pumps that do not function in accordance with the product specifications. Insulin pumps returned to the Company may be refurbished and redeployed. Additionally, the Company offers a six-month warranty on disposable cartridges and infusion sets. Estimated warranty costs are recorded at the time of shipment. The Company evaluates the reserve quarterly. Warranty costs are primarily estimated based on the current expected product replacement cost and expected replacement rates utilizing historical experience. Recently released versions of the pump may not incur warranty costs in a manner similar to previously released pumps, on which the Company initially bases its warranty estimate of newer pumps. The Company may make further adjustments to the warranty reserve when deemed appropriate, giving additional consideration to the length of time the pump version has been in the field and future expectations of performance based on new features and capabilities that may become available through Tandem Device Updater.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810"/>
        <w:spacing w:after="0" w:line="277" w:lineRule="auto"/>
        <w:rPr>
          <w:sz w:val="20"/>
          <w:szCs w:val="20"/>
          <w:color w:val="auto"/>
        </w:rPr>
      </w:pPr>
      <w:r>
        <w:rPr>
          <w:rFonts w:ascii="Arial" w:cs="Arial" w:eastAsia="Arial" w:hAnsi="Arial"/>
          <w:sz w:val="18"/>
          <w:szCs w:val="18"/>
          <w:color w:val="auto"/>
        </w:rPr>
        <w:t>The following table provides a reconciliation of the changes in product warranty liabilities for the three and six months ended June 30, 2021 and 2020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38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ind w:left="580"/>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r>
      <w:tr>
        <w:trPr>
          <w:trHeight w:val="188"/>
        </w:trPr>
        <w:tc>
          <w:tcPr>
            <w:tcW w:w="52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3"/>
        </w:trPr>
        <w:tc>
          <w:tcPr>
            <w:tcW w:w="52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23,169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22,075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16,724</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Provision for warranties issued during the period</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8,020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ind w:left="580"/>
              <w:spacing w:after="0"/>
              <w:rPr>
                <w:sz w:val="20"/>
                <w:szCs w:val="20"/>
                <w:color w:val="auto"/>
              </w:rPr>
            </w:pPr>
            <w:r>
              <w:rPr>
                <w:rFonts w:ascii="Arial" w:cs="Arial" w:eastAsia="Arial" w:hAnsi="Arial"/>
                <w:sz w:val="18"/>
                <w:szCs w:val="18"/>
                <w:color w:val="auto"/>
                <w:w w:val="90"/>
              </w:rPr>
              <w:t>13,916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9,658</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made during the period</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(4,751)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(9,007)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 in warranty estimates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4"/>
              </w:rPr>
              <w:t>(1,316)</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r>
      <w:tr>
        <w:trPr>
          <w:trHeight w:val="248"/>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25,668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17,823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25,668</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810"/>
        <w:spacing w:after="0" w:line="277" w:lineRule="auto"/>
        <w:rPr>
          <w:sz w:val="20"/>
          <w:szCs w:val="20"/>
          <w:color w:val="auto"/>
        </w:rPr>
      </w:pPr>
      <w:r>
        <w:rPr>
          <w:rFonts w:ascii="Arial" w:cs="Arial" w:eastAsia="Arial" w:hAnsi="Arial"/>
          <w:sz w:val="18"/>
          <w:szCs w:val="18"/>
          <w:color w:val="auto"/>
        </w:rPr>
        <w:t>As of June 30, 2021 and December 31, 2020, total product warranty reserves of $25.7 million and $22.1 million, respectively, were included in the following consolidated balance sheet accounts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8,409</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13,666</w:t>
            </w:r>
          </w:p>
        </w:tc>
      </w:tr>
      <w:tr>
        <w:trPr>
          <w:trHeight w:val="248"/>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warranty reserve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ind w:right="20" w:firstLine="810"/>
        <w:spacing w:after="0" w:line="252" w:lineRule="auto"/>
        <w:rPr>
          <w:sz w:val="20"/>
          <w:szCs w:val="20"/>
          <w:color w:val="auto"/>
        </w:rPr>
      </w:pPr>
      <w:r>
        <w:rPr>
          <w:rFonts w:ascii="Arial" w:cs="Arial" w:eastAsia="Arial" w:hAnsi="Arial"/>
          <w:sz w:val="16"/>
          <w:szCs w:val="16"/>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Amended and Restated 2013 Stock Incentive Plan (2013 Plan), and the fair value of the employees’ purchase rights under the Company’s 2013 Employee Stock Purchase Plan (ESPP), using the Black-Scholes option-pricing model on the date of grant. The Black-Scholes option-pricing model requires the use of assumptions about a number of variables, including stock price volatility, expected term, dividend yield and risk-free interest rate (see Note 8, “Stockholders’ Equity”). The fair value of restricted stock unit (RSU) awards issued under the 2013 Plan that vest solely based on service is estimated based on the fair market value of the underlying stock on the date of grant. The fair value of RSU awards issued under the 2013 Plan that vest based upon the Company’s actual performance relative to predefined performance metrics is estimated based on the fair market value of the underlying stock on the date of grant and the probability that the specified performance criteria will be met, subject to the awardee’s continuing service through the measurement date. We update our assessment of the probability that the specified performance criteria will be achieved each quarter, and adjust our estimate of the fair value of the performance-based RSUs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225" w:lineRule="exact"/>
        <w:rPr>
          <w:sz w:val="20"/>
          <w:szCs w:val="20"/>
          <w:color w:val="auto"/>
        </w:rPr>
      </w:pPr>
    </w:p>
    <w:p>
      <w:pPr>
        <w:ind w:right="20" w:firstLine="810"/>
        <w:spacing w:after="0" w:line="269" w:lineRule="auto"/>
        <w:rPr>
          <w:sz w:val="20"/>
          <w:szCs w:val="20"/>
          <w:color w:val="auto"/>
        </w:rPr>
      </w:pPr>
      <w:r>
        <w:rPr>
          <w:rFonts w:ascii="Arial" w:cs="Arial" w:eastAsia="Arial" w:hAnsi="Arial"/>
          <w:sz w:val="17"/>
          <w:szCs w:val="17"/>
          <w:color w:val="auto"/>
        </w:rPr>
        <w:t>Basic net income (loss) per share is calculated by dividing the net income (loss) by the weighted average number of common shares outstanding for the period, without consideration for common stock equivalents. Diluted net income per share reflects the potential dilution that would occur if securities exercisable for or convertible into common stock were exercised for or converted into common stock. Dilutive common share equivalents are comprised of stock options and unvested RSUs outstanding under the Company’s stock plans, potential awards to be granted pursuant to the ESPP, and common stock warrants, each calculated using the treasury stock method; and shares issuable upon conversion of the convertible senior notes, calculated using the if-converted method. For common stock warrants that are recorded as a liability in the accompanying condensed consolidated balance sheets, the calculation of diluted loss per share requires that, to the extent the average market price of the underlying shares for the reporting period exceeds the exercise price of the warrants and the presumed exercise of the warrants is dilutive to loss per share for the period, an adjustment is made to net loss used in the calculation to remove the change in fair value of the warrants from the numerator for the period. Likewise, an adjustment to the denominator is required to reflect the related dilutive shares, if any, under the treasury stock method.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firstLine="810"/>
        <w:spacing w:after="0" w:line="286" w:lineRule="auto"/>
        <w:rPr>
          <w:sz w:val="20"/>
          <w:szCs w:val="20"/>
          <w:color w:val="auto"/>
        </w:rPr>
      </w:pPr>
      <w:r>
        <w:rPr>
          <w:rFonts w:ascii="Arial" w:cs="Arial" w:eastAsia="Arial" w:hAnsi="Arial"/>
          <w:sz w:val="17"/>
          <w:szCs w:val="17"/>
          <w:color w:val="auto"/>
        </w:rPr>
        <w:t>For the three months ended June 30, 2020, and the six months ended June 30, 2021 and 2020, there is no difference in the weighted average number of shares used to calculate basic and diluted net loss per share due to the Company’s net loss position. For the three months ended June 30, 2021, the numerator and denominator of the diluted net income per share computation are calculated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Three Months Ended</w:t>
            </w:r>
          </w:p>
        </w:tc>
      </w:tr>
      <w:tr>
        <w:trPr>
          <w:trHeight w:val="186"/>
        </w:trPr>
        <w:tc>
          <w:tcPr>
            <w:tcW w:w="9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June 30,</w:t>
            </w:r>
          </w:p>
        </w:tc>
      </w:tr>
      <w:tr>
        <w:trPr>
          <w:trHeight w:val="216"/>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9380" w:type="dxa"/>
            <w:vAlign w:val="bottom"/>
            <w:tcBorders>
              <w:bottom w:val="single" w:sz="8" w:color="CCEEFF"/>
            </w:tcBorders>
            <w:shd w:val="clear" w:color="auto" w:fill="CCEEFF"/>
          </w:tcPr>
          <w:p>
            <w:pPr>
              <w:ind w:left="20"/>
              <w:spacing w:after="0" w:line="199" w:lineRule="exact"/>
              <w:rPr>
                <w:sz w:val="20"/>
                <w:szCs w:val="20"/>
                <w:color w:val="auto"/>
              </w:rPr>
            </w:pPr>
            <w:r>
              <w:rPr>
                <w:rFonts w:ascii="Arial" w:cs="Arial" w:eastAsia="Arial" w:hAnsi="Arial"/>
                <w:sz w:val="18"/>
                <w:szCs w:val="18"/>
                <w:color w:val="auto"/>
              </w:rPr>
              <w:t>Net income - basic and diluted</w:t>
            </w:r>
          </w:p>
        </w:tc>
        <w:tc>
          <w:tcPr>
            <w:tcW w:w="18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4,008</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62,717</w:t>
            </w: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Dilutive common share equivalents:</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9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to purchase common stock</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r>
      <w:tr>
        <w:trPr>
          <w:trHeight w:val="229"/>
        </w:trPr>
        <w:tc>
          <w:tcPr>
            <w:tcW w:w="9380" w:type="dxa"/>
            <w:vAlign w:val="bottom"/>
          </w:tcPr>
          <w:p>
            <w:pPr>
              <w:ind w:left="180"/>
              <w:spacing w:after="0"/>
              <w:rPr>
                <w:sz w:val="20"/>
                <w:szCs w:val="20"/>
                <w:color w:val="auto"/>
              </w:rPr>
            </w:pPr>
            <w:r>
              <w:rPr>
                <w:rFonts w:ascii="Arial" w:cs="Arial" w:eastAsia="Arial" w:hAnsi="Arial"/>
                <w:sz w:val="18"/>
                <w:szCs w:val="18"/>
                <w:color w:val="auto"/>
              </w:rPr>
              <w:t>Unvested restricted stock units</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9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 to purchase common stock</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9"/>
        </w:trPr>
        <w:tc>
          <w:tcPr>
            <w:tcW w:w="9380" w:type="dxa"/>
            <w:vAlign w:val="bottom"/>
          </w:tcPr>
          <w:p>
            <w:pPr>
              <w:ind w:left="180"/>
              <w:spacing w:after="0"/>
              <w:rPr>
                <w:sz w:val="20"/>
                <w:szCs w:val="20"/>
                <w:color w:val="auto"/>
              </w:rPr>
            </w:pPr>
            <w:r>
              <w:rPr>
                <w:rFonts w:ascii="Arial" w:cs="Arial" w:eastAsia="Arial" w:hAnsi="Arial"/>
                <w:sz w:val="18"/>
                <w:szCs w:val="18"/>
                <w:color w:val="auto"/>
              </w:rPr>
              <w:t>Awards to be granted under the ESPP</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senior notes (if-converted)</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380" w:type="dxa"/>
            <w:vAlign w:val="bottom"/>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65,663</w:t>
            </w:r>
          </w:p>
        </w:tc>
      </w:tr>
      <w:tr>
        <w:trPr>
          <w:trHeight w:val="21"/>
        </w:trPr>
        <w:tc>
          <w:tcPr>
            <w:tcW w:w="9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20" w:firstLine="810"/>
        <w:spacing w:after="0" w:line="261" w:lineRule="auto"/>
        <w:rPr>
          <w:sz w:val="20"/>
          <w:szCs w:val="20"/>
          <w:color w:val="auto"/>
        </w:rPr>
      </w:pPr>
      <w:r>
        <w:rPr>
          <w:rFonts w:ascii="Arial" w:cs="Arial" w:eastAsia="Arial" w:hAnsi="Arial"/>
          <w:sz w:val="18"/>
          <w:szCs w:val="18"/>
          <w:color w:val="auto"/>
        </w:rPr>
        <w:t>Potentially dilutive securities outstanding and not included in the calculation of diluted net loss per share (because inclusion would be anti-dilutive) are as follows (in thousands, in common stock equivalent shares):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320" w:type="dxa"/>
            <w:vAlign w:val="bottom"/>
            <w:gridSpan w:val="4"/>
          </w:tcPr>
          <w:p>
            <w:pPr>
              <w:jc w:val="center"/>
              <w:ind w:left="448"/>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14"/>
                <w:szCs w:val="14"/>
                <w:color w:val="auto"/>
              </w:rPr>
            </w:pPr>
          </w:p>
        </w:tc>
      </w:tr>
      <w:tr>
        <w:trPr>
          <w:trHeight w:val="188"/>
        </w:trPr>
        <w:tc>
          <w:tcPr>
            <w:tcW w:w="54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r>
      <w:tr>
        <w:trPr>
          <w:trHeight w:val="183"/>
        </w:trPr>
        <w:tc>
          <w:tcPr>
            <w:tcW w:w="5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4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453"/>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8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6,195</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5,136</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5,992</w:t>
            </w:r>
          </w:p>
        </w:tc>
      </w:tr>
      <w:tr>
        <w:trPr>
          <w:trHeight w:val="230"/>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Unvested restricted stock units</w:t>
            </w:r>
          </w:p>
        </w:tc>
        <w:tc>
          <w:tcPr>
            <w:tcW w:w="1460" w:type="dxa"/>
            <w:vAlign w:val="bottom"/>
            <w:gridSpan w:val="3"/>
          </w:tcPr>
          <w:p>
            <w:pPr>
              <w:jc w:val="right"/>
              <w:ind w:right="10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Warrants to purchase common stock</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30"/>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Awards to be granted under the ESPP</w:t>
            </w:r>
          </w:p>
        </w:tc>
        <w:tc>
          <w:tcPr>
            <w:tcW w:w="1460" w:type="dxa"/>
            <w:vAlign w:val="bottom"/>
            <w:gridSpan w:val="3"/>
          </w:tcPr>
          <w:p>
            <w:pPr>
              <w:jc w:val="right"/>
              <w:ind w:right="10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senior notes (if-converted)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2,554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1,375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2,554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23"/>
        </w:trPr>
        <w:tc>
          <w:tcPr>
            <w:tcW w:w="546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2,584</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8,350</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8,115</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7,456</w:t>
            </w:r>
          </w:p>
        </w:tc>
      </w:tr>
      <w:tr>
        <w:trPr>
          <w:trHeight w:val="20"/>
        </w:trPr>
        <w:tc>
          <w:tcPr>
            <w:tcW w:w="5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firstLine="810"/>
        <w:spacing w:after="0" w:line="254" w:lineRule="auto"/>
        <w:rPr>
          <w:sz w:val="20"/>
          <w:szCs w:val="20"/>
          <w:color w:val="auto"/>
        </w:rPr>
      </w:pPr>
      <w:r>
        <w:rPr>
          <w:rFonts w:ascii="Arial" w:cs="Arial" w:eastAsia="Arial" w:hAnsi="Arial"/>
          <w:sz w:val="18"/>
          <w:szCs w:val="18"/>
          <w:color w:val="auto"/>
        </w:rPr>
        <w:t xml:space="preserve">In December 2019, the Financial Accounting Standards Board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which is intended to simplify various aspects of the income tax accounting guidance, including requirements such as tax basis step-up in goodwill obtained in a transaction that is not a business combination, ownership changes in investments, and interim-period accounting for enacted changes in tax law. ASU 2019-12 is effective for public business entities for fiscal years beginning after December 15, 2020, including interim periods within those fiscal years, and early adoption is permitted. The Company early adopted the new guidance in the second quarter of 2020. As a result, the Company recognized, on a prospective basis, $13,000 of income tax expense in the second quarter of 2020 upon the reversal of tax benefits recorded in the first quarter of 2020 related to unrealized gains on short-term investments.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In June 2020, the FASB issued ASU No. 2020-06, </w:t>
      </w:r>
      <w:r>
        <w:rPr>
          <w:rFonts w:ascii="Arial" w:cs="Arial" w:eastAsia="Arial" w:hAnsi="Arial"/>
          <w:sz w:val="18"/>
          <w:szCs w:val="18"/>
          <w:i w:val="1"/>
          <w:iCs w:val="1"/>
          <w:color w:val="auto"/>
        </w:rPr>
        <w:t>Accounting for Convertible Instruments and Contracts in</w:t>
      </w:r>
    </w:p>
    <w:p>
      <w:pPr>
        <w:spacing w:after="0" w:line="23"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i w:val="1"/>
          <w:iCs w:val="1"/>
          <w:color w:val="auto"/>
        </w:rPr>
        <w:t>an Entity’s Own Equity</w:t>
      </w:r>
      <w:r>
        <w:rPr>
          <w:rFonts w:ascii="Arial" w:cs="Arial" w:eastAsia="Arial" w:hAnsi="Arial"/>
          <w:sz w:val="16"/>
          <w:szCs w:val="16"/>
          <w:color w:val="auto"/>
        </w:rPr>
        <w:t>, which is intended to simplify the accounting for convertible instruments. This new guidance eliminates certain models that require</w:t>
      </w:r>
      <w:r>
        <w:rPr>
          <w:rFonts w:ascii="Arial" w:cs="Arial" w:eastAsia="Arial" w:hAnsi="Arial"/>
          <w:sz w:val="16"/>
          <w:szCs w:val="16"/>
          <w:i w:val="1"/>
          <w:iCs w:val="1"/>
          <w:color w:val="auto"/>
        </w:rPr>
        <w:t xml:space="preserve"> </w:t>
      </w:r>
      <w:r>
        <w:rPr>
          <w:rFonts w:ascii="Arial" w:cs="Arial" w:eastAsia="Arial" w:hAnsi="Arial"/>
          <w:sz w:val="16"/>
          <w:szCs w:val="16"/>
          <w:color w:val="auto"/>
        </w:rPr>
        <w:t>separate accounting for embedded conversion features, and eliminates certain of the conditions for equity classification for contracts in an entity’s own equity. Accordingly, a convertible debt instrument will be accounted for as a single liability measured at its amortized cost, as long as no other features require bifurcation and recognition as derivatives. The new guidance can be adopted through either a modified retrospective method of transition or a fully retrospective method of transition. ASU 2020-06 is effective for public business entities for fiscal years beginning after December 15, 2021, including interim periods within those fiscal years. Early adoption is permitted for fiscal years beginning after December 15, 2020, including interim periods within those fiscal years. The Company elected to early adopt the new standard on January 1, 2021 using the modified retrospective method, and recorded a net reduction to accumulated deficit of $9.0 million, a decrease to additional paid-in capital of $85.8 million, and an increase to convertible senior notes, net - long-term of $76.8 million to reflect the impact of the accounting change (see Note 7, “Convertible Senior Notes”).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Short-Term Investments</w:t>
      </w:r>
    </w:p>
    <w:p>
      <w:pPr>
        <w:spacing w:after="0" w:line="229" w:lineRule="exact"/>
        <w:rPr>
          <w:sz w:val="20"/>
          <w:szCs w:val="20"/>
          <w:color w:val="auto"/>
        </w:rPr>
      </w:pPr>
    </w:p>
    <w:p>
      <w:pPr>
        <w:jc w:val="both"/>
        <w:ind w:right="160" w:firstLine="810"/>
        <w:spacing w:after="0" w:line="263" w:lineRule="auto"/>
        <w:rPr>
          <w:sz w:val="20"/>
          <w:szCs w:val="20"/>
          <w:color w:val="auto"/>
        </w:rPr>
      </w:pPr>
      <w:r>
        <w:rPr>
          <w:rFonts w:ascii="Arial" w:cs="Arial" w:eastAsia="Arial" w:hAnsi="Arial"/>
          <w:sz w:val="18"/>
          <w:szCs w:val="18"/>
          <w:color w:val="auto"/>
        </w:rPr>
        <w:t>The Company invests in marketable securities primarily consisting of debt instruments of the U.S. Government, U.S. Government-sponsored enterprises, and financial institutions and corporations with strong credit ratings. The following represents a summary of the estimated fair value of short-term investments as of June 30, 2021 and December 31, 2020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June 30, 2021</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Gross Unrealized</w:t>
            </w:r>
          </w:p>
        </w:tc>
        <w:tc>
          <w:tcPr>
            <w:tcW w:w="22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gridSpan w:val="3"/>
            <w:vMerge w:val="continue"/>
          </w:tcPr>
          <w:p>
            <w:pPr>
              <w:spacing w:after="0"/>
              <w:rPr>
                <w:sz w:val="12"/>
                <w:szCs w:val="12"/>
                <w:color w:val="auto"/>
              </w:rPr>
            </w:pP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Gain</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2"/>
                <w:szCs w:val="12"/>
                <w:color w:val="auto"/>
              </w:rPr>
            </w:pPr>
          </w:p>
        </w:tc>
        <w:tc>
          <w:tcPr>
            <w:tcW w:w="10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1020" w:type="dxa"/>
            <w:vAlign w:val="bottom"/>
            <w:tcBorders>
              <w:top w:val="single" w:sz="8" w:color="auto"/>
              <w:bottom w:val="single" w:sz="8" w:color="CFF0FC"/>
            </w:tcBorders>
          </w:tcPr>
          <w:p>
            <w:pPr>
              <w:spacing w:after="0" w:line="20" w:lineRule="exact"/>
              <w:rPr>
                <w:sz w:val="1"/>
                <w:szCs w:val="1"/>
                <w:color w:val="auto"/>
              </w:rPr>
            </w:pPr>
          </w:p>
        </w:tc>
        <w:tc>
          <w:tcPr>
            <w:tcW w:w="340" w:type="dxa"/>
            <w:vAlign w:val="bottom"/>
            <w:tcBorders>
              <w:bottom w:val="single" w:sz="8" w:color="CFF0FC"/>
            </w:tcBorders>
          </w:tcPr>
          <w:p>
            <w:pPr>
              <w:spacing w:after="0" w:line="20" w:lineRule="exact"/>
              <w:rPr>
                <w:sz w:val="1"/>
                <w:szCs w:val="1"/>
                <w:color w:val="auto"/>
              </w:rPr>
            </w:pPr>
          </w:p>
        </w:tc>
        <w:tc>
          <w:tcPr>
            <w:tcW w:w="2820" w:type="dxa"/>
            <w:vAlign w:val="bottom"/>
            <w:tcBorders>
              <w:bottom w:val="single" w:sz="8" w:color="CFF0FC"/>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4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Available-for-sale securities:</w:t>
            </w: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Commercial paper</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Less than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222,319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222,328</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41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U.S. Government-sponsored enterprise</w:t>
            </w:r>
          </w:p>
        </w:tc>
        <w:tc>
          <w:tcPr>
            <w:tcW w:w="142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88"/>
              </w:rPr>
              <w:t>Less than 2</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63,175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U.S. Treasury securities</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Less than 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104,937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104,916</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41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Corporate debt securities</w:t>
            </w:r>
          </w:p>
        </w:tc>
        <w:tc>
          <w:tcPr>
            <w:tcW w:w="142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88"/>
              </w:rPr>
              <w:t>Less than 2</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53,303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Supranational bonds</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Less than 1</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18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446,724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December 31, 2020</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Gross Unrealized</w:t>
            </w:r>
          </w:p>
        </w:tc>
        <w:tc>
          <w:tcPr>
            <w:tcW w:w="220" w:type="dxa"/>
            <w:vAlign w:val="bottom"/>
          </w:tcPr>
          <w:p>
            <w:pPr>
              <w:spacing w:after="0"/>
              <w:rPr>
                <w:sz w:val="24"/>
                <w:szCs w:val="24"/>
                <w:color w:val="auto"/>
              </w:rPr>
            </w:pPr>
          </w:p>
        </w:tc>
        <w:tc>
          <w:tcPr>
            <w:tcW w:w="1080" w:type="dxa"/>
            <w:vAlign w:val="bottom"/>
          </w:tcPr>
          <w:p>
            <w:pPr>
              <w:ind w:lef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3"/>
            <w:vMerge w:val="continue"/>
          </w:tcPr>
          <w:p>
            <w:pPr>
              <w:spacing w:after="0"/>
              <w:rPr>
                <w:sz w:val="12"/>
                <w:szCs w:val="12"/>
                <w:color w:val="auto"/>
              </w:rPr>
            </w:pP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Gain</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2"/>
                <w:szCs w:val="12"/>
                <w:color w:val="auto"/>
              </w:rPr>
            </w:pPr>
          </w:p>
        </w:tc>
        <w:tc>
          <w:tcPr>
            <w:tcW w:w="10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1020" w:type="dxa"/>
            <w:vAlign w:val="bottom"/>
            <w:tcBorders>
              <w:top w:val="single" w:sz="8" w:color="auto"/>
              <w:bottom w:val="single" w:sz="8" w:color="CFF0FC"/>
            </w:tcBorders>
          </w:tcPr>
          <w:p>
            <w:pPr>
              <w:spacing w:after="0" w:line="20" w:lineRule="exact"/>
              <w:rPr>
                <w:sz w:val="1"/>
                <w:szCs w:val="1"/>
                <w:color w:val="auto"/>
              </w:rPr>
            </w:pPr>
          </w:p>
        </w:tc>
        <w:tc>
          <w:tcPr>
            <w:tcW w:w="340" w:type="dxa"/>
            <w:vAlign w:val="bottom"/>
            <w:tcBorders>
              <w:top w:val="single" w:sz="8" w:color="auto"/>
              <w:bottom w:val="single" w:sz="8" w:color="CFF0FC"/>
            </w:tcBorders>
          </w:tcPr>
          <w:p>
            <w:pPr>
              <w:spacing w:after="0" w:line="20" w:lineRule="exact"/>
              <w:rPr>
                <w:sz w:val="1"/>
                <w:szCs w:val="1"/>
                <w:color w:val="auto"/>
              </w:rPr>
            </w:pPr>
          </w:p>
        </w:tc>
        <w:tc>
          <w:tcPr>
            <w:tcW w:w="2820" w:type="dxa"/>
            <w:vAlign w:val="bottom"/>
            <w:tcBorders>
              <w:bottom w:val="single" w:sz="8" w:color="CFF0FC"/>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4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Available-for-sale securities:</w:t>
            </w: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Commercial paper</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Less than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108,892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108,896</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41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U.S. Government-sponsored enterprise</w:t>
            </w:r>
          </w:p>
        </w:tc>
        <w:tc>
          <w:tcPr>
            <w:tcW w:w="142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88"/>
              </w:rPr>
              <w:t>Less than 2</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52,330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U.S. Treasury securities</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Less than 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143,244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143,254</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41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Corporate debt securities</w:t>
            </w:r>
          </w:p>
        </w:tc>
        <w:tc>
          <w:tcPr>
            <w:tcW w:w="142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88"/>
              </w:rPr>
              <w:t>Less than 2</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85,788</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390,254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810"/>
        <w:spacing w:after="0" w:line="277" w:lineRule="auto"/>
        <w:rPr>
          <w:sz w:val="20"/>
          <w:szCs w:val="20"/>
          <w:color w:val="auto"/>
        </w:rPr>
      </w:pPr>
      <w:r>
        <w:rPr>
          <w:rFonts w:ascii="Arial" w:cs="Arial" w:eastAsia="Arial" w:hAnsi="Arial"/>
          <w:sz w:val="18"/>
          <w:szCs w:val="18"/>
          <w:color w:val="auto"/>
        </w:rPr>
        <w:t>The Company has classified all marketable securities, regardless of maturity, as short-term investments based upon the Company’s ability and intent to use any of those marketable securities to satisfy the Company’s liquidity requirements.</w:t>
      </w:r>
    </w:p>
    <w:p>
      <w:pPr>
        <w:spacing w:after="0" w:line="197"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The Company periodically reviews the portfolio of available-for-sale debt securities to determine if any investment is impaired due to changes in credit risk or other potential valuation concerns. Unrealized losses on available-for-sale debt securities at June 30, 2021 were not significant and were due to changes in interest rates, including credit spreads from perceived increased credit risks as a result of the COVID-19 global pandemic. The Company does not intend to sell the available-for-sale debt securities that are in an unrealized loss position, and it is not more likely than not that the Company will be required to sell these debt securities before recovery of their amortized cost bases, which may be at maturity. Based on the credit quality of the available-for-sale debt securities in an unrealized loss position, and the Company’s estimates of future cash flows to be collected from those securities, the Company believes the unrealized losses are not credit losses. Accordingly, the Company did not recognize any impairment losses related to its available-for-sale debt securities at June 30, 2021.</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and Inventories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Accounts receivable consisted of the following (in thousands):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4"/>
                <w:szCs w:val="14"/>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83,885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8"/>
              </w:rPr>
              <w:t>86,052</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credit losses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4"/>
              </w:rPr>
              <w:t>(3,673)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1"/>
              </w:rPr>
              <w:t>(3,857)</w:t>
            </w:r>
          </w:p>
        </w:tc>
      </w:tr>
      <w:tr>
        <w:trPr>
          <w:trHeight w:val="248"/>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80,212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8"/>
              </w:rPr>
              <w:t>82,195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ind w:right="280" w:firstLine="810"/>
        <w:spacing w:after="0" w:line="277" w:lineRule="auto"/>
        <w:rPr>
          <w:sz w:val="20"/>
          <w:szCs w:val="20"/>
          <w:color w:val="auto"/>
        </w:rPr>
      </w:pPr>
      <w:r>
        <w:rPr>
          <w:rFonts w:ascii="Arial" w:cs="Arial" w:eastAsia="Arial" w:hAnsi="Arial"/>
          <w:sz w:val="18"/>
          <w:szCs w:val="18"/>
          <w:color w:val="auto"/>
        </w:rPr>
        <w:t>The following table provides a reconciliation of the changes in the estimated allowance for expected accounts receivable credit losses for the three and six months ended June 30, 2021 and 2020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2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7"/>
          </w:tcPr>
          <w:p>
            <w:pPr>
              <w:ind w:lef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56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3,559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Provision for expected credit losses</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Write-offs and adjustments, net of recoveries</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Balance at end of the period</w:t>
            </w: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3,673</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3,139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66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60" w:type="dxa"/>
            <w:vAlign w:val="bottom"/>
            <w:gridSpan w:val="5"/>
          </w:tcPr>
          <w:p>
            <w:pPr>
              <w:jc w:val="right"/>
              <w:spacing w:after="0"/>
              <w:rPr>
                <w:sz w:val="20"/>
                <w:szCs w:val="20"/>
                <w:color w:val="auto"/>
              </w:rPr>
            </w:pPr>
            <w:r>
              <w:rPr>
                <w:rFonts w:ascii="Arial" w:cs="Arial" w:eastAsia="Arial" w:hAnsi="Arial"/>
                <w:sz w:val="18"/>
                <w:szCs w:val="18"/>
                <w:color w:val="auto"/>
              </w:rPr>
              <w:t>Inventories consisted of the following as of June 30, 2021 and December 31, 2020 (in thousands):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40" w:type="dxa"/>
            <w:vAlign w:val="bottom"/>
            <w:tcBorders>
              <w:bottom w:val="single" w:sz="8" w:color="CFF0FC"/>
            </w:tcBorders>
          </w:tcPr>
          <w:p>
            <w:pPr>
              <w:spacing w:after="0"/>
              <w:rPr>
                <w:sz w:val="16"/>
                <w:szCs w:val="16"/>
                <w:color w:val="auto"/>
              </w:rPr>
            </w:pPr>
          </w:p>
        </w:tc>
        <w:tc>
          <w:tcPr>
            <w:tcW w:w="800" w:type="dxa"/>
            <w:vAlign w:val="bottom"/>
            <w:tcBorders>
              <w:bottom w:val="single" w:sz="8" w:color="CFF0FC"/>
            </w:tcBorders>
          </w:tcPr>
          <w:p>
            <w:pPr>
              <w:spacing w:after="0"/>
              <w:rPr>
                <w:sz w:val="16"/>
                <w:szCs w:val="16"/>
                <w:color w:val="auto"/>
              </w:rPr>
            </w:pPr>
          </w:p>
        </w:tc>
        <w:tc>
          <w:tcPr>
            <w:tcW w:w="50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820" w:type="dxa"/>
            <w:vAlign w:val="bottom"/>
            <w:tcBorders>
              <w:bottom w:val="single" w:sz="8" w:color="CFF0FC"/>
            </w:tcBorders>
          </w:tcPr>
          <w:p>
            <w:pPr>
              <w:spacing w:after="0"/>
              <w:rPr>
                <w:sz w:val="16"/>
                <w:szCs w:val="16"/>
                <w:color w:val="auto"/>
              </w:rPr>
            </w:pPr>
          </w:p>
        </w:tc>
        <w:tc>
          <w:tcPr>
            <w:tcW w:w="5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22,684</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16,360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27,661</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66,705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Authoritative guidance on fair value measurements defines fair value, and provides a consistent framework for measuring fair value and for disclosures of each major asset and liability category measured at fair value on either a recurring or a nonrecurring basis. Fair value is intended to reflect an assumed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192" w:lineRule="exact"/>
        <w:rPr>
          <w:sz w:val="20"/>
          <w:szCs w:val="20"/>
          <w:color w:val="auto"/>
        </w:rPr>
      </w:pPr>
    </w:p>
    <w:p>
      <w:pPr>
        <w:ind w:left="780" w:right="20" w:hanging="809"/>
        <w:spacing w:after="0" w:line="277" w:lineRule="auto"/>
        <w:tabs>
          <w:tab w:leader="none" w:pos="760" w:val="left"/>
        </w:tabs>
        <w:rPr>
          <w:sz w:val="20"/>
          <w:szCs w:val="20"/>
          <w:color w:val="auto"/>
        </w:rPr>
      </w:pPr>
      <w:r>
        <w:rPr>
          <w:rFonts w:ascii="Arial" w:cs="Arial" w:eastAsia="Arial" w:hAnsi="Arial"/>
          <w:sz w:val="18"/>
          <w:szCs w:val="18"/>
          <w:color w:val="auto"/>
        </w:rPr>
        <w:t>Level 1:</w:t>
        <w:tab/>
        <w:t>Observable inputs such as unadjusted quoted prices in active markets that are accessible at the measurement date for identical, unrestricted assets or liabilities.</w:t>
      </w:r>
    </w:p>
    <w:p>
      <w:pPr>
        <w:spacing w:after="0" w:line="170" w:lineRule="exact"/>
        <w:rPr>
          <w:sz w:val="20"/>
          <w:szCs w:val="20"/>
          <w:color w:val="auto"/>
        </w:rPr>
      </w:pPr>
    </w:p>
    <w:p>
      <w:pPr>
        <w:ind w:left="780" w:right="280" w:hanging="809"/>
        <w:spacing w:after="0" w:line="277" w:lineRule="auto"/>
        <w:tabs>
          <w:tab w:leader="none" w:pos="760" w:val="left"/>
        </w:tabs>
        <w:rPr>
          <w:sz w:val="20"/>
          <w:szCs w:val="20"/>
          <w:color w:val="auto"/>
        </w:rPr>
      </w:pPr>
      <w:r>
        <w:rPr>
          <w:rFonts w:ascii="Arial" w:cs="Arial" w:eastAsia="Arial" w:hAnsi="Arial"/>
          <w:sz w:val="18"/>
          <w:szCs w:val="18"/>
          <w:color w:val="auto"/>
        </w:rPr>
        <w:t>Level 2:</w:t>
        <w:tab/>
        <w:t>Inputs, other than quoted prices in active markets, that are observable either directly or indirectly for substantially the full term of the asset or liability.</w:t>
      </w:r>
    </w:p>
    <w:p>
      <w:pPr>
        <w:spacing w:after="0" w:line="170" w:lineRule="exact"/>
        <w:rPr>
          <w:sz w:val="20"/>
          <w:szCs w:val="20"/>
          <w:color w:val="auto"/>
        </w:rPr>
      </w:pPr>
    </w:p>
    <w:p>
      <w:pPr>
        <w:ind w:left="780" w:hanging="809"/>
        <w:spacing w:after="0" w:line="277" w:lineRule="auto"/>
        <w:tabs>
          <w:tab w:leader="none" w:pos="760" w:val="left"/>
        </w:tabs>
        <w:rPr>
          <w:sz w:val="20"/>
          <w:szCs w:val="20"/>
          <w:color w:val="auto"/>
        </w:rPr>
      </w:pPr>
      <w:r>
        <w:rPr>
          <w:rFonts w:ascii="Arial" w:cs="Arial" w:eastAsia="Arial" w:hAnsi="Arial"/>
          <w:sz w:val="18"/>
          <w:szCs w:val="18"/>
          <w:color w:val="auto"/>
        </w:rPr>
        <w:t>Level 3:</w:t>
        <w:tab/>
        <w:t>Unobservable inputs in which there is little or no market data and that are significant to the fair value of the assets or liabilities, which require the reporting entity to develop its own valuation techniques that require input assumptions.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40" w:firstLine="810"/>
        <w:spacing w:after="0" w:line="263"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as of June 30, 2021 and December 31, 2020, and indicates the fair value hierarchy of the valuation techniques utilized by the Company to determine such fair value (in thousands):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gridSpan w:val="7"/>
          </w:tcPr>
          <w:p>
            <w:pPr>
              <w:jc w:val="center"/>
              <w:ind w:right="192"/>
              <w:spacing w:after="0"/>
              <w:rPr>
                <w:sz w:val="20"/>
                <w:szCs w:val="20"/>
                <w:color w:val="auto"/>
              </w:rPr>
            </w:pPr>
            <w:r>
              <w:rPr>
                <w:rFonts w:ascii="Arial" w:cs="Arial" w:eastAsia="Arial" w:hAnsi="Arial"/>
                <w:sz w:val="14"/>
                <w:szCs w:val="14"/>
                <w:b w:val="1"/>
                <w:bCs w:val="1"/>
                <w:color w:val="auto"/>
                <w:w w:val="92"/>
              </w:rPr>
              <w:t>Fair Value Measurements at June 30, 2021</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7"/>
                <w:szCs w:val="17"/>
                <w:color w:val="auto"/>
              </w:rPr>
            </w:pPr>
          </w:p>
        </w:tc>
        <w:tc>
          <w:tcPr>
            <w:tcW w:w="1160" w:type="dxa"/>
            <w:vAlign w:val="bottom"/>
          </w:tcPr>
          <w:p>
            <w:pPr>
              <w:jc w:val="right"/>
              <w:ind w:right="37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line="230" w:lineRule="exact"/>
              <w:rPr>
                <w:sz w:val="20"/>
                <w:szCs w:val="20"/>
                <w:color w:val="auto"/>
              </w:rPr>
            </w:pPr>
            <w:r>
              <w:rPr>
                <w:rFonts w:ascii="Arial" w:cs="Arial" w:eastAsia="Arial" w:hAnsi="Arial"/>
                <w:sz w:val="18"/>
                <w:szCs w:val="18"/>
                <w:color w:val="auto"/>
              </w:rPr>
              <w:t>Cash equivalents</w:t>
            </w:r>
            <w:r>
              <w:rPr>
                <w:rFonts w:ascii="Arial" w:cs="Arial" w:eastAsia="Arial" w:hAnsi="Arial"/>
                <w:sz w:val="21"/>
                <w:szCs w:val="21"/>
                <w:color w:val="auto"/>
                <w:vertAlign w:val="superscript"/>
              </w:rPr>
              <w:t>(1)</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94,966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94,966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U.S. Government-sponsored enterprise</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63,174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63,174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53,296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53,296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Supranational bonds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541,690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199,882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341,808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1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23"/>
        </w:trPr>
        <w:tc>
          <w:tcPr>
            <w:tcW w:w="516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9"/>
        </w:trPr>
        <w:tc>
          <w:tcPr>
            <w:tcW w:w="5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7"/>
          </w:tcPr>
          <w:p>
            <w:pPr>
              <w:jc w:val="center"/>
              <w:ind w:right="192"/>
              <w:spacing w:after="0"/>
              <w:rPr>
                <w:sz w:val="20"/>
                <w:szCs w:val="20"/>
                <w:color w:val="auto"/>
              </w:rPr>
            </w:pPr>
            <w:r>
              <w:rPr>
                <w:rFonts w:ascii="Arial" w:cs="Arial" w:eastAsia="Arial" w:hAnsi="Arial"/>
                <w:sz w:val="14"/>
                <w:szCs w:val="14"/>
                <w:b w:val="1"/>
                <w:bCs w:val="1"/>
                <w:color w:val="auto"/>
                <w:w w:val="92"/>
              </w:rPr>
              <w:t>Fair Value Measurements at December 31, 2020</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7"/>
                <w:szCs w:val="17"/>
                <w:color w:val="auto"/>
              </w:rPr>
            </w:pPr>
          </w:p>
        </w:tc>
        <w:tc>
          <w:tcPr>
            <w:tcW w:w="1160" w:type="dxa"/>
            <w:vAlign w:val="bottom"/>
          </w:tcPr>
          <w:p>
            <w:pPr>
              <w:jc w:val="right"/>
              <w:ind w:right="37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5"/>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Cash equivalents</w:t>
            </w:r>
            <w:r>
              <w:rPr>
                <w:rFonts w:ascii="Arial" w:cs="Arial" w:eastAsia="Arial" w:hAnsi="Arial"/>
                <w:sz w:val="10"/>
                <w:szCs w:val="10"/>
                <w:color w:val="auto"/>
              </w:rPr>
              <w:t>(1)</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87,300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87,300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U.S. Government-sponsored enterprise</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52,350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52,350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85,823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85,823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Common stock warrants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14,261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14,261</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 Generally, cash equivalents include money market funds and investments with a maturity of three months or less from the date of purchase.</w:t>
      </w:r>
    </w:p>
    <w:p>
      <w:pPr>
        <w:spacing w:after="0" w:line="237"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w:t>
      </w:r>
    </w:p>
    <w:p>
      <w:pPr>
        <w:spacing w:after="0" w:line="187" w:lineRule="exact"/>
        <w:rPr>
          <w:sz w:val="20"/>
          <w:szCs w:val="20"/>
          <w:color w:val="auto"/>
        </w:rPr>
      </w:pPr>
    </w:p>
    <w:p>
      <w:pPr>
        <w:jc w:val="both"/>
        <w:ind w:right="40" w:firstLine="810"/>
        <w:spacing w:after="0" w:line="311" w:lineRule="auto"/>
        <w:rPr>
          <w:sz w:val="20"/>
          <w:szCs w:val="20"/>
          <w:color w:val="auto"/>
        </w:rPr>
      </w:pPr>
      <w:r>
        <w:rPr>
          <w:rFonts w:ascii="Arial" w:cs="Arial" w:eastAsia="Arial" w:hAnsi="Arial"/>
          <w:sz w:val="16"/>
          <w:szCs w:val="16"/>
          <w:color w:val="auto"/>
        </w:rPr>
        <w:t>The Company’s Level 3 liabilities at June 30, 2021 and December 31, 2020 include the remaining Series A warrants issued by the Company in connection with the public offering of common stock in October 2017, and which expire in October 2022. As of June 30, 2021 and 2020, there were Series A warrants outstanding to purchase 29,700 shares and 415,200 shares, respectively, of the Company’s common stock (see Note 8, “Stockholders’ Equity”).</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10"/>
        <w:spacing w:after="0" w:line="273" w:lineRule="auto"/>
        <w:rPr>
          <w:sz w:val="20"/>
          <w:szCs w:val="20"/>
          <w:color w:val="auto"/>
        </w:rPr>
      </w:pPr>
      <w:r>
        <w:rPr>
          <w:rFonts w:ascii="Arial" w:cs="Arial" w:eastAsia="Arial" w:hAnsi="Arial"/>
          <w:sz w:val="17"/>
          <w:szCs w:val="17"/>
          <w:color w:val="auto"/>
        </w:rPr>
        <w:t>The Company reassesses the fair value of the outstanding Series A warrants at each reporting date utilizing a Black-Scholes pricing model. Variables used in the pricing model include the closing market price of the Company’s common stock at the balance sheet date, and estimates of stock price volatility, dividend yield, remaining warrant term and risk-free interest rate. The Company develops its estimates based on publicly available historical data. A significant increase (decrease) in any of these inputs in isolation, particularly the market price of the Company’s common stock, would have resulted in a significantly higher (lower) fair value measurement. The assumptions used to estimate the fair values of the outstanding Series A warrants at June 30, 2021 and December 31, 2020 are presented below:</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3640" w:type="dxa"/>
            <w:vAlign w:val="bottom"/>
            <w:tcBorders>
              <w:bottom w:val="single" w:sz="8" w:color="auto"/>
            </w:tcBorders>
            <w:gridSpan w:val="3"/>
          </w:tcPr>
          <w:p>
            <w:pPr>
              <w:jc w:val="right"/>
              <w:ind w:right="1154"/>
              <w:spacing w:after="0"/>
              <w:rPr>
                <w:sz w:val="20"/>
                <w:szCs w:val="20"/>
                <w:color w:val="auto"/>
              </w:rPr>
            </w:pPr>
            <w:r>
              <w:rPr>
                <w:rFonts w:ascii="Arial" w:cs="Arial" w:eastAsia="Arial" w:hAnsi="Arial"/>
                <w:sz w:val="14"/>
                <w:szCs w:val="14"/>
                <w:b w:val="1"/>
                <w:bCs w:val="1"/>
                <w:color w:val="auto"/>
              </w:rPr>
              <w:t>Series A Warrants</w:t>
            </w:r>
          </w:p>
        </w:tc>
      </w:tr>
      <w:tr>
        <w:trPr>
          <w:trHeight w:val="187"/>
        </w:trPr>
        <w:tc>
          <w:tcPr>
            <w:tcW w:w="7560" w:type="dxa"/>
            <w:vAlign w:val="bottom"/>
          </w:tcPr>
          <w:p>
            <w:pPr>
              <w:spacing w:after="0"/>
              <w:rPr>
                <w:sz w:val="16"/>
                <w:szCs w:val="16"/>
                <w:color w:val="auto"/>
              </w:rPr>
            </w:pPr>
          </w:p>
        </w:tc>
        <w:tc>
          <w:tcPr>
            <w:tcW w:w="188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 2021</w:t>
            </w:r>
          </w:p>
        </w:tc>
        <w:tc>
          <w:tcPr>
            <w:tcW w:w="176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 2020</w:t>
            </w:r>
          </w:p>
        </w:tc>
      </w:tr>
      <w:tr>
        <w:trPr>
          <w:trHeight w:val="224"/>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76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0.0 %</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55.3 %</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Remaining term (in years)</w:t>
            </w:r>
          </w:p>
        </w:tc>
        <w:tc>
          <w:tcPr>
            <w:tcW w:w="17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following table presents a summary of changes in the fair value of the Company’s Level 3 financial liabilities for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r>
      <w:tr>
        <w:trPr>
          <w:trHeight w:val="187"/>
        </w:trPr>
        <w:tc>
          <w:tcPr>
            <w:tcW w:w="78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23,509</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Loss recognized from the change in fair value of common stock warrants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16,258</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 exercised during the period</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(12,434)</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3"/>
        </w:trPr>
        <w:tc>
          <w:tcPr>
            <w:tcW w:w="7800" w:type="dxa"/>
            <w:vAlign w:val="bottom"/>
          </w:tcPr>
          <w:p>
            <w:pPr>
              <w:ind w:left="180"/>
              <w:spacing w:after="0"/>
              <w:rPr>
                <w:sz w:val="20"/>
                <w:szCs w:val="20"/>
                <w:color w:val="auto"/>
              </w:rPr>
            </w:pPr>
            <w:r>
              <w:rPr>
                <w:rFonts w:ascii="Arial" w:cs="Arial" w:eastAsia="Arial" w:hAnsi="Arial"/>
                <w:sz w:val="18"/>
                <w:szCs w:val="18"/>
                <w:color w:val="auto"/>
              </w:rPr>
              <w:t>Balance at end of the period</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39,625</w:t>
            </w:r>
          </w:p>
        </w:tc>
      </w:tr>
      <w:tr>
        <w:trPr>
          <w:trHeight w:val="20"/>
        </w:trPr>
        <w:tc>
          <w:tcPr>
            <w:tcW w:w="7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810"/>
        <w:spacing w:after="0" w:line="277" w:lineRule="auto"/>
        <w:rPr>
          <w:sz w:val="20"/>
          <w:szCs w:val="20"/>
          <w:color w:val="auto"/>
        </w:rPr>
      </w:pPr>
      <w:r>
        <w:rPr>
          <w:rFonts w:ascii="Arial" w:cs="Arial" w:eastAsia="Arial" w:hAnsi="Arial"/>
          <w:sz w:val="18"/>
          <w:szCs w:val="18"/>
          <w:color w:val="auto"/>
        </w:rPr>
        <w:t>Of the loss recognized from the change in fair value of common stock warrants for the six months ended June 30, 2021 and 2020, $0.1 million and $16.2 million, respectively, was attributable to warrants outstanding as of June 30, 2021 and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color w:val="auto"/>
        </w:rPr>
        <w:t>The Company’s leases consist of operating leases for general office space, laboratory, manufacturing and warehouse facilities, and equipment. These noncancellable operating leases have initial lease terms ranging from one year to seven years. Leases with an initial term of 12 months or less are expensed as incurred and are not recorded as right-of-use assets on the Company’s condensed consolidated balance sheets. Certain leases include an option to renew, with renewal terms that can extend the lease term for additional periods. The exercise of lease renewal options is at the Company’s sole discretion. For renewal options that are reasonably certain at the lease Commencement Date of being exercised, the Company includes the renewal option period in the lease term. The depreciable life of assets and leasehold improvements are limited by the expected lease term, unless there is a transfer of title or purchase option that is reasonably certain to be exercised.</w:t>
      </w:r>
    </w:p>
    <w:p>
      <w:pPr>
        <w:spacing w:after="0" w:line="177" w:lineRule="exact"/>
        <w:rPr>
          <w:sz w:val="20"/>
          <w:szCs w:val="20"/>
          <w:color w:val="auto"/>
        </w:rPr>
      </w:pPr>
    </w:p>
    <w:p>
      <w:pPr>
        <w:ind w:right="160" w:firstLine="810"/>
        <w:spacing w:after="0" w:line="259" w:lineRule="auto"/>
        <w:rPr>
          <w:sz w:val="20"/>
          <w:szCs w:val="20"/>
          <w:color w:val="auto"/>
        </w:rPr>
      </w:pPr>
      <w:r>
        <w:rPr>
          <w:rFonts w:ascii="Arial" w:cs="Arial" w:eastAsia="Arial" w:hAnsi="Arial"/>
          <w:sz w:val="18"/>
          <w:szCs w:val="18"/>
          <w:color w:val="auto"/>
        </w:rPr>
        <w:t>The Company recognizes lease expense for these leases on a straight-line basis over the lease term. Because the Company’s leases do not provide an implicit interest rate, the Company uses its incremental borrowing rate based on the information available at the lease Commencement Date in determining the present value of future lease payments. The Company used the incremental borrowing rate on January 1, 2019 for operating leases that commenced prior to that date.</w:t>
      </w:r>
    </w:p>
    <w:p>
      <w:pPr>
        <w:spacing w:after="0" w:line="187" w:lineRule="exact"/>
        <w:rPr>
          <w:sz w:val="20"/>
          <w:szCs w:val="20"/>
          <w:color w:val="auto"/>
        </w:rPr>
      </w:pPr>
    </w:p>
    <w:p>
      <w:pPr>
        <w:ind w:right="60" w:firstLine="810"/>
        <w:spacing w:after="0" w:line="290" w:lineRule="auto"/>
        <w:rPr>
          <w:sz w:val="20"/>
          <w:szCs w:val="20"/>
          <w:color w:val="auto"/>
        </w:rPr>
      </w:pPr>
      <w:r>
        <w:rPr>
          <w:rFonts w:ascii="Arial" w:cs="Arial" w:eastAsia="Arial" w:hAnsi="Arial"/>
          <w:sz w:val="16"/>
          <w:szCs w:val="16"/>
          <w:color w:val="auto"/>
        </w:rPr>
        <w:t>In March 2021, the Company entered into a second amendment (Second Amendment) to its lease agreement covering approximately 59,013 square feet of general administrative office space (Existing Premises) located on Vista Sorrento Parkway, in San Diego, California (Vista Sorrento Lease). The Second Amendment expanded the Existing Premises by adding approximately 14,916 square feet of general administrative office space (Expansion Space), and extended the lease term for the Existing Premises through January 2028. The Expansion Space lease Commencement Date occurred in March 2021, and the lease term expires in January 2028. The Company has two options to extend the term of the Vista Sorrento Lease, covering both the Existing Premises and the Expansion Space, with each option providing for an additional period of five years. The Vista Sorrento Lease term was determined assuming the renewal options would not be exercised. The Company recognized right-of-use leased assets and corresponding operating lease liabilities of $15.1 million on the condensed consolidated balance sheet in the first quarter of 2021 related to the Second Amendment.</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Company’s lease cost recorded in the condensed consolidated statements of operations was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32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80" w:type="dxa"/>
            <w:vAlign w:val="bottom"/>
            <w:gridSpan w:val="7"/>
          </w:tcPr>
          <w:p>
            <w:pPr>
              <w:jc w:val="center"/>
              <w:ind w:right="8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7"/>
          </w:tcPr>
          <w:p>
            <w:pPr>
              <w:jc w:val="center"/>
              <w:ind w:right="8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83"/>
        </w:trPr>
        <w:tc>
          <w:tcPr>
            <w:tcW w:w="40" w:type="dxa"/>
            <w:vAlign w:val="bottom"/>
            <w:tcBorders>
              <w:bottom w:val="single" w:sz="8" w:color="CCEEFF"/>
            </w:tcBorders>
          </w:tcPr>
          <w:p>
            <w:pPr>
              <w:spacing w:after="0"/>
              <w:rPr>
                <w:sz w:val="15"/>
                <w:szCs w:val="15"/>
                <w:color w:val="auto"/>
              </w:rPr>
            </w:pPr>
          </w:p>
        </w:tc>
        <w:tc>
          <w:tcPr>
            <w:tcW w:w="54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2,197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1,899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4,203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Short-term lease cost</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cost</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2,219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1,970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4,247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0" w:type="dxa"/>
            <w:vAlign w:val="bottom"/>
          </w:tcPr>
          <w:p>
            <w:pPr>
              <w:spacing w:after="0"/>
              <w:rPr>
                <w:sz w:val="24"/>
                <w:szCs w:val="24"/>
                <w:color w:val="auto"/>
              </w:rPr>
            </w:pPr>
          </w:p>
        </w:tc>
        <w:tc>
          <w:tcPr>
            <w:tcW w:w="7740" w:type="dxa"/>
            <w:vAlign w:val="bottom"/>
            <w:gridSpan w:val="5"/>
          </w:tcPr>
          <w:p>
            <w:pPr>
              <w:ind w:left="780"/>
              <w:spacing w:after="0"/>
              <w:rPr>
                <w:sz w:val="20"/>
                <w:szCs w:val="20"/>
                <w:color w:val="auto"/>
              </w:rPr>
            </w:pPr>
            <w:r>
              <w:rPr>
                <w:rFonts w:ascii="Arial" w:cs="Arial" w:eastAsia="Arial" w:hAnsi="Arial"/>
                <w:sz w:val="18"/>
                <w:szCs w:val="18"/>
                <w:color w:val="auto"/>
              </w:rPr>
              <w:t>Maturities of operating lease liabilities at June 30, 2021 were as follows (in thousands):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46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 (remaining)</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amount representing interest</w:t>
            </w:r>
          </w:p>
        </w:tc>
        <w:tc>
          <w:tcPr>
            <w:tcW w:w="8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(6,237)</w:t>
            </w:r>
          </w:p>
        </w:tc>
        <w:tc>
          <w:tcPr>
            <w:tcW w:w="0" w:type="dxa"/>
            <w:vAlign w:val="bottom"/>
          </w:tcPr>
          <w:p>
            <w:pPr>
              <w:spacing w:after="0"/>
              <w:rPr>
                <w:sz w:val="1"/>
                <w:szCs w:val="1"/>
                <w:color w:val="auto"/>
              </w:rPr>
            </w:pPr>
          </w:p>
        </w:tc>
      </w:tr>
      <w:tr>
        <w:trPr>
          <w:trHeight w:val="223"/>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operating lease liabilities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8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(9,260)</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 long term</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27,376</w:t>
            </w:r>
          </w:p>
        </w:tc>
        <w:tc>
          <w:tcPr>
            <w:tcW w:w="2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220" w:type="dxa"/>
            <w:vAlign w:val="bottom"/>
            <w:tcBorders>
              <w:top w:val="single" w:sz="8" w:color="CCEEFF"/>
              <w:bottom w:val="single" w:sz="8" w:color="CCEEFF"/>
            </w:tcBorders>
            <w:gridSpan w:val="9"/>
            <w:vMerge w:val="restart"/>
          </w:tcPr>
          <w:p>
            <w:pPr>
              <w:ind w:left="780"/>
              <w:spacing w:after="0"/>
              <w:rPr>
                <w:sz w:val="20"/>
                <w:szCs w:val="20"/>
                <w:color w:val="auto"/>
              </w:rPr>
            </w:pPr>
            <w:r>
              <w:rPr>
                <w:rFonts w:ascii="Arial" w:cs="Arial" w:eastAsia="Arial" w:hAnsi="Arial"/>
                <w:sz w:val="18"/>
                <w:szCs w:val="18"/>
                <w:color w:val="auto"/>
                <w:w w:val="89"/>
              </w:rPr>
              <w:t>The weighted-average remaining lease term and weighted-average discount rate for operating leases were as follows:</w:t>
            </w: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0" w:type="dxa"/>
            <w:vAlign w:val="bottom"/>
          </w:tcPr>
          <w:p>
            <w:pPr>
              <w:spacing w:after="0"/>
              <w:rPr>
                <w:sz w:val="24"/>
                <w:szCs w:val="24"/>
                <w:color w:val="auto"/>
              </w:rPr>
            </w:pPr>
          </w:p>
        </w:tc>
        <w:tc>
          <w:tcPr>
            <w:tcW w:w="9220" w:type="dxa"/>
            <w:vAlign w:val="bottom"/>
            <w:gridSpan w:val="9"/>
            <w:vMerge w:val="continue"/>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420" w:type="dxa"/>
            <w:vAlign w:val="bottom"/>
            <w:tcBorders>
              <w:bottom w:val="single" w:sz="8" w:color="CFF0FC"/>
            </w:tcBorders>
          </w:tcPr>
          <w:p>
            <w:pPr>
              <w:spacing w:after="0"/>
              <w:rPr>
                <w:sz w:val="16"/>
                <w:szCs w:val="16"/>
                <w:color w:val="auto"/>
              </w:rPr>
            </w:pPr>
          </w:p>
        </w:tc>
        <w:tc>
          <w:tcPr>
            <w:tcW w:w="860" w:type="dxa"/>
            <w:vAlign w:val="bottom"/>
            <w:tcBorders>
              <w:bottom w:val="single" w:sz="8" w:color="CFF0FC"/>
            </w:tcBorders>
          </w:tcPr>
          <w:p>
            <w:pPr>
              <w:spacing w:after="0"/>
              <w:rPr>
                <w:sz w:val="16"/>
                <w:szCs w:val="16"/>
                <w:color w:val="auto"/>
              </w:rPr>
            </w:pPr>
          </w:p>
        </w:tc>
        <w:tc>
          <w:tcPr>
            <w:tcW w:w="50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840" w:type="dxa"/>
            <w:vAlign w:val="bottom"/>
            <w:tcBorders>
              <w:bottom w:val="single" w:sz="8" w:color="CFF0FC"/>
            </w:tcBorders>
          </w:tcPr>
          <w:p>
            <w:pPr>
              <w:spacing w:after="0"/>
              <w:rPr>
                <w:sz w:val="16"/>
                <w:szCs w:val="16"/>
                <w:color w:val="auto"/>
              </w:rPr>
            </w:pPr>
          </w:p>
        </w:tc>
        <w:tc>
          <w:tcPr>
            <w:tcW w:w="3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28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 used to determine operating lease liabilities</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5.6 %</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60" w:firstLine="810"/>
        <w:spacing w:after="0" w:line="277" w:lineRule="auto"/>
        <w:rPr>
          <w:sz w:val="20"/>
          <w:szCs w:val="20"/>
          <w:color w:val="auto"/>
        </w:rPr>
      </w:pPr>
      <w:r>
        <w:rPr>
          <w:rFonts w:ascii="Arial" w:cs="Arial" w:eastAsia="Arial" w:hAnsi="Arial"/>
          <w:sz w:val="18"/>
          <w:szCs w:val="18"/>
          <w:color w:val="auto"/>
        </w:rPr>
        <w:t>Cash paid for amounts included in the measurement of lease liabilities, representing operating cash flows used for operating leases, was $4.7 million and $2.9 million for the six months ended June 30, 2021 and 2020, respectively.</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Senior Notes</w:t>
      </w:r>
    </w:p>
    <w:p>
      <w:pPr>
        <w:spacing w:after="0" w:line="229" w:lineRule="exact"/>
        <w:rPr>
          <w:sz w:val="20"/>
          <w:szCs w:val="20"/>
          <w:color w:val="auto"/>
        </w:rPr>
      </w:pPr>
    </w:p>
    <w:p>
      <w:pPr>
        <w:ind w:right="220" w:firstLine="810"/>
        <w:spacing w:after="0" w:line="279" w:lineRule="auto"/>
        <w:rPr>
          <w:sz w:val="20"/>
          <w:szCs w:val="20"/>
          <w:color w:val="auto"/>
        </w:rPr>
      </w:pPr>
      <w:r>
        <w:rPr>
          <w:rFonts w:ascii="Arial" w:cs="Arial" w:eastAsia="Arial" w:hAnsi="Arial"/>
          <w:sz w:val="17"/>
          <w:szCs w:val="17"/>
          <w:color w:val="auto"/>
        </w:rPr>
        <w:t>In May 2020, the Company entered into a purchase agreement with certain counterparties for the sale of an aggregate of $287.5 million principal amount of 1.50% Convertible Senior Notes due 2025 (Notes) in a private offering to qualified institutional buyers pursuant to Rule 144A under the Securities Act of 1933, as amended. The net proceeds from the issuance of the Notes were $244.6 million, net of debt issuance costs and cash used to pay the cost of the capped call transactions (Capped Call Transactions) discussed below.</w:t>
      </w:r>
    </w:p>
    <w:p>
      <w:pPr>
        <w:spacing w:after="0" w:line="171" w:lineRule="exact"/>
        <w:rPr>
          <w:sz w:val="20"/>
          <w:szCs w:val="20"/>
          <w:color w:val="auto"/>
        </w:rPr>
      </w:pPr>
    </w:p>
    <w:p>
      <w:pPr>
        <w:ind w:right="120" w:firstLine="810"/>
        <w:spacing w:after="0" w:line="263" w:lineRule="auto"/>
        <w:rPr>
          <w:sz w:val="20"/>
          <w:szCs w:val="20"/>
          <w:color w:val="auto"/>
        </w:rPr>
      </w:pPr>
      <w:r>
        <w:rPr>
          <w:rFonts w:ascii="Arial" w:cs="Arial" w:eastAsia="Arial" w:hAnsi="Arial"/>
          <w:sz w:val="18"/>
          <w:szCs w:val="18"/>
          <w:color w:val="auto"/>
        </w:rPr>
        <w:t>The Notes are the Company’s senior unsecured obligations. Interest is payable in cash semi-annually in arrears beginning on November 1, 2020 at a rate of 1.50% per year. The Notes mature on May 1, 2025 unless repurchased, redeemed, or converted in accordance with their terms prior to the maturity date.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The Notes are convertible into cash, shares of the Company’s common stock, or a combination of cash and shares of the Company’s common stock, at the Company’s election, at an initial conversion rate of 8.8836 shares of common stock per $1,000 principal amount of the Notes, which is equivalent to an initial conversion price of approximately $112.57 (Conversion Price) per share of the Company’s common stock. The conversion rate is subject to customary adjustments for certain events as described in the Indenture. It is the Company’s intent and policy to settle conversions through combination settlement, which essentially involves payment in cash equal to the principal portion and delivery of shares of common stock for the excess of the conversion value over the principal portion.</w:t>
      </w:r>
    </w:p>
    <w:p>
      <w:pPr>
        <w:spacing w:after="0" w:line="192" w:lineRule="exact"/>
        <w:rPr>
          <w:sz w:val="20"/>
          <w:szCs w:val="20"/>
          <w:color w:val="auto"/>
        </w:rPr>
      </w:pPr>
    </w:p>
    <w:p>
      <w:pPr>
        <w:ind w:right="140" w:firstLine="810"/>
        <w:spacing w:after="0" w:line="257" w:lineRule="auto"/>
        <w:rPr>
          <w:sz w:val="20"/>
          <w:szCs w:val="20"/>
          <w:color w:val="auto"/>
        </w:rPr>
      </w:pPr>
      <w:r>
        <w:rPr>
          <w:rFonts w:ascii="Arial" w:cs="Arial" w:eastAsia="Arial" w:hAnsi="Arial"/>
          <w:sz w:val="18"/>
          <w:szCs w:val="18"/>
          <w:color w:val="auto"/>
        </w:rPr>
        <w:t>The Company may not redeem the Notes prior to May 6, 2023. The Company has the option to redeem for cash all or any portion of the Notes on or after May 6, 2023 if the last reported sale price of the Company’s common stock has been at least 130% of the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Notes to be redeemed, plus accrued and unpaid interest. No sinking fund is provided for the Notes.</w:t>
      </w:r>
    </w:p>
    <w:p>
      <w:pPr>
        <w:spacing w:after="0" w:line="188" w:lineRule="exact"/>
        <w:rPr>
          <w:sz w:val="20"/>
          <w:szCs w:val="20"/>
          <w:color w:val="auto"/>
        </w:rPr>
      </w:pPr>
    </w:p>
    <w:p>
      <w:pPr>
        <w:ind w:right="440" w:firstLine="810"/>
        <w:spacing w:after="0" w:line="277" w:lineRule="auto"/>
        <w:rPr>
          <w:sz w:val="20"/>
          <w:szCs w:val="20"/>
          <w:color w:val="auto"/>
        </w:rPr>
      </w:pPr>
      <w:r>
        <w:rPr>
          <w:rFonts w:ascii="Arial" w:cs="Arial" w:eastAsia="Arial" w:hAnsi="Arial"/>
          <w:sz w:val="18"/>
          <w:szCs w:val="18"/>
          <w:color w:val="auto"/>
        </w:rPr>
        <w:t>Holders of the Notes may convert all or a portion of their Notes at their option prior to November 1, 2024, in multiples of $1,000 principal amounts, only under the following circumstances:</w:t>
      </w:r>
    </w:p>
    <w:p>
      <w:pPr>
        <w:spacing w:after="0" w:line="200" w:lineRule="exact"/>
        <w:rPr>
          <w:sz w:val="20"/>
          <w:szCs w:val="20"/>
          <w:color w:val="auto"/>
        </w:rPr>
      </w:pPr>
    </w:p>
    <w:p>
      <w:pPr>
        <w:spacing w:after="0" w:line="240" w:lineRule="exact"/>
        <w:rPr>
          <w:sz w:val="20"/>
          <w:szCs w:val="20"/>
          <w:color w:val="auto"/>
        </w:rPr>
      </w:pPr>
    </w:p>
    <w:p>
      <w:pPr>
        <w:ind w:left="1300" w:right="100" w:hanging="644"/>
        <w:spacing w:after="0" w:line="291" w:lineRule="auto"/>
        <w:tabs>
          <w:tab w:leader="none" w:pos="1295"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the last reported sale price of the Company’s common stock for at least 20 trading days (whether or not consecutive) during the period of 30 consecutive trading days ending on the last trading day of the immediately preceding calendar quarter is greater than or equal</w:t>
      </w:r>
    </w:p>
    <w:p>
      <w:pPr>
        <w:ind w:left="1300"/>
        <w:spacing w:after="0"/>
        <w:rPr>
          <w:rFonts w:ascii="Arial" w:cs="Arial" w:eastAsia="Arial" w:hAnsi="Arial"/>
          <w:sz w:val="16"/>
          <w:szCs w:val="16"/>
          <w:color w:val="auto"/>
        </w:rPr>
      </w:pPr>
      <w:r>
        <w:rPr>
          <w:rFonts w:ascii="Arial" w:cs="Arial" w:eastAsia="Arial" w:hAnsi="Arial"/>
          <w:sz w:val="18"/>
          <w:szCs w:val="18"/>
          <w:color w:val="auto"/>
        </w:rPr>
        <w:t>to 130% of the applicable Conversion Price of the Notes on each such trading day;</w:t>
      </w:r>
    </w:p>
    <w:p>
      <w:pPr>
        <w:spacing w:after="0" w:line="237" w:lineRule="exact"/>
        <w:rPr>
          <w:rFonts w:ascii="Arial" w:cs="Arial" w:eastAsia="Arial" w:hAnsi="Arial"/>
          <w:sz w:val="16"/>
          <w:szCs w:val="16"/>
          <w:color w:val="auto"/>
        </w:rPr>
      </w:pPr>
    </w:p>
    <w:p>
      <w:pPr>
        <w:ind w:left="1300" w:hanging="644"/>
        <w:spacing w:after="0" w:line="286" w:lineRule="auto"/>
        <w:tabs>
          <w:tab w:leader="none" w:pos="1295"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in which the trading price per $1,000 principal amount of the Notes for each day of that five consecutive trading day period was less than 98% of the product of the last reported sale price of the Company’s common stock and the applicable conversion rate of the Notes on such trading day;</w:t>
      </w:r>
    </w:p>
    <w:p>
      <w:pPr>
        <w:spacing w:after="0" w:line="192" w:lineRule="exact"/>
        <w:rPr>
          <w:rFonts w:ascii="Arial" w:cs="Arial" w:eastAsia="Arial" w:hAnsi="Arial"/>
          <w:sz w:val="17"/>
          <w:szCs w:val="17"/>
          <w:color w:val="auto"/>
        </w:rPr>
      </w:pPr>
    </w:p>
    <w:p>
      <w:pPr>
        <w:ind w:left="1300" w:right="540" w:hanging="644"/>
        <w:spacing w:after="0" w:line="277"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at any time prior to the close of business on the scheduled trading day immediately preceding the redemption date; or</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the occurrence of specified corporate events.</w:t>
      </w:r>
    </w:p>
    <w:p>
      <w:pPr>
        <w:spacing w:after="0" w:line="225"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On or after November 1, 2024, until the close of business on the second scheduled trading day immediately preceding the maturity date, holders may convert their Notes at any time, regardless of the foregoing circumstances.</w:t>
      </w:r>
    </w:p>
    <w:p>
      <w:pPr>
        <w:spacing w:after="0" w:line="170" w:lineRule="exact"/>
        <w:rPr>
          <w:sz w:val="20"/>
          <w:szCs w:val="20"/>
          <w:color w:val="auto"/>
        </w:rPr>
      </w:pPr>
    </w:p>
    <w:p>
      <w:pPr>
        <w:ind w:right="60" w:firstLine="810"/>
        <w:spacing w:after="0" w:line="263" w:lineRule="auto"/>
        <w:rPr>
          <w:sz w:val="20"/>
          <w:szCs w:val="20"/>
          <w:color w:val="auto"/>
        </w:rPr>
      </w:pPr>
      <w:r>
        <w:rPr>
          <w:rFonts w:ascii="Arial" w:cs="Arial" w:eastAsia="Arial" w:hAnsi="Arial"/>
          <w:sz w:val="18"/>
          <w:szCs w:val="18"/>
          <w:color w:val="auto"/>
        </w:rPr>
        <w:t>Holders of the Notes who convert in connection with a make-whole fundamental change or in connection with a redemption are entitled to an increase in the conversion rate. Additionally, in the event of a fundamental change, holders of the Notes may require us to repurchase all or a portion of the Notes at a price equal to 100% of the principal amount of the Notes, plus any accrued and unpaid interest.</w:t>
      </w:r>
    </w:p>
    <w:p>
      <w:pPr>
        <w:spacing w:after="0" w:line="184" w:lineRule="exact"/>
        <w:rPr>
          <w:sz w:val="20"/>
          <w:szCs w:val="20"/>
          <w:color w:val="auto"/>
        </w:rPr>
      </w:pPr>
    </w:p>
    <w:p>
      <w:pPr>
        <w:ind w:right="100" w:firstLine="810"/>
        <w:spacing w:after="0" w:line="255" w:lineRule="auto"/>
        <w:rPr>
          <w:sz w:val="20"/>
          <w:szCs w:val="20"/>
          <w:color w:val="auto"/>
        </w:rPr>
      </w:pPr>
      <w:r>
        <w:rPr>
          <w:rFonts w:ascii="Arial" w:cs="Arial" w:eastAsia="Arial" w:hAnsi="Arial"/>
          <w:sz w:val="18"/>
          <w:szCs w:val="18"/>
          <w:color w:val="auto"/>
        </w:rPr>
        <w:t>Initially, in accounting for the issuance of the Notes, the Company separated the Notes into liability and equity components. The carrying amount of the liability component was calculated by measuring the fair value of similar debt instruments, which do not have an associated convertible feature. The carrying amount of the equity component representing the conversion option for the Notes was $85.8 million and was recorded as a debt discount, to be amortized to interest expense at an effective interest rate of 9.9%. In addition, the Company allocated $2.7 million of debt issuance costs to the equity component and the remaining debt issuance costs of $6.1 million were allocated to the liability component, to be amortized to interest expense under the effective interest rate method.</w:t>
      </w:r>
    </w:p>
    <w:p>
      <w:pPr>
        <w:spacing w:after="0" w:line="192" w:lineRule="exact"/>
        <w:rPr>
          <w:sz w:val="20"/>
          <w:szCs w:val="20"/>
          <w:color w:val="auto"/>
        </w:rPr>
      </w:pPr>
    </w:p>
    <w:p>
      <w:pPr>
        <w:ind w:right="40" w:firstLine="810"/>
        <w:spacing w:after="0" w:line="271" w:lineRule="auto"/>
        <w:rPr>
          <w:sz w:val="20"/>
          <w:szCs w:val="20"/>
          <w:color w:val="auto"/>
        </w:rPr>
      </w:pPr>
      <w:r>
        <w:rPr>
          <w:rFonts w:ascii="Arial" w:cs="Arial" w:eastAsia="Arial" w:hAnsi="Arial"/>
          <w:sz w:val="17"/>
          <w:szCs w:val="17"/>
          <w:color w:val="auto"/>
        </w:rPr>
        <w:t xml:space="preserve">On January 1, 2021, the Company early adopted ASU No. 2020-06, </w:t>
      </w:r>
      <w:r>
        <w:rPr>
          <w:rFonts w:ascii="Arial" w:cs="Arial" w:eastAsia="Arial" w:hAnsi="Arial"/>
          <w:sz w:val="17"/>
          <w:szCs w:val="17"/>
          <w:i w:val="1"/>
          <w:iCs w:val="1"/>
          <w:color w:val="auto"/>
        </w:rPr>
        <w:t>Accounting for Convertible Instruments and Contracts in an Entity’s Own</w:t>
      </w:r>
      <w:r>
        <w:rPr>
          <w:rFonts w:ascii="Arial" w:cs="Arial" w:eastAsia="Arial" w:hAnsi="Arial"/>
          <w:sz w:val="17"/>
          <w:szCs w:val="17"/>
          <w:color w:val="auto"/>
        </w:rPr>
        <w:t xml:space="preserve"> </w:t>
      </w:r>
      <w:r>
        <w:rPr>
          <w:rFonts w:ascii="Arial" w:cs="Arial" w:eastAsia="Arial" w:hAnsi="Arial"/>
          <w:sz w:val="17"/>
          <w:szCs w:val="17"/>
          <w:i w:val="1"/>
          <w:iCs w:val="1"/>
          <w:color w:val="auto"/>
        </w:rPr>
        <w:t>Equity</w:t>
      </w:r>
      <w:r>
        <w:rPr>
          <w:rFonts w:ascii="Arial" w:cs="Arial" w:eastAsia="Arial" w:hAnsi="Arial"/>
          <w:sz w:val="17"/>
          <w:szCs w:val="17"/>
          <w:color w:val="auto"/>
        </w:rPr>
        <w:t>, which is intended to simplify the accounting for convertible instruments. The ASU eliminates the cash conversion feature models in ASC 470-20,</w:t>
      </w:r>
      <w:r>
        <w:rPr>
          <w:rFonts w:ascii="Arial" w:cs="Arial" w:eastAsia="Arial" w:hAnsi="Arial"/>
          <w:sz w:val="17"/>
          <w:szCs w:val="17"/>
          <w:i w:val="1"/>
          <w:iCs w:val="1"/>
          <w:color w:val="auto"/>
        </w:rPr>
        <w:t xml:space="preserve"> Debt with Conversion and Other Options</w:t>
      </w:r>
      <w:r>
        <w:rPr>
          <w:rFonts w:ascii="Arial" w:cs="Arial" w:eastAsia="Arial" w:hAnsi="Arial"/>
          <w:sz w:val="17"/>
          <w:szCs w:val="17"/>
          <w:color w:val="auto"/>
        </w:rPr>
        <w:t>, which required an issuer of certain convertible debt to separately account for embedded conversion features as a</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 of equity. Instead, an issuer will account for these securities as a single unit of account, unless the conversion feature meets certain criteria. The Company adopted the new standard using the modified retrospective method, and recorded a net reduction to accumulated deficit of $9.0 million, a decrease to additional paid-in capital of $85.8 million, and an increase to convertible senior notes, net - long-term of $76.8 million to reflect the impact of the accounting change. The Notes are now accounted for as a single liability measured at amortized cost, as no other embedded features require bifurcation and recognition as derivatives.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liability and equity components of the Notes consisted of the following (in thousands) at June 30, 2021 and December 31, 2020: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6"/>
                <w:szCs w:val="16"/>
                <w:color w:val="auto"/>
              </w:rPr>
            </w:pPr>
          </w:p>
        </w:tc>
        <w:tc>
          <w:tcPr>
            <w:tcW w:w="1600" w:type="dxa"/>
            <w:vAlign w:val="bottom"/>
          </w:tcPr>
          <w:p>
            <w:pPr>
              <w:jc w:val="right"/>
              <w:ind w:right="233"/>
              <w:spacing w:after="0"/>
              <w:rPr>
                <w:sz w:val="20"/>
                <w:szCs w:val="20"/>
                <w:color w:val="auto"/>
              </w:rPr>
            </w:pPr>
            <w:r>
              <w:rPr>
                <w:rFonts w:ascii="Arial" w:cs="Arial" w:eastAsia="Arial" w:hAnsi="Arial"/>
                <w:sz w:val="14"/>
                <w:szCs w:val="14"/>
                <w:b w:val="1"/>
                <w:bCs w:val="1"/>
                <w:color w:val="auto"/>
                <w:w w:val="99"/>
              </w:rPr>
              <w:t>December 31, 2020</w:t>
            </w:r>
          </w:p>
        </w:tc>
        <w:tc>
          <w:tcPr>
            <w:tcW w:w="0" w:type="dxa"/>
            <w:vAlign w:val="bottom"/>
          </w:tcPr>
          <w:p>
            <w:pPr>
              <w:spacing w:after="0"/>
              <w:rPr>
                <w:sz w:val="1"/>
                <w:szCs w:val="1"/>
                <w:color w:val="auto"/>
              </w:rPr>
            </w:pPr>
          </w:p>
        </w:tc>
      </w:tr>
      <w:tr>
        <w:trPr>
          <w:trHeight w:val="229"/>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3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80"/>
              <w:spacing w:after="0"/>
              <w:rPr>
                <w:sz w:val="20"/>
                <w:szCs w:val="20"/>
                <w:color w:val="auto"/>
              </w:rPr>
            </w:pPr>
            <w:r>
              <w:rPr>
                <w:rFonts w:ascii="Arial" w:cs="Arial" w:eastAsia="Arial" w:hAnsi="Arial"/>
                <w:sz w:val="18"/>
                <w:szCs w:val="18"/>
                <w:color w:val="auto"/>
              </w:rPr>
              <w:t>Principal amount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287,500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287,500</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Unamortized debt issuance costs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Unamortized debt discount</w:t>
            </w:r>
          </w:p>
        </w:tc>
        <w:tc>
          <w:tcPr>
            <w:tcW w:w="3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(79,070)</w:t>
            </w:r>
          </w:p>
        </w:tc>
        <w:tc>
          <w:tcPr>
            <w:tcW w:w="0" w:type="dxa"/>
            <w:vAlign w:val="bottom"/>
          </w:tcPr>
          <w:p>
            <w:pPr>
              <w:spacing w:after="0"/>
              <w:rPr>
                <w:sz w:val="1"/>
                <w:szCs w:val="1"/>
                <w:color w:val="auto"/>
              </w:rPr>
            </w:pPr>
          </w:p>
        </w:tc>
      </w:tr>
      <w:tr>
        <w:trPr>
          <w:trHeight w:val="248"/>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202,984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Carrying amount of the equity component</w:t>
            </w:r>
          </w:p>
        </w:tc>
        <w:tc>
          <w:tcPr>
            <w:tcW w:w="3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40" w:type="dxa"/>
            <w:vAlign w:val="bottom"/>
            <w:tcBorders>
              <w:top w:val="single" w:sz="8" w:color="CCEEFF"/>
            </w:tcBorders>
            <w:vMerge w:val="continue"/>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85,803</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80" w:firstLine="810"/>
        <w:spacing w:after="0" w:line="277" w:lineRule="auto"/>
        <w:rPr>
          <w:sz w:val="20"/>
          <w:szCs w:val="20"/>
          <w:color w:val="auto"/>
        </w:rPr>
      </w:pPr>
      <w:r>
        <w:rPr>
          <w:rFonts w:ascii="Arial" w:cs="Arial" w:eastAsia="Arial" w:hAnsi="Arial"/>
          <w:sz w:val="18"/>
          <w:szCs w:val="18"/>
          <w:color w:val="auto"/>
        </w:rPr>
        <w:t>As of June 30, 2021, the unamortized debt issuance costs of $6.9 million associated with the Notes will be amortized to interest expense, at an effective interest rate of 2.2%, over the remaining term of the Notes of approximately 3.8 years.</w:t>
      </w:r>
    </w:p>
    <w:p>
      <w:pPr>
        <w:spacing w:after="0" w:line="170" w:lineRule="exact"/>
        <w:rPr>
          <w:sz w:val="20"/>
          <w:szCs w:val="20"/>
          <w:color w:val="auto"/>
        </w:rPr>
      </w:pPr>
    </w:p>
    <w:p>
      <w:pPr>
        <w:ind w:right="460" w:firstLine="810"/>
        <w:spacing w:after="0" w:line="277" w:lineRule="auto"/>
        <w:rPr>
          <w:sz w:val="20"/>
          <w:szCs w:val="20"/>
          <w:color w:val="auto"/>
        </w:rPr>
      </w:pPr>
      <w:r>
        <w:rPr>
          <w:rFonts w:ascii="Arial" w:cs="Arial" w:eastAsia="Arial" w:hAnsi="Arial"/>
          <w:sz w:val="18"/>
          <w:szCs w:val="18"/>
          <w:color w:val="auto"/>
        </w:rPr>
        <w:t>The following table details interest expense recognized related to the Notes for the three and six months ended June 30, 2021 and 2020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w w:val="96"/>
              </w:rPr>
              <w:t>Three Months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1120" w:type="dxa"/>
            <w:vAlign w:val="bottom"/>
          </w:tcPr>
          <w:p>
            <w:pPr>
              <w:spacing w:after="0"/>
              <w:rPr>
                <w:sz w:val="14"/>
                <w:szCs w:val="14"/>
                <w:color w:val="auto"/>
              </w:rPr>
            </w:pPr>
          </w:p>
        </w:tc>
      </w:tr>
      <w:tr>
        <w:trPr>
          <w:trHeight w:val="188"/>
        </w:trPr>
        <w:tc>
          <w:tcPr>
            <w:tcW w:w="39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6"/>
                <w:szCs w:val="16"/>
                <w:color w:val="auto"/>
              </w:rPr>
            </w:pPr>
          </w:p>
        </w:tc>
      </w:tr>
      <w:tr>
        <w:trPr>
          <w:trHeight w:val="183"/>
        </w:trPr>
        <w:tc>
          <w:tcPr>
            <w:tcW w:w="39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5"/>
                <w:szCs w:val="15"/>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224"/>
        </w:trPr>
        <w:tc>
          <w:tcPr>
            <w:tcW w:w="39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Contractual interest expense</w:t>
            </w:r>
          </w:p>
        </w:tc>
        <w:tc>
          <w:tcPr>
            <w:tcW w:w="1080" w:type="dxa"/>
            <w:vAlign w:val="bottom"/>
            <w:tcBorders>
              <w:top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3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2,156</w:t>
            </w:r>
          </w:p>
        </w:tc>
        <w:tc>
          <w:tcPr>
            <w:tcW w:w="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w:t>
            </w: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859</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r>
      <w:tr>
        <w:trPr>
          <w:trHeight w:val="223"/>
        </w:trPr>
        <w:tc>
          <w:tcPr>
            <w:tcW w:w="3980" w:type="dxa"/>
            <w:vAlign w:val="bottom"/>
          </w:tcPr>
          <w:p>
            <w:pPr>
              <w:ind w:left="180"/>
              <w:spacing w:after="0"/>
              <w:rPr>
                <w:sz w:val="20"/>
                <w:szCs w:val="20"/>
                <w:color w:val="auto"/>
              </w:rPr>
            </w:pPr>
            <w:r>
              <w:rPr>
                <w:rFonts w:ascii="Arial" w:cs="Arial" w:eastAsia="Arial" w:hAnsi="Arial"/>
                <w:sz w:val="18"/>
                <w:szCs w:val="18"/>
                <w:color w:val="auto"/>
              </w:rPr>
              <w:t>Total interest expense</w:t>
            </w:r>
          </w:p>
        </w:tc>
        <w:tc>
          <w:tcPr>
            <w:tcW w:w="108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3,176</w:t>
            </w:r>
          </w:p>
        </w:tc>
        <w:tc>
          <w:tcPr>
            <w:tcW w:w="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3,176</w:t>
            </w:r>
          </w:p>
        </w:tc>
      </w:tr>
      <w:tr>
        <w:trPr>
          <w:trHeight w:val="20"/>
        </w:trPr>
        <w:tc>
          <w:tcPr>
            <w:tcW w:w="3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400" w:firstLine="810"/>
        <w:spacing w:after="0" w:line="342" w:lineRule="auto"/>
        <w:rPr>
          <w:sz w:val="20"/>
          <w:szCs w:val="20"/>
          <w:color w:val="auto"/>
        </w:rPr>
      </w:pPr>
      <w:r>
        <w:rPr>
          <w:rFonts w:ascii="Arial" w:cs="Arial" w:eastAsia="Arial" w:hAnsi="Arial"/>
          <w:sz w:val="16"/>
          <w:szCs w:val="16"/>
          <w:color w:val="auto"/>
        </w:rPr>
        <w:t>The Notes will have a dilutive effect to the extent the average market price per share of the Company’s common stock for a given reporting period exceeds the Conversion Price of $112.57. As of June 30, 2021, the “if-converted value” did not exceed the principal amount of the Notes.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117" w:lineRule="exact"/>
        <w:rPr>
          <w:sz w:val="20"/>
          <w:szCs w:val="20"/>
          <w:color w:val="auto"/>
        </w:rPr>
      </w:pPr>
    </w:p>
    <w:p>
      <w:pPr>
        <w:ind w:right="80" w:firstLine="810"/>
        <w:spacing w:after="0" w:line="271" w:lineRule="auto"/>
        <w:rPr>
          <w:sz w:val="20"/>
          <w:szCs w:val="20"/>
          <w:color w:val="auto"/>
        </w:rPr>
      </w:pPr>
      <w:r>
        <w:rPr>
          <w:rFonts w:ascii="Arial" w:cs="Arial" w:eastAsia="Arial" w:hAnsi="Arial"/>
          <w:sz w:val="17"/>
          <w:szCs w:val="17"/>
          <w:color w:val="auto"/>
        </w:rPr>
        <w:t>In connection with the issuance of the Notes, the Company entered into Capped Call Transactions in May of 2020 with certain counterparties at a net cost of $34.1 million. The Capped Call Transactions are intended to reduce potential dilution to holders of the Company’s common stock beyond the Conversion Price of $112.57, up to a Conversion Price of $173.18 on any conversion of the Notes, or to offset any cash payments the Company is required to make in excess of the principal amount of such converted Notes, as the case may be, with such reduction or offset subject to a cap. The cap price of the Capped Call Transactions is initially $173.18 per share of the Company’s common stock, representing a premium of 100% above the last reported sale price of $86.59 per share of the Company’s common stock on May 12, 2020, and is subject to certain adjustments under the terms of the Capped Call Transactions. Conditions that cause adjustments to the initial strike price of the Capped Call Transactions mirror conditions that result in corresponding adjustments for the Notes.</w:t>
      </w:r>
    </w:p>
    <w:p>
      <w:pPr>
        <w:spacing w:after="0" w:line="178" w:lineRule="exact"/>
        <w:rPr>
          <w:sz w:val="20"/>
          <w:szCs w:val="20"/>
          <w:color w:val="auto"/>
        </w:rPr>
      </w:pPr>
    </w:p>
    <w:p>
      <w:pPr>
        <w:ind w:right="80" w:firstLine="810"/>
        <w:spacing w:after="0" w:line="259" w:lineRule="auto"/>
        <w:rPr>
          <w:sz w:val="20"/>
          <w:szCs w:val="20"/>
          <w:color w:val="auto"/>
        </w:rPr>
      </w:pPr>
      <w:r>
        <w:rPr>
          <w:rFonts w:ascii="Arial" w:cs="Arial" w:eastAsia="Arial" w:hAnsi="Arial"/>
          <w:sz w:val="18"/>
          <w:szCs w:val="18"/>
          <w:color w:val="auto"/>
        </w:rPr>
        <w:t>For accounting purposes, the Capped Call Transactions are separate transactions, and not part of the terms of the Notes. As these transactions meet certain criteria under the applicable accounting guidance, the Capped Call Transactions are recorded in stockholders' equity and are not accounted for as derivatives. The cost of the Capped Call Transactions was recorded as a reduction of the Company’s additional paid-in capital in the Company’s consolidated balance sheet and will not be remeasured.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shares of the Company’s common stock were reserved for future issuance as of June 30, 2021 (in thousands):</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reserved for issuance upon conversion of Convertible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underlying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underlying outstanding stock options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underlying unvested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authorized for issuance pursuant to awards granted under the ESPP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authorized for future equity award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Warrants outstanding to purchase shares of the Company's common stock as of June 30, 2021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2,554</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251</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5,691</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453</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1,289</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1,440</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11,678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62230</wp:posOffset>
            </wp:positionV>
            <wp:extent cx="9086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287" w:lineRule="exact"/>
        <w:rPr>
          <w:sz w:val="20"/>
          <w:szCs w:val="20"/>
          <w:color w:val="auto"/>
        </w:rPr>
      </w:pPr>
    </w:p>
    <w:p>
      <w:pPr>
        <w:sectPr>
          <w:pgSz w:w="11900" w:h="16838" w:orient="portrait"/>
          <w:cols w:equalWidth="0" w:num="2">
            <w:col w:w="9940" w:space="720"/>
            <w:col w:w="580"/>
          </w:cols>
          <w:pgMar w:left="320" w:top="125" w:right="339" w:bottom="1440" w:gutter="0" w:footer="0" w:header="0"/>
        </w:sectPr>
      </w:pP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gridSpan w:val="2"/>
            <w:vMerge w:val="restart"/>
          </w:tcPr>
          <w:p>
            <w:pPr>
              <w:ind w:left="2180"/>
              <w:spacing w:after="0"/>
              <w:rPr>
                <w:sz w:val="20"/>
                <w:szCs w:val="20"/>
                <w:color w:val="auto"/>
              </w:rPr>
            </w:pPr>
            <w:r>
              <w:rPr>
                <w:rFonts w:ascii="Arial" w:cs="Arial" w:eastAsia="Arial" w:hAnsi="Arial"/>
                <w:sz w:val="14"/>
                <w:szCs w:val="14"/>
                <w:b w:val="1"/>
                <w:bCs w:val="1"/>
                <w:color w:val="auto"/>
              </w:rPr>
              <w:t>Issue Date</w:t>
            </w: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 Per</w:t>
            </w:r>
          </w:p>
        </w:tc>
        <w:tc>
          <w:tcPr>
            <w:tcW w:w="1360" w:type="dxa"/>
            <w:vAlign w:val="bottom"/>
          </w:tcPr>
          <w:p>
            <w:pPr>
              <w:jc w:val="right"/>
              <w:ind w:right="296"/>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4"/>
                <w:szCs w:val="14"/>
                <w:color w:val="auto"/>
              </w:rPr>
            </w:pPr>
          </w:p>
        </w:tc>
        <w:tc>
          <w:tcPr>
            <w:tcW w:w="3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0" w:type="dxa"/>
            <w:vAlign w:val="bottom"/>
          </w:tcPr>
          <w:p>
            <w:pPr>
              <w:spacing w:after="0"/>
              <w:rPr>
                <w:sz w:val="1"/>
                <w:szCs w:val="1"/>
                <w:color w:val="auto"/>
              </w:rPr>
            </w:pPr>
          </w:p>
        </w:tc>
      </w:tr>
      <w:tr>
        <w:trPr>
          <w:trHeight w:val="188"/>
        </w:trPr>
        <w:tc>
          <w:tcPr>
            <w:tcW w:w="5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360" w:type="dxa"/>
            <w:vAlign w:val="bottom"/>
          </w:tcPr>
          <w:p>
            <w:pPr>
              <w:jc w:val="right"/>
              <w:ind w:right="216"/>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October 2017</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29,700</w:t>
            </w:r>
          </w:p>
        </w:tc>
        <w:tc>
          <w:tcPr>
            <w:tcW w:w="100" w:type="dxa"/>
            <w:vAlign w:val="bottom"/>
            <w:tcBorders>
              <w:top w:val="single" w:sz="8" w:color="CFF0FC"/>
            </w:tcBorders>
            <w:shd w:val="clear" w:color="auto" w:fill="CFF0FC"/>
          </w:tcPr>
          <w:p>
            <w:pPr>
              <w:spacing w:after="0"/>
              <w:rPr>
                <w:sz w:val="19"/>
                <w:szCs w:val="19"/>
                <w:color w:val="auto"/>
              </w:rPr>
            </w:pPr>
          </w:p>
        </w:tc>
        <w:tc>
          <w:tcPr>
            <w:tcW w:w="3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October 2022</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March 2017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23.50</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193,788</w:t>
            </w:r>
          </w:p>
        </w:tc>
        <w:tc>
          <w:tcPr>
            <w:tcW w:w="10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March 2027</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August 2011 - August 2012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73.73</w:t>
            </w:r>
          </w:p>
        </w:tc>
        <w:tc>
          <w:tcPr>
            <w:tcW w:w="12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27,704</w:t>
            </w:r>
          </w:p>
        </w:tc>
        <w:tc>
          <w:tcPr>
            <w:tcW w:w="100" w:type="dxa"/>
            <w:vAlign w:val="bottom"/>
            <w:shd w:val="clear" w:color="auto" w:fill="CFF0FC"/>
          </w:tcPr>
          <w:p>
            <w:pPr>
              <w:spacing w:after="0"/>
              <w:rPr>
                <w:sz w:val="19"/>
                <w:szCs w:val="19"/>
                <w:color w:val="auto"/>
              </w:rPr>
            </w:pPr>
          </w:p>
        </w:tc>
        <w:tc>
          <w:tcPr>
            <w:tcW w:w="3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August 2021 - August 2022</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251,192</w:t>
            </w:r>
          </w:p>
        </w:tc>
        <w:tc>
          <w:tcPr>
            <w:tcW w:w="1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20" w:firstLine="810"/>
        <w:spacing w:after="0" w:line="259" w:lineRule="auto"/>
        <w:rPr>
          <w:sz w:val="20"/>
          <w:szCs w:val="20"/>
          <w:color w:val="auto"/>
        </w:rPr>
      </w:pPr>
      <w:r>
        <w:rPr>
          <w:rFonts w:ascii="Arial" w:cs="Arial" w:eastAsia="Arial" w:hAnsi="Arial"/>
          <w:sz w:val="18"/>
          <w:szCs w:val="18"/>
          <w:color w:val="auto"/>
        </w:rPr>
        <w:t>Each warrant allows the holder to purchase one share of the Company's common stock at the exercise price per share of the respective warrant. The Company issued 522 and 125,522 shares of its common stock, respectively, upon the exercise of warrants during the three and six months ended June 30, 2021, and 32,574 and 34,689 shares of its common stock, respectively, upon the exercise of warrants during the three and six months ended June 30,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25" w:lineRule="exact"/>
        <w:rPr>
          <w:sz w:val="20"/>
          <w:szCs w:val="20"/>
          <w:color w:val="auto"/>
        </w:rPr>
      </w:pPr>
    </w:p>
    <w:p>
      <w:pPr>
        <w:ind w:right="80" w:firstLine="810"/>
        <w:spacing w:after="0" w:line="263" w:lineRule="auto"/>
        <w:rPr>
          <w:sz w:val="20"/>
          <w:szCs w:val="20"/>
          <w:color w:val="auto"/>
        </w:rPr>
      </w:pPr>
      <w:r>
        <w:rPr>
          <w:rFonts w:ascii="Arial" w:cs="Arial" w:eastAsia="Arial" w:hAnsi="Arial"/>
          <w:sz w:val="18"/>
          <w:szCs w:val="18"/>
          <w:color w:val="auto"/>
        </w:rPr>
        <w:t>The Company’s Amended and Restated 2013 Stock Incentive Plan (2013 Plan) was originally approved by the Company’s board of directors in October 2013. Under the 2013 Plan, the Company may grant stock options, stock appreciation rights, restricted stock and restricted stock units to individuals who are then employees, officers, directors or consultants of the Company.</w:t>
      </w:r>
    </w:p>
    <w:p>
      <w:pPr>
        <w:spacing w:after="0" w:line="184" w:lineRule="exact"/>
        <w:rPr>
          <w:sz w:val="20"/>
          <w:szCs w:val="20"/>
          <w:color w:val="auto"/>
        </w:rPr>
      </w:pPr>
    </w:p>
    <w:p>
      <w:pPr>
        <w:ind w:right="40" w:firstLine="810"/>
        <w:spacing w:after="0" w:line="263" w:lineRule="auto"/>
        <w:rPr>
          <w:sz w:val="20"/>
          <w:szCs w:val="20"/>
          <w:color w:val="auto"/>
        </w:rPr>
      </w:pPr>
      <w:r>
        <w:rPr>
          <w:rFonts w:ascii="Arial" w:cs="Arial" w:eastAsia="Arial" w:hAnsi="Arial"/>
          <w:sz w:val="18"/>
          <w:szCs w:val="18"/>
          <w:color w:val="auto"/>
        </w:rPr>
        <w:t>The ESPP enables eligible employees to purchase shares of the Company’s common stock using their after-tax payroll deductions, subject to certain conditions. Generally, offerings under the ESPP consist of a two-year offering period with four six-month purchase periods which begin in May and November of each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Common Stock Options</w:t>
      </w:r>
    </w:p>
    <w:p>
      <w:pPr>
        <w:spacing w:after="0" w:line="225" w:lineRule="exact"/>
        <w:rPr>
          <w:sz w:val="20"/>
          <w:szCs w:val="20"/>
          <w:color w:val="auto"/>
        </w:rPr>
      </w:pPr>
    </w:p>
    <w:p>
      <w:pPr>
        <w:ind w:right="60" w:firstLine="810"/>
        <w:spacing w:after="0" w:line="301" w:lineRule="auto"/>
        <w:rPr>
          <w:sz w:val="20"/>
          <w:szCs w:val="20"/>
          <w:color w:val="auto"/>
        </w:rPr>
      </w:pPr>
      <w:r>
        <w:rPr>
          <w:rFonts w:ascii="Arial" w:cs="Arial" w:eastAsia="Arial" w:hAnsi="Arial"/>
          <w:sz w:val="16"/>
          <w:szCs w:val="16"/>
          <w:color w:val="auto"/>
        </w:rPr>
        <w:t>The Company granted options to purchase 239,608 and 355,008 shares of common stock, respectively, during the three and six months ended June 30, 2021, and options to purchase 621,045 and 850,956 shares of common stock, respectively, during the three and six months ended June 30, 2020. These options have an exercise price equal to the closing price of the Company’s common stock on the applicable award date, and generally vest as to 25% of the underlying shares on the first anniversary of the award, with the balance of the options vesting monthly over the following three years.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firstLine="810"/>
        <w:spacing w:after="0" w:line="261" w:lineRule="auto"/>
        <w:rPr>
          <w:sz w:val="20"/>
          <w:szCs w:val="20"/>
          <w:color w:val="auto"/>
        </w:rPr>
      </w:pPr>
      <w:r>
        <w:rPr>
          <w:rFonts w:ascii="Arial" w:cs="Arial" w:eastAsia="Arial" w:hAnsi="Arial"/>
          <w:sz w:val="18"/>
          <w:szCs w:val="18"/>
          <w:color w:val="auto"/>
        </w:rPr>
        <w:t>The Company estimates the fair value of stock options using the Black-Scholes option-pricing model on the grant date. The assumptions used in the Black-Scholes option-pricing model for common stock options were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2"/>
              </w:rPr>
              <w:t>Stock Options</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75"/>
        </w:trPr>
        <w:tc>
          <w:tcPr>
            <w:tcW w:w="6380" w:type="dxa"/>
            <w:vAlign w:val="bottom"/>
          </w:tcPr>
          <w:p>
            <w:pPr>
              <w:spacing w:after="0"/>
              <w:rPr>
                <w:sz w:val="15"/>
                <w:szCs w:val="15"/>
                <w:color w:val="auto"/>
              </w:rPr>
            </w:pPr>
          </w:p>
        </w:tc>
        <w:tc>
          <w:tcPr>
            <w:tcW w:w="290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1960" w:type="dxa"/>
            <w:vAlign w:val="bottom"/>
            <w:gridSpan w:val="4"/>
          </w:tcPr>
          <w:p>
            <w:pPr>
              <w:jc w:val="center"/>
              <w:ind w:right="293"/>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6380" w:type="dxa"/>
            <w:vAlign w:val="bottom"/>
          </w:tcPr>
          <w:p>
            <w:pPr>
              <w:spacing w:after="0"/>
              <w:rPr>
                <w:sz w:val="16"/>
                <w:szCs w:val="16"/>
                <w:color w:val="auto"/>
              </w:rPr>
            </w:pPr>
          </w:p>
        </w:tc>
        <w:tc>
          <w:tcPr>
            <w:tcW w:w="1580" w:type="dxa"/>
            <w:vAlign w:val="bottom"/>
            <w:tcBorders>
              <w:bottom w:val="single" w:sz="8" w:color="auto"/>
            </w:tcBorders>
            <w:gridSpan w:val="3"/>
          </w:tcPr>
          <w:p>
            <w:pPr>
              <w:jc w:val="center"/>
              <w:ind w:left="737"/>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6"/>
                <w:szCs w:val="16"/>
                <w:color w:val="auto"/>
              </w:rPr>
            </w:pPr>
          </w:p>
        </w:tc>
      </w:tr>
      <w:tr>
        <w:trPr>
          <w:trHeight w:val="191"/>
        </w:trPr>
        <w:tc>
          <w:tcPr>
            <w:tcW w:w="6380" w:type="dxa"/>
            <w:vAlign w:val="bottom"/>
            <w:tcBorders>
              <w:bottom w:val="single" w:sz="8" w:color="CFF0FC"/>
            </w:tcBorders>
          </w:tcPr>
          <w:p>
            <w:pPr>
              <w:spacing w:after="0"/>
              <w:rPr>
                <w:sz w:val="16"/>
                <w:szCs w:val="16"/>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r>
      <w:tr>
        <w:trPr>
          <w:trHeight w:val="229"/>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$54.92</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$50.04</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14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30"/>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0.0 %</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0.0 %</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0.0 %</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140" w:type="dxa"/>
            <w:vAlign w:val="bottom"/>
          </w:tcPr>
          <w:p>
            <w:pPr>
              <w:jc w:val="right"/>
              <w:spacing w:after="0"/>
              <w:rPr>
                <w:sz w:val="20"/>
                <w:szCs w:val="20"/>
                <w:color w:val="auto"/>
              </w:rPr>
            </w:pPr>
            <w:r>
              <w:rPr>
                <w:rFonts w:ascii="Arial" w:cs="Arial" w:eastAsia="Arial" w:hAnsi="Arial"/>
                <w:sz w:val="18"/>
                <w:szCs w:val="18"/>
                <w:color w:val="auto"/>
              </w:rPr>
              <w:t>74.9 %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74.3 %</w:t>
            </w:r>
          </w:p>
        </w:tc>
      </w:tr>
      <w:tr>
        <w:trPr>
          <w:trHeight w:val="230"/>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r>
    </w:tbl>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Restricted Stock Units (RSUs)</w:t>
      </w:r>
    </w:p>
    <w:p>
      <w:pPr>
        <w:spacing w:after="0" w:line="225"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The Company granted 339,386 and 342,594 restricted stock units (RSUs), respectively, during the three and six months ended June 30, 2021, and 131,848 RSUs during the three and six months ended 2020. These RSUs have a grant value equal to the closing price of the Company’s common stock on the award date, and generally vest based only on service as to 25% of the underlying shares on the first anniversary of the award, with the balance of the RSUs vesting quarterly over the following three years. The Company also granted 25,674 performance-based RSUs during the three months ended June 30, 2021. The performance-based RSUs have a grant value equal to the closing price of the Company’s common stock on the award date, and vest upon the Company’s actual performance relative to predefined performance metrics and subject to the awardee’s continuing service through the December 31, 2024 measurement date. The weighted average grant date fair value of RSUs granted were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Restricted Stock Units</w:t>
            </w:r>
          </w:p>
        </w:tc>
        <w:tc>
          <w:tcPr>
            <w:tcW w:w="720" w:type="dxa"/>
            <w:vAlign w:val="bottom"/>
            <w:tcBorders>
              <w:bottom w:val="single" w:sz="8" w:color="auto"/>
            </w:tcBorders>
          </w:tcPr>
          <w:p>
            <w:pPr>
              <w:spacing w:after="0"/>
              <w:rPr>
                <w:sz w:val="16"/>
                <w:szCs w:val="16"/>
                <w:color w:val="auto"/>
              </w:rPr>
            </w:pPr>
          </w:p>
        </w:tc>
      </w:tr>
      <w:tr>
        <w:trPr>
          <w:trHeight w:val="175"/>
        </w:trPr>
        <w:tc>
          <w:tcPr>
            <w:tcW w:w="6820" w:type="dxa"/>
            <w:vAlign w:val="bottom"/>
          </w:tcPr>
          <w:p>
            <w:pPr>
              <w:spacing w:after="0"/>
              <w:rPr>
                <w:sz w:val="15"/>
                <w:szCs w:val="15"/>
                <w:color w:val="auto"/>
              </w:rPr>
            </w:pPr>
          </w:p>
        </w:tc>
        <w:tc>
          <w:tcPr>
            <w:tcW w:w="22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6820" w:type="dxa"/>
            <w:vAlign w:val="bottom"/>
          </w:tcPr>
          <w:p>
            <w:pPr>
              <w:spacing w:after="0"/>
              <w:rPr>
                <w:sz w:val="16"/>
                <w:szCs w:val="16"/>
                <w:color w:val="auto"/>
              </w:rPr>
            </w:pPr>
          </w:p>
        </w:tc>
        <w:tc>
          <w:tcPr>
            <w:tcW w:w="1420" w:type="dxa"/>
            <w:vAlign w:val="bottom"/>
            <w:tcBorders>
              <w:bottom w:val="single" w:sz="8" w:color="auto"/>
            </w:tcBorders>
            <w:gridSpan w:val="3"/>
          </w:tcPr>
          <w:p>
            <w:pPr>
              <w:jc w:val="center"/>
              <w:ind w:left="664"/>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gridSpan w:val="3"/>
          </w:tcPr>
          <w:p>
            <w:pPr>
              <w:jc w:val="center"/>
              <w:ind w:left="644"/>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6"/>
                <w:szCs w:val="16"/>
                <w:color w:val="auto"/>
              </w:rPr>
            </w:pPr>
          </w:p>
        </w:tc>
      </w:tr>
      <w:tr>
        <w:trPr>
          <w:trHeight w:val="191"/>
        </w:trPr>
        <w:tc>
          <w:tcPr>
            <w:tcW w:w="682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r>
      <w:tr>
        <w:trPr>
          <w:trHeight w:val="229"/>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$82.33</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$82.33</w:t>
            </w:r>
          </w:p>
        </w:tc>
      </w:tr>
    </w:tbl>
    <w:p>
      <w:pPr>
        <w:spacing w:after="0" w:line="296"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Employee Stock Purchase Plan</w:t>
      </w:r>
    </w:p>
    <w:p>
      <w:pPr>
        <w:spacing w:after="0" w:line="131" w:lineRule="exact"/>
        <w:rPr>
          <w:sz w:val="20"/>
          <w:szCs w:val="20"/>
          <w:color w:val="auto"/>
        </w:rPr>
      </w:pPr>
    </w:p>
    <w:p>
      <w:pPr>
        <w:ind w:right="100" w:firstLine="810"/>
        <w:spacing w:after="0" w:line="263" w:lineRule="auto"/>
        <w:rPr>
          <w:sz w:val="20"/>
          <w:szCs w:val="20"/>
          <w:color w:val="auto"/>
        </w:rPr>
      </w:pPr>
      <w:r>
        <w:rPr>
          <w:rFonts w:ascii="Arial" w:cs="Arial" w:eastAsia="Arial" w:hAnsi="Arial"/>
          <w:sz w:val="18"/>
          <w:szCs w:val="18"/>
          <w:color w:val="auto"/>
        </w:rPr>
        <w:t>The Company records stock-based compensation expense associated with the ESPP using the Black-Scholes option-pricing model. Valuations are performed on the grant date at the beginning of the purchase period, which generally occurs in May and November of each year. The assumptions used in the Black-Scholes option-pricing model for the ESPP were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ESPP</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75"/>
        </w:trPr>
        <w:tc>
          <w:tcPr>
            <w:tcW w:w="45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7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208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45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80" w:type="dxa"/>
            <w:vAlign w:val="bottom"/>
            <w:tcBorders>
              <w:bottom w:val="single" w:sz="8" w:color="auto"/>
            </w:tcBorders>
            <w:gridSpan w:val="3"/>
          </w:tcPr>
          <w:p>
            <w:pPr>
              <w:jc w:val="center"/>
              <w:ind w:left="742"/>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37"/>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6"/>
                <w:szCs w:val="16"/>
                <w:color w:val="auto"/>
              </w:rPr>
            </w:pPr>
          </w:p>
        </w:tc>
      </w:tr>
      <w:tr>
        <w:trPr>
          <w:trHeight w:val="191"/>
        </w:trPr>
        <w:tc>
          <w:tcPr>
            <w:tcW w:w="4580" w:type="dxa"/>
            <w:vAlign w:val="bottom"/>
          </w:tcPr>
          <w:p>
            <w:pPr>
              <w:spacing w:after="0"/>
              <w:rPr>
                <w:sz w:val="16"/>
                <w:szCs w:val="16"/>
                <w:color w:val="auto"/>
              </w:rPr>
            </w:pPr>
          </w:p>
        </w:tc>
        <w:tc>
          <w:tcPr>
            <w:tcW w:w="2940" w:type="dxa"/>
            <w:vAlign w:val="bottom"/>
            <w:gridSpan w:val="2"/>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ind w:right="313"/>
              <w:spacing w:after="0"/>
              <w:rPr>
                <w:sz w:val="20"/>
                <w:szCs w:val="20"/>
                <w:color w:val="auto"/>
              </w:rPr>
            </w:pPr>
            <w:r>
              <w:rPr>
                <w:rFonts w:ascii="Arial" w:cs="Arial" w:eastAsia="Arial" w:hAnsi="Arial"/>
                <w:sz w:val="14"/>
                <w:szCs w:val="14"/>
                <w:b w:val="1"/>
                <w:bCs w:val="1"/>
                <w:color w:val="auto"/>
              </w:rPr>
              <w:t>2020</w:t>
            </w:r>
          </w:p>
        </w:tc>
      </w:tr>
      <w:tr>
        <w:trPr>
          <w:trHeight w:val="229"/>
        </w:trPr>
        <w:tc>
          <w:tcPr>
            <w:tcW w:w="45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18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$29.24</w:t>
            </w: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$36.18</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$29.24</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$36.18</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30"/>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2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0.0 %</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0.0 %</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0.0 %</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47.5 %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65.7 %</w:t>
            </w:r>
          </w:p>
        </w:tc>
      </w:tr>
      <w:tr>
        <w:trPr>
          <w:trHeight w:val="230"/>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2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r>
      <w:tr>
        <w:trPr>
          <w:trHeight w:val="850"/>
        </w:trPr>
        <w:tc>
          <w:tcPr>
            <w:tcW w:w="4580" w:type="dxa"/>
            <w:vAlign w:val="bottom"/>
          </w:tcPr>
          <w:p>
            <w:pPr>
              <w:spacing w:after="0"/>
              <w:rPr>
                <w:sz w:val="24"/>
                <w:szCs w:val="24"/>
                <w:color w:val="auto"/>
              </w:rPr>
            </w:pPr>
          </w:p>
        </w:tc>
        <w:tc>
          <w:tcPr>
            <w:tcW w:w="1800" w:type="dxa"/>
            <w:vAlign w:val="bottom"/>
          </w:tcPr>
          <w:p>
            <w:pPr>
              <w:jc w:val="right"/>
              <w:ind w:right="573"/>
              <w:spacing w:after="0"/>
              <w:rPr>
                <w:sz w:val="20"/>
                <w:szCs w:val="20"/>
                <w:color w:val="auto"/>
              </w:rPr>
            </w:pPr>
            <w:r>
              <w:rPr>
                <w:rFonts w:ascii="Arial" w:cs="Arial" w:eastAsia="Arial" w:hAnsi="Arial"/>
                <w:sz w:val="18"/>
                <w:szCs w:val="18"/>
                <w:color w:val="auto"/>
              </w:rPr>
              <w:t>19</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40" w:firstLine="810"/>
        <w:spacing w:after="0" w:line="277" w:lineRule="auto"/>
        <w:rPr>
          <w:sz w:val="20"/>
          <w:szCs w:val="20"/>
          <w:color w:val="auto"/>
        </w:rPr>
      </w:pPr>
      <w:r>
        <w:rPr>
          <w:rFonts w:ascii="Arial" w:cs="Arial" w:eastAsia="Arial" w:hAnsi="Arial"/>
          <w:sz w:val="18"/>
          <w:szCs w:val="18"/>
          <w:color w:val="auto"/>
        </w:rPr>
        <w:t>The following table summarizes the allocation of stock-based compensation expense included in the condensed consolidated statements of operations for all stock-based compensation arrangements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88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6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r>
      <w:tr>
        <w:trPr>
          <w:trHeight w:val="183"/>
        </w:trPr>
        <w:tc>
          <w:tcPr>
            <w:tcW w:w="68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r>
      <w:tr>
        <w:trPr>
          <w:trHeight w:val="224"/>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4,326</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Selling, general &amp; administrative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23,210</w:t>
            </w:r>
          </w:p>
        </w:tc>
      </w:tr>
      <w:tr>
        <w:trPr>
          <w:trHeight w:val="230"/>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2,505</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4,565</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4,750</w:t>
            </w:r>
          </w:p>
        </w:tc>
      </w:tr>
      <w:tr>
        <w:trPr>
          <w:trHeight w:val="223"/>
        </w:trPr>
        <w:tc>
          <w:tcPr>
            <w:tcW w:w="682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27,924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32,286</w:t>
            </w:r>
          </w:p>
        </w:tc>
      </w:tr>
      <w:tr>
        <w:trPr>
          <w:trHeight w:val="21"/>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810"/>
        <w:spacing w:after="0" w:line="277" w:lineRule="auto"/>
        <w:rPr>
          <w:sz w:val="20"/>
          <w:szCs w:val="20"/>
          <w:color w:val="auto"/>
        </w:rPr>
      </w:pPr>
      <w:r>
        <w:rPr>
          <w:rFonts w:ascii="Arial" w:cs="Arial" w:eastAsia="Arial" w:hAnsi="Arial"/>
          <w:sz w:val="18"/>
          <w:szCs w:val="18"/>
          <w:color w:val="auto"/>
        </w:rPr>
        <w:t>The total stock-based compensation expense capitalized as part of the cost of the Company’s inventories was $0.8 million at June 30, 2021, and $0.6 million at December 31, 2020.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7"/>
          <w:szCs w:val="17"/>
          <w:color w:val="auto"/>
        </w:rPr>
        <w:t>For the three and six months ended June 30, 2021, the Company recognized income tax expense of $0.1 million on pre-tax income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$4.1 million, and an income tax benefit of $0.1 million on pre-tax loss of $1.1 million, respectively. The income tax benefit for the six months ended</w:t>
      </w:r>
    </w:p>
    <w:p>
      <w:pPr>
        <w:spacing w:after="0" w:line="2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June 30, 2021 was primarily attributable to the pre-tax loss position and excess tax benefits from stock compensation recorded discretely during the period, partially offset by state and foreign income tax expense as a result of current taxable income in certain jurisdictions.</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7"/>
          <w:szCs w:val="17"/>
          <w:color w:val="auto"/>
        </w:rPr>
        <w:t>For the three and six months ended June 30, 2020, the Company recognized an income tax benefit of $2.1 million on a pre-tax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$29.2 million, and an income tax benefit of $2.0 million on a pre-tax loss of $44.0 million, respectively. The income tax benefit for three and six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2020 was primarily due to benefit associated with the release of valuation allowance related to the acquisition of Sugarmate, partially offset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state and foreign income tax expense as a result of current taxable income in those jurisdictions.</w:t>
      </w:r>
    </w:p>
    <w:p>
      <w:pPr>
        <w:spacing w:after="0" w:line="211" w:lineRule="exact"/>
        <w:rPr>
          <w:sz w:val="20"/>
          <w:szCs w:val="20"/>
          <w:color w:val="auto"/>
        </w:rPr>
      </w:pPr>
    </w:p>
    <w:p>
      <w:pPr>
        <w:ind w:right="180" w:firstLine="810"/>
        <w:spacing w:after="0" w:line="259" w:lineRule="auto"/>
        <w:rPr>
          <w:sz w:val="20"/>
          <w:szCs w:val="20"/>
          <w:color w:val="auto"/>
        </w:rPr>
      </w:pPr>
      <w:r>
        <w:rPr>
          <w:rFonts w:ascii="Arial" w:cs="Arial" w:eastAsia="Arial" w:hAnsi="Arial"/>
          <w:sz w:val="18"/>
          <w:szCs w:val="18"/>
          <w:color w:val="auto"/>
        </w:rPr>
        <w:t>The Company calculated the provision (benefit) for income taxes for the three and six months ended June 30, 2021 by applying an estimate of the annual effective tax rate for the full year to ordinary income (loss) adjusted by the tax impact of discrete items. For the three and six months ended June 30, 2020, the Company calculated the provision for income taxes using a discrete effective tax rate method as the annual effective tax rate method would not provide a reliable estimate.</w:t>
      </w:r>
    </w:p>
    <w:p>
      <w:pPr>
        <w:spacing w:after="0" w:line="214" w:lineRule="exact"/>
        <w:rPr>
          <w:sz w:val="20"/>
          <w:szCs w:val="20"/>
          <w:color w:val="auto"/>
        </w:rPr>
      </w:pPr>
    </w:p>
    <w:p>
      <w:pPr>
        <w:ind w:right="500" w:firstLine="810"/>
        <w:spacing w:after="0" w:line="277" w:lineRule="auto"/>
        <w:rPr>
          <w:sz w:val="20"/>
          <w:szCs w:val="20"/>
          <w:color w:val="auto"/>
        </w:rPr>
      </w:pPr>
      <w:r>
        <w:rPr>
          <w:rFonts w:ascii="Arial" w:cs="Arial" w:eastAsia="Arial" w:hAnsi="Arial"/>
          <w:sz w:val="18"/>
          <w:szCs w:val="18"/>
          <w:color w:val="auto"/>
        </w:rPr>
        <w:t>The Company continues to maintain a full valuation allowance against its net deferred tax assets as of June 30, 2021, based on the current assessment that it is not more likely than not these future benefits will be realized before expiration.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Segment and Geographic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52" w:lineRule="exact"/>
        <w:rPr>
          <w:sz w:val="20"/>
          <w:szCs w:val="20"/>
          <w:color w:val="auto"/>
        </w:rPr>
      </w:pPr>
    </w:p>
    <w:p>
      <w:pPr>
        <w:ind w:right="200" w:firstLine="810"/>
        <w:spacing w:after="0" w:line="257" w:lineRule="auto"/>
        <w:rPr>
          <w:sz w:val="20"/>
          <w:szCs w:val="20"/>
          <w:color w:val="auto"/>
        </w:rPr>
      </w:pPr>
      <w:r>
        <w:rPr>
          <w:rFonts w:ascii="Arial" w:cs="Arial" w:eastAsia="Arial" w:hAnsi="Arial"/>
          <w:sz w:val="18"/>
          <w:szCs w:val="18"/>
          <w:color w:val="auto"/>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disposable cartridges and infusion sets for the storage and delivery of insulin. The Company views its operations and manages its business as one segment and a single reporting unit because key operating decisions and resource allocations are made by the CODM using consolidated financial data.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right="180" w:firstLine="810"/>
        <w:spacing w:after="0" w:line="301" w:lineRule="auto"/>
        <w:rPr>
          <w:sz w:val="20"/>
          <w:szCs w:val="20"/>
          <w:color w:val="auto"/>
        </w:rPr>
      </w:pPr>
      <w:r>
        <w:rPr>
          <w:rFonts w:ascii="Arial" w:cs="Arial" w:eastAsia="Arial" w:hAnsi="Arial"/>
          <w:sz w:val="16"/>
          <w:szCs w:val="16"/>
          <w:color w:val="auto"/>
        </w:rPr>
        <w:t>The Company primarily sells its products through national and regional distributors in the United States on a non-exclusive basis, and through distribution partners outside the United States, including in select European countries, Canada, Australia, New Zealand, and South Africa. In the United States and Canada, the Company utilizes a direct sales force. The Company disaggregates its revenue by geography and by major sales channel as management believes these categories best depict how the nature, amount and timing of revenues and cash flows are affected by economic factors.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by Geographic Region and Customer Sales Channels</w:t>
      </w:r>
    </w:p>
    <w:p>
      <w:pPr>
        <w:spacing w:after="0" w:line="252" w:lineRule="exact"/>
        <w:rPr>
          <w:sz w:val="20"/>
          <w:szCs w:val="20"/>
          <w:color w:val="auto"/>
        </w:rPr>
      </w:pPr>
    </w:p>
    <w:p>
      <w:pPr>
        <w:ind w:right="540" w:firstLine="810"/>
        <w:spacing w:after="0" w:line="263" w:lineRule="auto"/>
        <w:rPr>
          <w:sz w:val="20"/>
          <w:szCs w:val="20"/>
          <w:color w:val="auto"/>
        </w:rPr>
      </w:pPr>
      <w:r>
        <w:rPr>
          <w:rFonts w:ascii="Arial" w:cs="Arial" w:eastAsia="Arial" w:hAnsi="Arial"/>
          <w:sz w:val="18"/>
          <w:szCs w:val="18"/>
          <w:color w:val="auto"/>
        </w:rPr>
        <w:t>During the three and six months ended June 30, 2021 and 2020, no individual country outside the United States generated revenue that represented more than 10% of total revenue. The table below sets forth revenues for the Company’s two primary geographical markets, based on the geographic location to which its products are shipped.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8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83"/>
        </w:trPr>
        <w:tc>
          <w:tcPr>
            <w:tcW w:w="59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r>
      <w:tr>
        <w:trPr>
          <w:trHeight w:val="224"/>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127,580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89,277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230,919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168,823</w:t>
            </w:r>
          </w:p>
        </w:tc>
      </w:tr>
      <w:tr>
        <w:trPr>
          <w:trHeight w:val="23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38,339</w:t>
            </w:r>
          </w:p>
        </w:tc>
      </w:tr>
      <w:tr>
        <w:trPr>
          <w:trHeight w:val="248"/>
        </w:trPr>
        <w:tc>
          <w:tcPr>
            <w:tcW w:w="5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207,162</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60" w:firstLine="810"/>
        <w:spacing w:after="0" w:line="277" w:lineRule="auto"/>
        <w:rPr>
          <w:sz w:val="20"/>
          <w:szCs w:val="20"/>
          <w:color w:val="auto"/>
        </w:rPr>
      </w:pPr>
      <w:r>
        <w:rPr>
          <w:rFonts w:ascii="Arial" w:cs="Arial" w:eastAsia="Arial" w:hAnsi="Arial"/>
          <w:sz w:val="18"/>
          <w:szCs w:val="18"/>
          <w:color w:val="auto"/>
        </w:rPr>
        <w:t>Sales to distributors accounted for 68% and 71% of the Company’s total domestic sales for the three months ended June 30, 2021 and 2020, respectively, and 68% and 70% of total domestic sales for the six months ended June 30, 2021 and 2020, respectively.</w:t>
      </w:r>
    </w:p>
    <w:p>
      <w:pPr>
        <w:spacing w:after="0" w:line="197" w:lineRule="exact"/>
        <w:rPr>
          <w:sz w:val="20"/>
          <w:szCs w:val="20"/>
          <w:color w:val="auto"/>
        </w:rPr>
      </w:pPr>
    </w:p>
    <w:p>
      <w:pPr>
        <w:ind w:right="100" w:firstLine="810"/>
        <w:spacing w:after="0" w:line="277" w:lineRule="auto"/>
        <w:rPr>
          <w:sz w:val="20"/>
          <w:szCs w:val="20"/>
          <w:color w:val="auto"/>
        </w:rPr>
      </w:pPr>
      <w:r>
        <w:rPr>
          <w:rFonts w:ascii="Arial" w:cs="Arial" w:eastAsia="Arial" w:hAnsi="Arial"/>
          <w:sz w:val="18"/>
          <w:szCs w:val="18"/>
          <w:color w:val="auto"/>
        </w:rPr>
        <w:t>Sales to distributors accounted for 95% and 96% of the Company’s total international sales for the three months ended June 30, 2021 and 2020, respectively, and 95% of the Company’s total international sales for both the six months ended June 30, 2021 and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Matters</w:t>
      </w:r>
    </w:p>
    <w:p>
      <w:pPr>
        <w:spacing w:after="0" w:line="266" w:lineRule="exact"/>
        <w:rPr>
          <w:sz w:val="20"/>
          <w:szCs w:val="20"/>
          <w:color w:val="auto"/>
        </w:rPr>
      </w:pPr>
    </w:p>
    <w:p>
      <w:pPr>
        <w:ind w:right="260" w:firstLine="810"/>
        <w:spacing w:after="0" w:line="277" w:lineRule="auto"/>
        <w:rPr>
          <w:sz w:val="20"/>
          <w:szCs w:val="20"/>
          <w:color w:val="auto"/>
        </w:rPr>
      </w:pPr>
      <w:r>
        <w:rPr>
          <w:rFonts w:ascii="Arial" w:cs="Arial" w:eastAsia="Arial" w:hAnsi="Arial"/>
          <w:sz w:val="18"/>
          <w:szCs w:val="18"/>
          <w:color w:val="auto"/>
        </w:rPr>
        <w:t>In April 2020, the Company was named as a defendant in four federal class action lawsuits relating to a data breach it experienced in January 2020, each of which was subsequently dismissed.</w:t>
      </w:r>
    </w:p>
    <w:p>
      <w:pPr>
        <w:spacing w:after="0" w:line="197" w:lineRule="exact"/>
        <w:rPr>
          <w:sz w:val="20"/>
          <w:szCs w:val="20"/>
          <w:color w:val="auto"/>
        </w:rPr>
      </w:pPr>
    </w:p>
    <w:p>
      <w:pPr>
        <w:ind w:right="40" w:firstLine="810"/>
        <w:spacing w:after="0" w:line="268" w:lineRule="auto"/>
        <w:rPr>
          <w:sz w:val="20"/>
          <w:szCs w:val="20"/>
          <w:color w:val="auto"/>
        </w:rPr>
      </w:pPr>
      <w:r>
        <w:rPr>
          <w:rFonts w:ascii="Arial" w:cs="Arial" w:eastAsia="Arial" w:hAnsi="Arial"/>
          <w:sz w:val="17"/>
          <w:szCs w:val="17"/>
          <w:color w:val="auto"/>
        </w:rPr>
        <w:t xml:space="preserve">In addition, in May 2020 the Company was named as a defendant in three California state court class action lawsuits arising from the same data breach. Collectively, these lawsuits seek statutory, compensatory, actual, and punitive damages; equitable relief, including restitution; pre- and post-judgment interest; injunctive relief; and attorney fees, costs, and expenses from the Company. On July 24, 2020, these three pending lawsuits were consolidated into a single case in the Superior Court of the State of California in the County of San Bernardino entitled </w:t>
      </w:r>
      <w:r>
        <w:rPr>
          <w:rFonts w:ascii="Arial" w:cs="Arial" w:eastAsia="Arial" w:hAnsi="Arial"/>
          <w:sz w:val="17"/>
          <w:szCs w:val="17"/>
          <w:i w:val="1"/>
          <w:iCs w:val="1"/>
          <w:color w:val="auto"/>
        </w:rPr>
        <w:t>Joseph Deluna et al v. Tandem</w:t>
      </w:r>
      <w:r>
        <w:rPr>
          <w:rFonts w:ascii="Arial" w:cs="Arial" w:eastAsia="Arial" w:hAnsi="Arial"/>
          <w:sz w:val="17"/>
          <w:szCs w:val="17"/>
          <w:color w:val="auto"/>
        </w:rPr>
        <w:t xml:space="preserve"> </w:t>
      </w:r>
      <w:r>
        <w:rPr>
          <w:rFonts w:ascii="Arial" w:cs="Arial" w:eastAsia="Arial" w:hAnsi="Arial"/>
          <w:sz w:val="17"/>
          <w:szCs w:val="17"/>
          <w:i w:val="1"/>
          <w:iCs w:val="1"/>
          <w:color w:val="auto"/>
        </w:rPr>
        <w:t>Diabetes Care, Inc</w:t>
      </w:r>
      <w:r>
        <w:rPr>
          <w:rFonts w:ascii="Arial" w:cs="Arial" w:eastAsia="Arial" w:hAnsi="Arial"/>
          <w:sz w:val="17"/>
          <w:szCs w:val="17"/>
          <w:color w:val="auto"/>
        </w:rPr>
        <w:t>. The consolidated case alleges violations of the Confidentiality of Medical Information Act (CMIA), California Consumer Privacy Act</w:t>
      </w:r>
      <w:r>
        <w:rPr>
          <w:rFonts w:ascii="Arial" w:cs="Arial" w:eastAsia="Arial" w:hAnsi="Arial"/>
          <w:sz w:val="17"/>
          <w:szCs w:val="17"/>
          <w:i w:val="1"/>
          <w:iCs w:val="1"/>
          <w:color w:val="auto"/>
        </w:rPr>
        <w:t xml:space="preserve"> </w:t>
      </w:r>
      <w:r>
        <w:rPr>
          <w:rFonts w:ascii="Arial" w:cs="Arial" w:eastAsia="Arial" w:hAnsi="Arial"/>
          <w:sz w:val="17"/>
          <w:szCs w:val="17"/>
          <w:color w:val="auto"/>
        </w:rPr>
        <w:t>(CCPA), California’s Unfair Competition Law (UCL), and breach of contract. The Company filed a demurrer seeking dismissal of all claims, which was heard by the Court on October 27, 2020, and which resulted in the following outcome: (i) the demurrer of the CMIA claim was denied; (ii) the demurrer of the CCPA claim was sustained; and (iii) the demurrer of the UCL and contract claims were sustained with leave to amend the pending complaint. A second demurrer was heard by the Court on March 29, 2021 with the following outcome: (i) the demurrer of the CMIA claim was denied; and (ii) the demurrer of the UCL and contract claims were narrowed in scope to dismiss three plaintiffs for either failing to allege cognizable damages or injuries-in-fact, resulting in two remaining plaintiffs. Although the Company intends to vigorously defend against these claims, there is no guarantee that the Company will prevail. The Company presently is unable to determine the ultimate outcome of these lawsuits or determine the amount (or range) of possible losses associated with the lawsuits.</w:t>
      </w:r>
    </w:p>
    <w:p>
      <w:pPr>
        <w:spacing w:after="0" w:line="200" w:lineRule="exact"/>
        <w:rPr>
          <w:sz w:val="20"/>
          <w:szCs w:val="20"/>
          <w:color w:val="auto"/>
        </w:rPr>
      </w:pPr>
    </w:p>
    <w:p>
      <w:pPr>
        <w:ind w:right="20" w:firstLine="810"/>
        <w:spacing w:after="0" w:line="237" w:lineRule="auto"/>
        <w:rPr>
          <w:sz w:val="20"/>
          <w:szCs w:val="20"/>
          <w:color w:val="auto"/>
        </w:rPr>
      </w:pPr>
      <w:r>
        <w:rPr>
          <w:rFonts w:ascii="Arial" w:cs="Arial" w:eastAsia="Arial" w:hAnsi="Arial"/>
          <w:sz w:val="17"/>
          <w:szCs w:val="17"/>
          <w:color w:val="auto"/>
        </w:rPr>
        <w:t xml:space="preserve">In September 2020, the Company was named as a defendant in a lawsuit entitled </w:t>
      </w:r>
      <w:r>
        <w:rPr>
          <w:rFonts w:ascii="Arial" w:cs="Arial" w:eastAsia="Arial" w:hAnsi="Arial"/>
          <w:sz w:val="17"/>
          <w:szCs w:val="17"/>
          <w:i w:val="1"/>
          <w:iCs w:val="1"/>
          <w:color w:val="auto"/>
        </w:rPr>
        <w:t>Buck Walsh, individually and on behalf of others similarly</w:t>
      </w:r>
      <w:r>
        <w:rPr>
          <w:rFonts w:ascii="Arial" w:cs="Arial" w:eastAsia="Arial" w:hAnsi="Arial"/>
          <w:sz w:val="17"/>
          <w:szCs w:val="17"/>
          <w:color w:val="auto"/>
        </w:rPr>
        <w:t xml:space="preserve"> </w:t>
      </w:r>
      <w:r>
        <w:rPr>
          <w:rFonts w:ascii="Arial" w:cs="Arial" w:eastAsia="Arial" w:hAnsi="Arial"/>
          <w:sz w:val="17"/>
          <w:szCs w:val="17"/>
          <w:i w:val="1"/>
          <w:iCs w:val="1"/>
          <w:color w:val="auto"/>
        </w:rPr>
        <w:t>situated v. Tandem Diabetes Care, Inc.</w:t>
      </w:r>
      <w:r>
        <w:rPr>
          <w:rFonts w:ascii="Arial" w:cs="Arial" w:eastAsia="Arial" w:hAnsi="Arial"/>
          <w:sz w:val="17"/>
          <w:szCs w:val="17"/>
          <w:color w:val="auto"/>
        </w:rPr>
        <w:t>, which was filed in the Superior Court of the State of California in the County of San Diego. The alleged violations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business and professions code and labor code violations for failure to compensate wages, unpaid meal and rest periods, and failure to reimburse for necessary business-related expenses. The class of plaintiffs includes hourly paid or non-exempt employees of the Company who were employed from April 6, 2016 through the date of adjudication. The parties recently agreed to resolve the matter on a class-wide basis. The settlement is intended to resolve the claims of the individual plaintiff, as well as the remaining members of the class, unless an individual class member submits a timely request for exclusion. The material terms of the settlement are set forth in a binding Memorandum of Agreement dated as of July 1, 2021, which is subject to the completion of a number of conditions, as well as final approval by the court. There is no guarantee that the conditions will be met or that court approval will be obtained. If the court does not approve the settlement, or if other conditions to approval of the settlement are not met, the case will continue and the Company will continue to vigorously defend against the claims.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color w:val="auto"/>
        </w:rPr>
        <w:t>From time to time, the Company is involved in various other legal proceedings, regulatory matters, and other disputes or claims arising from or related to the normal course of our business activities, including actions with respect to intellectual property, data privacy, employment, regulatory, product liability and contractual matters. In connection with these proceedings or matters, the Company regularly assesses the probability and amount (or range) of possible losses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proceeding or matter where no liability has been accrued, to make a reasonable estimate of the possible loss (or range of loss) that could result from an adverse outcome.</w:t>
      </w:r>
    </w:p>
    <w:p>
      <w:pPr>
        <w:spacing w:after="0" w:line="166" w:lineRule="exact"/>
        <w:rPr>
          <w:sz w:val="20"/>
          <w:szCs w:val="20"/>
          <w:color w:val="auto"/>
        </w:rPr>
      </w:pPr>
    </w:p>
    <w:p>
      <w:pPr>
        <w:ind w:right="80" w:firstLine="810"/>
        <w:spacing w:after="0" w:line="301" w:lineRule="auto"/>
        <w:rPr>
          <w:sz w:val="20"/>
          <w:szCs w:val="20"/>
          <w:color w:val="auto"/>
        </w:rPr>
      </w:pPr>
      <w:r>
        <w:rPr>
          <w:rFonts w:ascii="Arial" w:cs="Arial" w:eastAsia="Arial" w:hAnsi="Arial"/>
          <w:sz w:val="16"/>
          <w:szCs w:val="16"/>
          <w:color w:val="auto"/>
        </w:rPr>
        <w:t>Except as set forth above, as of June 30, 2021 and December 31, 2020, there were no legal proceedings, regulatory matters, or other disputes or claims for which a material loss was considered probable or for which the amount (or range) of loss was reasonably estimable. However, regardless of the merits of the claims raised or the outcome, legal proceedings, regulatory matters, and other disputes and claims may have an adverse impact on the Company because of as a result of defense and settlement costs, diversion of management time and resources, and other factors.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our financial statements and related notes in Part I, Item 1 of this Quarterly Report on Form 10-Q for the quarter ended June 30, 2021 (Quarterly Report).</w:t>
      </w:r>
    </w:p>
    <w:p>
      <w:pPr>
        <w:spacing w:after="0" w:line="170" w:lineRule="exact"/>
        <w:rPr>
          <w:sz w:val="20"/>
          <w:szCs w:val="20"/>
          <w:color w:val="auto"/>
        </w:rPr>
      </w:pPr>
    </w:p>
    <w:p>
      <w:pPr>
        <w:ind w:right="40" w:firstLine="810"/>
        <w:spacing w:after="0" w:line="287" w:lineRule="auto"/>
        <w:rPr>
          <w:sz w:val="20"/>
          <w:szCs w:val="20"/>
          <w:color w:val="auto"/>
        </w:rPr>
      </w:pPr>
      <w:r>
        <w:rPr>
          <w:rFonts w:ascii="Arial" w:cs="Arial" w:eastAsia="Arial" w:hAnsi="Arial"/>
          <w:sz w:val="16"/>
          <w:szCs w:val="16"/>
          <w:i w:val="1"/>
          <w:iCs w:val="1"/>
          <w:color w:val="auto"/>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trends impacting our financial results, business forecasts and plans, research and product development plans, manufacturing plans, strategic plans and objectives, capital needs and financing plans, product launches, geographic expansion, distribution plans, production capacity, clinical trials, regulatory approvals, competitive position and the impact of changes in the competitive environment, the impact of the COVID-19 global pandemic, integration of acquisitions and partner technologies, and the application of accounting guidance. We caution you that the foregoing list may not include all of the forward-looking statements made in this Quarterly Report.</w:t>
      </w:r>
    </w:p>
    <w:p>
      <w:pPr>
        <w:spacing w:after="0" w:line="172"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Part II, Item 1A, and elsewhere in this Quarterly Report, as well as the other public filings we make with the Securities and Exchange Commission. You should read this Quarterly Report with the understanding that our actual future financial condition and results may be materially different from and worse than what we expect.</w:t>
      </w:r>
    </w:p>
    <w:p>
      <w:pPr>
        <w:spacing w:after="0" w:line="177" w:lineRule="exact"/>
        <w:rPr>
          <w:sz w:val="20"/>
          <w:szCs w:val="20"/>
          <w:color w:val="auto"/>
        </w:rPr>
      </w:pPr>
    </w:p>
    <w:p>
      <w:pPr>
        <w:ind w:right="220" w:firstLine="810"/>
        <w:spacing w:after="0" w:line="286" w:lineRule="auto"/>
        <w:rPr>
          <w:sz w:val="20"/>
          <w:szCs w:val="20"/>
          <w:color w:val="auto"/>
        </w:rPr>
      </w:pPr>
      <w:r>
        <w:rPr>
          <w:rFonts w:ascii="Arial" w:cs="Arial" w:eastAsia="Arial" w:hAnsi="Arial"/>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65" w:lineRule="exact"/>
        <w:rPr>
          <w:sz w:val="20"/>
          <w:szCs w:val="20"/>
          <w:color w:val="auto"/>
        </w:rPr>
      </w:pPr>
    </w:p>
    <w:p>
      <w:pPr>
        <w:ind w:right="120" w:firstLine="810"/>
        <w:spacing w:after="0" w:line="342" w:lineRule="auto"/>
        <w:rPr>
          <w:sz w:val="20"/>
          <w:szCs w:val="20"/>
          <w:color w:val="auto"/>
        </w:rPr>
      </w:pPr>
      <w:r>
        <w:rPr>
          <w:rFonts w:ascii="Arial" w:cs="Arial" w:eastAsia="Arial" w:hAnsi="Arial"/>
          <w:sz w:val="16"/>
          <w:szCs w:val="16"/>
          <w:i w:val="1"/>
          <w:iCs w:val="1"/>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24"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We qualify all of our forward-looking statements by these cautionary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810"/>
        <w:spacing w:after="0" w:line="254" w:lineRule="auto"/>
        <w:rPr>
          <w:sz w:val="20"/>
          <w:szCs w:val="20"/>
          <w:color w:val="auto"/>
        </w:rPr>
      </w:pPr>
      <w:r>
        <w:rPr>
          <w:rFonts w:ascii="Arial" w:cs="Arial" w:eastAsia="Arial" w:hAnsi="Arial"/>
          <w:sz w:val="18"/>
          <w:szCs w:val="18"/>
          <w:color w:val="auto"/>
        </w:rPr>
        <w:t>We are a medical device company with a positively different approach to the design, development and commercialization of products for people with insulin-dependent diabetes. Diabetes management can vary greatly from person-to-person, creating multiple market segments based on clinical needs and personal preferences. We aim to improve and simplify the lives of all people living with insulin-dependent diabetes and those of their healthcare providers, by delivering innovative hardware and software solutions, as well as best-in-class customer support. Our goal is to lead insulin therapy management by building a robust ecosystem and portfolio of data-driven products and services around our flagship insulin pumps. We believe our competitive advantage is rooted in our consumer-focused approach and the incorporation of modern and innovative technology into our product offerings. Our manufacturing, sales and support activities principally focus on our flagship pump platform, the t:slim X2 Insulin Delivery System (t:slim X2) and our complementary product offerings.</w:t>
      </w:r>
    </w:p>
    <w:p>
      <w:pPr>
        <w:spacing w:after="0" w:line="192" w:lineRule="exact"/>
        <w:rPr>
          <w:sz w:val="20"/>
          <w:szCs w:val="20"/>
          <w:color w:val="auto"/>
        </w:rPr>
      </w:pPr>
    </w:p>
    <w:p>
      <w:pPr>
        <w:ind w:right="100" w:firstLine="810"/>
        <w:spacing w:after="0" w:line="279" w:lineRule="auto"/>
        <w:rPr>
          <w:sz w:val="20"/>
          <w:szCs w:val="20"/>
          <w:color w:val="auto"/>
        </w:rPr>
      </w:pPr>
      <w:r>
        <w:rPr>
          <w:rFonts w:ascii="Arial" w:cs="Arial" w:eastAsia="Arial" w:hAnsi="Arial"/>
          <w:sz w:val="17"/>
          <w:szCs w:val="17"/>
          <w:color w:val="auto"/>
        </w:rPr>
        <w:t>Since our initial commercial launch, we have rapidly innovated and brought more products to market than our competitors. We have commercially launched seven insulin pump configurations in the United States since 2012 and three insulin pump configurations outside the United States since 2018. Today, our software-updatable t:slim X2 hardware platform represents 100% of our new pump shipments. We now have nearly 270,000 customers in our global installed base, assuming a typical four year reimbursement cycle, of which 25% are in international markets.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810"/>
        <w:spacing w:after="0" w:line="268" w:lineRule="auto"/>
        <w:rPr>
          <w:sz w:val="20"/>
          <w:szCs w:val="20"/>
          <w:color w:val="auto"/>
        </w:rPr>
      </w:pPr>
      <w:r>
        <w:rPr>
          <w:rFonts w:ascii="Arial" w:cs="Arial" w:eastAsia="Arial" w:hAnsi="Arial"/>
          <w:sz w:val="17"/>
          <w:szCs w:val="17"/>
          <w:color w:val="auto"/>
        </w:rPr>
        <w:t>Our simple-to-use t:slim X2 is based on our proprietary technology platform and is the smallest durable insulin pump available. We have commercially offered our pump technology integrated with three generations of Dexcom’s continuous glucose monitoring (CGM) sensors. The t:slim X2 is the only pump on which remote software updates have been made commercially available in the United States. This experience, which offers and supports different software updates quickly and easily from a personal computer through the use of our revolutionary tool referred to as Tandem Device Updater (TDU), provides us with a unique competitive advantage. Two of our updates provided our users access to our automated insulin delivery (AID) algorithms, Basal-IQ technology and Control-IQ technology. Basal-IQ technology launched in August 2018 and is a predictive low glucose suspend feature that is designed to temporarily suspend insulin delivery to help reduce the frequency and duration of hypoglycemic events. Control-IQ technology launched in January 2020 and is an advanced hybrid-closed loop feature, designed to help increase a user's time in their targeted glycemic range. It is the first and only system cleared by the U.S. Food and Drug Administration (FDA) to deliver automatic correction boluses in addition to adjusting insulin to help prevent high and low blood sugar. Outside the United States we began selling t:slim X2 with Dexcom G5 integration in the third quarter of 2018, offering no-cost software updates for Basal-IQ technology beginning in the third quarter of 2019 and for Control-IQ technology beginning in the third quarter of 2020. We intend to continue our scaled launch of Control-IQ technology outside the United States throughout the remainder of 2021, subject to securing necessary regulatory clearances or approvals. We continue to offer both AID algorithms on the market to support the varying needs of people living with diabetes.</w:t>
      </w:r>
    </w:p>
    <w:p>
      <w:pPr>
        <w:spacing w:after="0" w:line="184" w:lineRule="exact"/>
        <w:rPr>
          <w:sz w:val="20"/>
          <w:szCs w:val="20"/>
          <w:color w:val="auto"/>
        </w:rPr>
      </w:pPr>
    </w:p>
    <w:p>
      <w:pPr>
        <w:ind w:right="80" w:firstLine="810"/>
        <w:spacing w:after="0" w:line="296" w:lineRule="auto"/>
        <w:rPr>
          <w:sz w:val="20"/>
          <w:szCs w:val="20"/>
          <w:color w:val="auto"/>
        </w:rPr>
      </w:pPr>
      <w:r>
        <w:rPr>
          <w:rFonts w:ascii="Arial" w:cs="Arial" w:eastAsia="Arial" w:hAnsi="Arial"/>
          <w:sz w:val="16"/>
          <w:szCs w:val="16"/>
          <w:color w:val="auto"/>
        </w:rPr>
        <w:t>Our insulin pump products are generally considered durable medical equipment and have an expected lifespan of at least four years. In addition to insulin pumps, we sell disposable products that are used together with our pumps and are replaced every few days, including cartridges for storing and delivering insulin, and infusion sets that connect the insulin pump to a user’s body, as well as a variety of accessories designed for enhanced usability. We also offer t:connect, a web-based data management application that provides users, their caregivers and their healthcare providers with a fast, easy and visual way to display diabetes therapy management data from our pumps, integrated CGMs and supported blood glucose meters.</w:t>
      </w:r>
    </w:p>
    <w:p>
      <w:pPr>
        <w:spacing w:after="0" w:line="161" w:lineRule="exact"/>
        <w:rPr>
          <w:sz w:val="20"/>
          <w:szCs w:val="20"/>
          <w:color w:val="auto"/>
        </w:rPr>
      </w:pPr>
    </w:p>
    <w:p>
      <w:pPr>
        <w:ind w:right="60" w:firstLine="810"/>
        <w:spacing w:after="0" w:line="253" w:lineRule="auto"/>
        <w:rPr>
          <w:sz w:val="20"/>
          <w:szCs w:val="20"/>
          <w:color w:val="auto"/>
        </w:rPr>
      </w:pPr>
      <w:r>
        <w:rPr>
          <w:rFonts w:ascii="Arial" w:cs="Arial" w:eastAsia="Arial" w:hAnsi="Arial"/>
          <w:sz w:val="18"/>
          <w:szCs w:val="18"/>
          <w:color w:val="auto"/>
        </w:rPr>
        <w:t>In support of our digital health strategy, we continue to offer and improve t:connect and TDU, and also develop and launch other complementary offerings. In the first quarter of 2020, we began a limited launch in the United States of our first-generation t:connect mobile application, followed by general availability in July 2020. This mobile app wirelessly uploads pump data to our t:connect diabetes management application, receives notification of pump alerts and alarms, and provides a discrete, secondary display of glucose and insulin data. The availability of this mobile app is intended to reduce patient burden and increase healthcare provider office efficiency by reducing the manual and more time-consuming steps historically required for data extraction. In addition, in the second quarter of 2020, we acquired Sugarmate, the developer of a popular app designed to help people visualize diabetes therapy data in innovative ways that also connects with many other popular, consumer-friendly devices. We continue to support the Sugarmate app in addition to our t:connect mobile app to provide a wide variety of features intended to benefit a broad community of people with diabetes. In the second quarter of 2021, we began limited testing of an initial version of Tandem Source, our second-generation data management platform, in the United Kingdom.</w:t>
      </w:r>
    </w:p>
    <w:p>
      <w:pPr>
        <w:spacing w:after="0" w:line="194" w:lineRule="exact"/>
        <w:rPr>
          <w:sz w:val="20"/>
          <w:szCs w:val="20"/>
          <w:color w:val="auto"/>
        </w:rPr>
      </w:pPr>
    </w:p>
    <w:p>
      <w:pPr>
        <w:ind w:firstLine="810"/>
        <w:spacing w:after="0" w:line="273" w:lineRule="auto"/>
        <w:rPr>
          <w:sz w:val="20"/>
          <w:szCs w:val="20"/>
          <w:color w:val="auto"/>
        </w:rPr>
      </w:pPr>
      <w:r>
        <w:rPr>
          <w:rFonts w:ascii="Arial" w:cs="Arial" w:eastAsia="Arial" w:hAnsi="Arial"/>
          <w:sz w:val="17"/>
          <w:szCs w:val="17"/>
          <w:color w:val="auto"/>
        </w:rPr>
        <w:t>For the six months ended June 30, 2021 and 2020, our consolidated sales were $313.2 million and $207.2 million, respectively. For the six months ended June 30, 2021 and 2020, our net loss was $1.0 million and $42.0 million, respectively. Worldwide pump sales accounted for 61% and 60% of our total sales for the six months ended June 30, 2021 and 2020, respectively, while pump-related supplies and accessories accounted for the remainder in each year. Our accumulated deficit as of June 30, 2021 and December 31, 2020 was $651.2 million and $659.2 million, respectively. These amounts included $321.2 million and $292.1 million of accumulated non-cash stock-based compensation charges and non-cash charges from the change in fair value of common stock warrants as of June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10"/>
        <w:spacing w:after="0" w:line="268" w:lineRule="auto"/>
        <w:rPr>
          <w:sz w:val="20"/>
          <w:szCs w:val="20"/>
          <w:color w:val="auto"/>
        </w:rPr>
      </w:pPr>
      <w:r>
        <w:rPr>
          <w:rFonts w:ascii="Arial" w:cs="Arial" w:eastAsia="Arial" w:hAnsi="Arial"/>
          <w:sz w:val="17"/>
          <w:szCs w:val="17"/>
          <w:color w:val="auto"/>
        </w:rPr>
        <w:t>In the United States, we have rapidly increased sales since the commercial launch of our first product by expanding our sales, clinical and marketing organization, by developing, commercializing and marketing multiple differentiated products that utilize our proprietary technology platform and consumer-focused approach, and by providing strong customer support. Our sales have further increased following our scaled product launches in an expanding number of geographies outside the United States. We believe that by demonstrating our product benefits and the shortcomings of existing insulin therapies, more people will choose our insulin pumps for their therapy needs, allowing us to further penetrate and expand the market worldwide. In addition, we believe publications, such as the results from studies using Control-IQ technology that were published in the New England Journal of Medicine in October 2019 and August 2020, and post-market real-world data will be valuable in demonstrating the clinical outcome benefits derived from our system to healthcare providers and payors. We also believe we are positioned well to address consumers’ needs and preferences with our current products and products under development and by offering customers access to our future innovations through TDU, as they are approved by the local regulating bodies. At the same time, by innovating and offering new product features and benefits using our t:slim X2 platform, we are able to leverage a shared global manufacturing and supply chain infrastructure. In the United States, we are able to leverage a single sales, marketing, and clinical organization, as well as our customer support services. In Canada, we have a separate sales organization and our customer support infrastructure benefits from close collaboration with our United States organization. In other international geographies, we have contracted with experienced distribution partners to commercialize and support our t:slim X2 platform.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Global Pandemic Impact and Considerations</w:t>
      </w:r>
    </w:p>
    <w:p>
      <w:pPr>
        <w:spacing w:after="0" w:line="225" w:lineRule="exact"/>
        <w:rPr>
          <w:sz w:val="20"/>
          <w:szCs w:val="20"/>
          <w:color w:val="auto"/>
        </w:rPr>
      </w:pPr>
    </w:p>
    <w:p>
      <w:pPr>
        <w:ind w:right="160" w:firstLine="810"/>
        <w:spacing w:after="0" w:line="273" w:lineRule="auto"/>
        <w:rPr>
          <w:sz w:val="20"/>
          <w:szCs w:val="20"/>
          <w:color w:val="auto"/>
        </w:rPr>
      </w:pPr>
      <w:r>
        <w:rPr>
          <w:rFonts w:ascii="Arial" w:cs="Arial" w:eastAsia="Arial" w:hAnsi="Arial"/>
          <w:sz w:val="17"/>
          <w:szCs w:val="17"/>
          <w:color w:val="auto"/>
        </w:rPr>
        <w:t>We are deemed an essential healthcare business under applicable governmental orders based on the critical nature of the products we offer and the communities we serve. We experienced modest impacts from the COVID-19 global pandemic during the first quarter of 2020, which became more pronounced beginning in the second quarter and continuing through the current period. Initially, the impact on our business was relatively consistent worldwide but we have since seen varying degrees of impact in international markets based on local conditions. During the first half of 2021, we saw a gradual increase in the amount of in-person sales and training activities in the United States as vaccination availability expanded and social-distancing requirements were relaxed. However, we continue to see variability across the country.</w:t>
      </w:r>
    </w:p>
    <w:p>
      <w:pPr>
        <w:spacing w:after="0" w:line="178" w:lineRule="exact"/>
        <w:rPr>
          <w:sz w:val="20"/>
          <w:szCs w:val="20"/>
          <w:color w:val="auto"/>
        </w:rPr>
      </w:pPr>
    </w:p>
    <w:p>
      <w:pPr>
        <w:ind w:right="40" w:firstLine="810"/>
        <w:spacing w:after="0" w:line="289" w:lineRule="auto"/>
        <w:rPr>
          <w:sz w:val="20"/>
          <w:szCs w:val="20"/>
          <w:color w:val="auto"/>
        </w:rPr>
      </w:pPr>
      <w:r>
        <w:rPr>
          <w:rFonts w:ascii="Arial" w:cs="Arial" w:eastAsia="Arial" w:hAnsi="Arial"/>
          <w:sz w:val="16"/>
          <w:szCs w:val="16"/>
          <w:color w:val="auto"/>
        </w:rPr>
        <w:t>We anticipate that our sales and operating results will continue to be adversely impacted and subject to unpredictable variability for the duration of the pandemic. For example, during the early stages of the pandemic, we experienced delays in certain programs of up to six months from when they were originally planned, such as human factors studies associated with our product development efforts. More recently, recruiting and hiring new employees has proven more difficult due to generalized labor shortages. There is substantial competition for talent in the markets in which we operate as the economy is entering a recovery phase and businesses increase hiring in general. In addition, regulatory timelines have been and may continue to be difficult to predict as the FDA has stated that its review process may take longer than normal due to the impact of the COVID-19 global pandemic, and we have experienced delays in the review of pending submissions. The full extent of the impact of the COVID-19 global pandemic on our future business and operations is difficult to estimate and will depend on a number of factors including the scope and duration of the COVID-19 global pandemic, and the relative impact of COVID-19 on the business operations of our contract manufacturers, suppliers and competitors.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firstLine="810"/>
        <w:spacing w:after="0" w:line="284" w:lineRule="auto"/>
        <w:rPr>
          <w:sz w:val="20"/>
          <w:szCs w:val="20"/>
          <w:color w:val="auto"/>
        </w:rPr>
      </w:pPr>
      <w:r>
        <w:rPr>
          <w:rFonts w:ascii="Arial" w:cs="Arial" w:eastAsia="Arial" w:hAnsi="Arial"/>
          <w:sz w:val="16"/>
          <w:szCs w:val="16"/>
          <w:color w:val="auto"/>
        </w:rPr>
        <w:t>We have taken steps to prioritize the health and safety of our employees and customers during the COVID-19 global pandemic, while working to maintain a continuous supply of products, training and customer support. To that end, we have increased the frequency of our communications to employees, suppliers, customers, and healthcare providers. Until recently, we restricted nearly all non-essential employee travel and banned non-essential visitors from all of our facilities. We have recently modified those restrictions to allow for some limited employee travel and visitors to our facilities with controls. For example at our facilities in San Diego, California, those employees who are able to perform their job functions outside of our facilities continue to work in a remote environment, while employees at our facility in Boise, Idaho began a gradual return to the office during the second quarter. For our field-based sales and clinical employees, we initially discontinued all in-person activities and began utilizing technology to remotely engage healthcare providers and customers. We continue to work closely with our healthcare providers and customers, remaining flexible in our method of interaction, but during the second quarter of 2021 we began seeing an increase in the amount of in-person interactions among our field-based staff. To help ensure the safety and health of our employees in manufacturing and warehousing positions involved in production and fulfillment operations, we have implemented preventative measures to comply with social distancing requirements and require temperature checks of our employees before each shift. In response to developments surrounding the COVID-19 global pandemic, we initiated discussions with our key suppliers in early 2020 regarding their abilities to fulfill existing orders, and we have continued to regularly assess their capacity. During the first six months of 2020, we experienced certain challenges managing our inventory, primarily due to the impacts of the COVID-19 global pandemic. For example, in the first quarter of 2020, we observed customers purchasing cartridges and infusion sets at a higher rate than anticipated; however, we have not observed similar patterns in more recent periods. Nevertheless, our infusion set manufacturer continues to experience certain inventory constraints which have resulted in us asking some customers to accept substitutions of similar products to prevent delays in order fulfillment. At this time, we believe many of our suppliers are deemed essential businesses under applicable governmental orders, and we have not experienced, and do not anticipate experiencing, disruption in our ability to manufacture insulin pumps and cartridges due to component procurement limitations in general. However, we are closely monitoring global shortages for semiconductors and copper, which are essential for the production of our insulin pumps and accessories. Our finished goods and raw material inventory, as well as available manufacturing capacity, position us well to respond to unforeseen disruptions in the near term but we could experience greater challenges with our supply chain if pump demand meaningfully exceeds our current forecasts.</w:t>
      </w:r>
    </w:p>
    <w:p>
      <w:pPr>
        <w:spacing w:after="0" w:line="396"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Commercially, we have been communicating with our customers and healthcare providers through social media, direct email outreach and our website, in addition to regular communications sent by our sales and clinical employees. We are also leveraging our technology platforms, such as our t:connect diabetes management application, to support healthcare providers utilizing telehealth capabilities in their practices. By the end of the first quarter of 2020, we expanded our remote new pump training offering to all customers who purchased a t:slim X2 insulin pump, and in the third quarter of 2020, we resumed offering in-person trainings under specific conditions. During the second quarter of 2021 we began seeing an increase in the amount of in-person interactions among our field-based staff with customers and healthcare providers in the United States. During the same period, we also began observing more pronounced rates of travel and vacations by both customers and healthcare providers in the United States, coinciding with the increase in vaccination trends and relaxation of COVID-19 related restrictions on travel and social-distancing. Historically we have seen similar summer vacation seasonality in Europe, but it is possible that we could also experience a more significant summer seasonality in the United States during 2021 due to the lifting of COVID-19 related restrictions.</w:t>
      </w:r>
    </w:p>
    <w:p>
      <w:pPr>
        <w:spacing w:after="0" w:line="185" w:lineRule="exact"/>
        <w:rPr>
          <w:sz w:val="20"/>
          <w:szCs w:val="20"/>
          <w:color w:val="auto"/>
        </w:rPr>
      </w:pPr>
    </w:p>
    <w:p>
      <w:pPr>
        <w:ind w:right="40" w:firstLine="810"/>
        <w:spacing w:after="0" w:line="273" w:lineRule="auto"/>
        <w:rPr>
          <w:sz w:val="20"/>
          <w:szCs w:val="20"/>
          <w:color w:val="auto"/>
        </w:rPr>
      </w:pPr>
      <w:r>
        <w:rPr>
          <w:rFonts w:ascii="Arial" w:cs="Arial" w:eastAsia="Arial" w:hAnsi="Arial"/>
          <w:sz w:val="17"/>
          <w:szCs w:val="17"/>
          <w:color w:val="auto"/>
        </w:rPr>
        <w:t>We are prudently managing our use of cash and completed a convertible debt financing in May 2020 to further strengthen our balance sheet. We believe that our total cash and investments on hand are sufficient to sustain our existing operations for at least the next 12 months from the date of this filing. In the meantime, we are focused on making necessary investments in the organization as originally planned to continue to progress against our long-term sales and profitability initiatives, including through the recruitment of key employees, advancement of our research and development pipeline, and implementation of technology solutions. We will continue to evaluate our business operations and strategy based on new information as it becomes available and will make changes that we consider necessary in light of this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Under Development</w:t>
      </w:r>
    </w:p>
    <w:p>
      <w:pPr>
        <w:spacing w:after="0" w:line="225"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color w:val="auto"/>
        </w:rPr>
        <w:t>Our products under development support our strategy of focusing on both consumer and clinical needs, and include a connected (mobile) health offering, a next-generation hardware platform, which we refer to as the t:sport Insulin Delivery System (t:sport), AID system enhancements, and additional CGM integrations with our current and future products. We intend to leverage our consumer-focused approach and proprietary technology platform to continue to develop products that have the features and functionality that will allow us to meet the needs of people in differentiated segments of the insulin-dependent diabetes market, including the following:</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00" w:hanging="644"/>
        <w:spacing w:after="0" w:line="269" w:lineRule="auto"/>
        <w:tabs>
          <w:tab w:leader="none" w:pos="129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Connected (Mobile) Health Offerings – </w:t>
      </w:r>
      <w:r>
        <w:rPr>
          <w:rFonts w:ascii="Arial" w:cs="Arial" w:eastAsia="Arial" w:hAnsi="Arial"/>
          <w:sz w:val="17"/>
          <w:szCs w:val="17"/>
          <w:color w:val="auto"/>
        </w:rPr>
        <w:t>In July of 2020, we began offering the first version of our t:connect mobile application that</w:t>
      </w:r>
      <w:r>
        <w:rPr>
          <w:rFonts w:ascii="Arial" w:cs="Arial" w:eastAsia="Arial" w:hAnsi="Arial"/>
          <w:sz w:val="17"/>
          <w:szCs w:val="17"/>
          <w:i w:val="1"/>
          <w:iCs w:val="1"/>
          <w:color w:val="auto"/>
        </w:rPr>
        <w:t xml:space="preserve"> </w:t>
      </w:r>
      <w:r>
        <w:rPr>
          <w:rFonts w:ascii="Arial" w:cs="Arial" w:eastAsia="Arial" w:hAnsi="Arial"/>
          <w:sz w:val="17"/>
          <w:szCs w:val="17"/>
          <w:color w:val="auto"/>
        </w:rPr>
        <w:t>wirelessly uploads pump data to our cloud-based t:connect diabetes management application, receives notification of pump alerts and alarms, and provides a discrete, secondary display of glucose and insulin data. Future updates of our mobile application are planned to include mobile bolus delivery, additional pump control features, integrate other health-related information from third-party sources and support future capabilities for our products under development. We plan to transition our mobile health offerings to a single, global digital platform, which is intended to provide all users, including pump users, caregivers and healthcare providers, with a simplified and tailored user experience. The platform is being designed to enhance the user experience, streamline the pump and supplies purchasing process, and provide internal efficiencies. In the future, data from our centralized system may be used for new product development, continuous product improvement, and for the generation of health economic outcomes data, and may ultimately support other advanced technology and patient monitoring services.</w:t>
      </w:r>
    </w:p>
    <w:p>
      <w:pPr>
        <w:spacing w:after="0" w:line="185" w:lineRule="exact"/>
        <w:rPr>
          <w:rFonts w:ascii="Arial" w:cs="Arial" w:eastAsia="Arial" w:hAnsi="Arial"/>
          <w:sz w:val="17"/>
          <w:szCs w:val="17"/>
          <w:color w:val="auto"/>
        </w:rPr>
      </w:pPr>
    </w:p>
    <w:p>
      <w:pPr>
        <w:ind w:left="1300" w:right="140" w:hanging="644"/>
        <w:spacing w:after="0" w:line="273" w:lineRule="auto"/>
        <w:tabs>
          <w:tab w:leader="none" w:pos="1295"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t:sport Insulin Delivery System – </w:t>
      </w:r>
      <w:r>
        <w:rPr>
          <w:rFonts w:ascii="Arial" w:cs="Arial" w:eastAsia="Arial" w:hAnsi="Arial"/>
          <w:sz w:val="17"/>
          <w:szCs w:val="17"/>
          <w:color w:val="auto"/>
        </w:rPr>
        <w:t>Approximately half the size of our t:slim X2 pump, the t:sport pump is being designed for people who</w:t>
      </w:r>
      <w:r>
        <w:rPr>
          <w:rFonts w:ascii="Arial" w:cs="Arial" w:eastAsia="Arial" w:hAnsi="Arial"/>
          <w:sz w:val="17"/>
          <w:szCs w:val="17"/>
          <w:i w:val="1"/>
          <w:iCs w:val="1"/>
          <w:color w:val="auto"/>
        </w:rPr>
        <w:t xml:space="preserve"> </w:t>
      </w:r>
      <w:r>
        <w:rPr>
          <w:rFonts w:ascii="Arial" w:cs="Arial" w:eastAsia="Arial" w:hAnsi="Arial"/>
          <w:sz w:val="17"/>
          <w:szCs w:val="17"/>
          <w:color w:val="auto"/>
        </w:rPr>
        <w:t>seek even greater discretion and flexibility with the use of their insulin pump. We anticipate that t:sport will feature a 200-unit cartridge, an on-pump bolus button, a rechargeable battery, an AID algorithm, and a Bluetooth radio. t:sport is being designed for use with leading U-100 insulins, and we are evaluating the use of insulin concentrates to provide to people with greater insulin needs. We anticipate that t:sport will be our first insulin pump to support full pump-control from our mobile application, subject to FDA review and approval. A separate controller may be offered in addition to full mobile control availability.</w:t>
      </w:r>
    </w:p>
    <w:p>
      <w:pPr>
        <w:spacing w:after="0" w:line="177" w:lineRule="exact"/>
        <w:rPr>
          <w:rFonts w:ascii="Arial" w:cs="Arial" w:eastAsia="Arial" w:hAnsi="Arial"/>
          <w:sz w:val="17"/>
          <w:szCs w:val="17"/>
          <w:i w:val="1"/>
          <w:iCs w:val="1"/>
          <w:color w:val="auto"/>
        </w:rPr>
      </w:pPr>
    </w:p>
    <w:p>
      <w:pPr>
        <w:ind w:left="1300" w:right="60" w:hanging="644"/>
        <w:spacing w:after="0" w:line="311" w:lineRule="auto"/>
        <w:tabs>
          <w:tab w:leader="none" w:pos="1295"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AID Enhancements – </w:t>
      </w:r>
      <w:r>
        <w:rPr>
          <w:rFonts w:ascii="Arial" w:cs="Arial" w:eastAsia="Arial" w:hAnsi="Arial"/>
          <w:sz w:val="16"/>
          <w:szCs w:val="16"/>
          <w:color w:val="auto"/>
        </w:rPr>
        <w:t>We intend to further enhance our automated insulin delivery system and are considering alternative strategies to</w:t>
      </w:r>
      <w:r>
        <w:rPr>
          <w:rFonts w:ascii="Arial" w:cs="Arial" w:eastAsia="Arial" w:hAnsi="Arial"/>
          <w:sz w:val="16"/>
          <w:szCs w:val="16"/>
          <w:i w:val="1"/>
          <w:iCs w:val="1"/>
          <w:color w:val="auto"/>
        </w:rPr>
        <w:t xml:space="preserve"> </w:t>
      </w:r>
      <w:r>
        <w:rPr>
          <w:rFonts w:ascii="Arial" w:cs="Arial" w:eastAsia="Arial" w:hAnsi="Arial"/>
          <w:sz w:val="16"/>
          <w:szCs w:val="16"/>
          <w:color w:val="auto"/>
        </w:rPr>
        <w:t>deliver new features and benefits to our customers on a regular basis. In addition to algorithm enhancements intended to improve clinical outcomes, we are also developing new features for greater personalization and refinements to the overall system usability.</w:t>
      </w:r>
    </w:p>
    <w:p>
      <w:pPr>
        <w:spacing w:after="0" w:line="148" w:lineRule="exact"/>
        <w:rPr>
          <w:rFonts w:ascii="Arial" w:cs="Arial" w:eastAsia="Arial" w:hAnsi="Arial"/>
          <w:sz w:val="16"/>
          <w:szCs w:val="16"/>
          <w:i w:val="1"/>
          <w:iCs w:val="1"/>
          <w:color w:val="auto"/>
        </w:rPr>
      </w:pPr>
    </w:p>
    <w:p>
      <w:pPr>
        <w:ind w:left="1300" w:right="40" w:hanging="644"/>
        <w:spacing w:after="0" w:line="291" w:lineRule="auto"/>
        <w:tabs>
          <w:tab w:leader="none" w:pos="129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Additional CGM Integration – </w:t>
      </w:r>
      <w:r>
        <w:rPr>
          <w:rFonts w:ascii="Arial" w:cs="Arial" w:eastAsia="Arial" w:hAnsi="Arial"/>
          <w:sz w:val="16"/>
          <w:szCs w:val="16"/>
          <w:color w:val="auto"/>
        </w:rPr>
        <w:t>In June 2020 we announced an agreement with Abbott to develop and commercialize integrated diabetes</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that combine Abbott’s CGM technology with our insulin delivery systems to provide more options for people to manage their diabetes. Following the completion of our integrated product development work, and after obtaining required regulatory clearances or approvals, we intend to focus our initial commercial activities on integrated products in the U.S. and Canada, with additional geographies considered in the future. In November 2020, we entered into an agreement with Dexcom to extend our current collaboration to include integration with Dexcom’s future G7 CGM technology. Following integrated product development work, and required regulatory clearances or approvals, this will be the fourth generation of Dexcom CGM that we intend to integrate with our devices.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Pump Shipments</w:t>
      </w:r>
    </w:p>
    <w:p>
      <w:pPr>
        <w:spacing w:after="0" w:line="225" w:lineRule="exact"/>
        <w:rPr>
          <w:sz w:val="20"/>
          <w:szCs w:val="20"/>
          <w:color w:val="auto"/>
        </w:rPr>
      </w:pPr>
    </w:p>
    <w:p>
      <w:pPr>
        <w:ind w:right="160" w:firstLine="810"/>
        <w:spacing w:after="0" w:line="311" w:lineRule="auto"/>
        <w:rPr>
          <w:sz w:val="20"/>
          <w:szCs w:val="20"/>
          <w:color w:val="auto"/>
        </w:rPr>
      </w:pPr>
      <w:r>
        <w:rPr>
          <w:rFonts w:ascii="Arial" w:cs="Arial" w:eastAsia="Arial" w:hAnsi="Arial"/>
          <w:sz w:val="16"/>
          <w:szCs w:val="16"/>
          <w:color w:val="auto"/>
        </w:rPr>
        <w:t>From inception through June 2018, we derived nearly all of our sales from the shipment of insulin pumps and associated supplies to customers in the United States. Starting in the third quarter of 2018, we commenced sales of our t:slim X2 insulin pump in select international geographies. We consider the number of insulin pump units shipped per quarter domestically and internationally to be an important metric for managing our business.</w:t>
      </w:r>
    </w:p>
    <w:p>
      <w:pPr>
        <w:spacing w:after="0" w:line="149" w:lineRule="exact"/>
        <w:rPr>
          <w:sz w:val="20"/>
          <w:szCs w:val="20"/>
          <w:color w:val="auto"/>
        </w:rPr>
      </w:pPr>
    </w:p>
    <w:p>
      <w:pPr>
        <w:ind w:right="160" w:firstLine="810"/>
        <w:spacing w:after="0" w:line="277" w:lineRule="auto"/>
        <w:rPr>
          <w:sz w:val="20"/>
          <w:szCs w:val="20"/>
          <w:color w:val="auto"/>
        </w:rPr>
      </w:pPr>
      <w:r>
        <w:rPr>
          <w:rFonts w:ascii="Arial" w:cs="Arial" w:eastAsia="Arial" w:hAnsi="Arial"/>
          <w:sz w:val="18"/>
          <w:szCs w:val="18"/>
          <w:color w:val="auto"/>
        </w:rPr>
        <w:t>In the four-year period ended June 30, 2021, we shipped approximately 269,000 insulin pumps, of which approximately 203,000 were shipped to customers in the United States and approximately 66,000 were shipped to international markets.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Pump shipments to customers in the United States by fiscal quarter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6640" w:type="dxa"/>
            <w:vAlign w:val="bottom"/>
            <w:tcBorders>
              <w:bottom w:val="single" w:sz="8" w:color="auto"/>
            </w:tcBorders>
            <w:gridSpan w:val="9"/>
          </w:tcPr>
          <w:p>
            <w:pPr>
              <w:jc w:val="center"/>
              <w:ind w:left="973"/>
              <w:spacing w:after="0"/>
              <w:rPr>
                <w:sz w:val="20"/>
                <w:szCs w:val="20"/>
                <w:color w:val="auto"/>
              </w:rPr>
            </w:pPr>
            <w:r>
              <w:rPr>
                <w:rFonts w:ascii="Arial" w:cs="Arial" w:eastAsia="Arial" w:hAnsi="Arial"/>
                <w:sz w:val="14"/>
                <w:szCs w:val="14"/>
                <w:b w:val="1"/>
                <w:bCs w:val="1"/>
                <w:color w:val="auto"/>
                <w:w w:val="92"/>
              </w:rPr>
              <w:t>Pump Units Shipped for Each of the Three Months Ended in Respective Years - U.S.</w:t>
            </w:r>
          </w:p>
        </w:tc>
        <w:tc>
          <w:tcPr>
            <w:tcW w:w="1080" w:type="dxa"/>
            <w:vAlign w:val="bottom"/>
            <w:tcBorders>
              <w:bottom w:val="single" w:sz="8" w:color="auto"/>
            </w:tcBorders>
          </w:tcPr>
          <w:p>
            <w:pPr>
              <w:spacing w:after="0"/>
              <w:rPr>
                <w:sz w:val="16"/>
                <w:szCs w:val="16"/>
                <w:color w:val="auto"/>
              </w:rPr>
            </w:pPr>
          </w:p>
        </w:tc>
      </w:tr>
      <w:tr>
        <w:trPr>
          <w:trHeight w:val="187"/>
        </w:trPr>
        <w:tc>
          <w:tcPr>
            <w:tcW w:w="3460" w:type="dxa"/>
            <w:vAlign w:val="bottom"/>
          </w:tcPr>
          <w:p>
            <w:pPr>
              <w:spacing w:after="0"/>
              <w:rPr>
                <w:sz w:val="16"/>
                <w:szCs w:val="16"/>
                <w:color w:val="auto"/>
              </w:rPr>
            </w:pPr>
          </w:p>
        </w:tc>
        <w:tc>
          <w:tcPr>
            <w:tcW w:w="1560" w:type="dxa"/>
            <w:vAlign w:val="bottom"/>
            <w:gridSpan w:val="2"/>
          </w:tcPr>
          <w:p>
            <w:pPr>
              <w:ind w:left="420"/>
              <w:spacing w:after="0"/>
              <w:rPr>
                <w:sz w:val="20"/>
                <w:szCs w:val="20"/>
                <w:color w:val="auto"/>
              </w:rPr>
            </w:pPr>
            <w:r>
              <w:rPr>
                <w:rFonts w:ascii="Arial" w:cs="Arial" w:eastAsia="Arial" w:hAnsi="Arial"/>
                <w:sz w:val="14"/>
                <w:szCs w:val="14"/>
                <w:b w:val="1"/>
                <w:bCs w:val="1"/>
                <w:color w:val="auto"/>
              </w:rPr>
              <w:t>March 31</w:t>
            </w:r>
          </w:p>
        </w:tc>
        <w:tc>
          <w:tcPr>
            <w:tcW w:w="1560" w:type="dxa"/>
            <w:vAlign w:val="bottom"/>
            <w:gridSpan w:val="2"/>
          </w:tcPr>
          <w:p>
            <w:pPr>
              <w:ind w:left="480"/>
              <w:spacing w:after="0"/>
              <w:rPr>
                <w:sz w:val="20"/>
                <w:szCs w:val="20"/>
                <w:color w:val="auto"/>
              </w:rPr>
            </w:pPr>
            <w:r>
              <w:rPr>
                <w:rFonts w:ascii="Arial" w:cs="Arial" w:eastAsia="Arial" w:hAnsi="Arial"/>
                <w:sz w:val="14"/>
                <w:szCs w:val="14"/>
                <w:b w:val="1"/>
                <w:bCs w:val="1"/>
                <w:color w:val="auto"/>
              </w:rPr>
              <w:t>June 30</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960" w:type="dxa"/>
            <w:vAlign w:val="bottom"/>
            <w:gridSpan w:val="3"/>
          </w:tcPr>
          <w:p>
            <w:pPr>
              <w:ind w:left="34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24"/>
        </w:trPr>
        <w:tc>
          <w:tcPr>
            <w:tcW w:w="3460" w:type="dxa"/>
            <w:vAlign w:val="bottom"/>
            <w:tcBorders>
              <w:top w:val="single" w:sz="8" w:color="CFF0FC"/>
            </w:tcBorders>
            <w:shd w:val="clear" w:color="auto" w:fill="CFF0FC"/>
          </w:tcPr>
          <w:p>
            <w:pPr>
              <w:jc w:val="right"/>
              <w:ind w:right="2990"/>
              <w:spacing w:after="0"/>
              <w:rPr>
                <w:sz w:val="20"/>
                <w:szCs w:val="20"/>
                <w:color w:val="auto"/>
              </w:rPr>
            </w:pPr>
            <w:r>
              <w:rPr>
                <w:rFonts w:ascii="Arial" w:cs="Arial" w:eastAsia="Arial" w:hAnsi="Arial"/>
                <w:sz w:val="18"/>
                <w:szCs w:val="18"/>
                <w:color w:val="auto"/>
                <w:w w:val="89"/>
              </w:rPr>
              <w:t>2012</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r>
      <w:tr>
        <w:trPr>
          <w:trHeight w:val="229"/>
        </w:trPr>
        <w:tc>
          <w:tcPr>
            <w:tcW w:w="3460" w:type="dxa"/>
            <w:vAlign w:val="bottom"/>
          </w:tcPr>
          <w:p>
            <w:pPr>
              <w:jc w:val="right"/>
              <w:ind w:right="2990"/>
              <w:spacing w:after="0"/>
              <w:rPr>
                <w:sz w:val="20"/>
                <w:szCs w:val="20"/>
                <w:color w:val="auto"/>
              </w:rPr>
            </w:pPr>
            <w:r>
              <w:rPr>
                <w:rFonts w:ascii="Arial" w:cs="Arial" w:eastAsia="Arial" w:hAnsi="Arial"/>
                <w:sz w:val="18"/>
                <w:szCs w:val="18"/>
                <w:color w:val="auto"/>
                <w:w w:val="89"/>
              </w:rPr>
              <w:t>2013</w:t>
            </w:r>
          </w:p>
        </w:tc>
        <w:tc>
          <w:tcPr>
            <w:tcW w:w="144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6,472</w:t>
            </w:r>
          </w:p>
        </w:tc>
      </w:tr>
      <w:tr>
        <w:trPr>
          <w:trHeight w:val="230"/>
        </w:trPr>
        <w:tc>
          <w:tcPr>
            <w:tcW w:w="3460" w:type="dxa"/>
            <w:vAlign w:val="bottom"/>
            <w:shd w:val="clear" w:color="auto" w:fill="CFF0FC"/>
          </w:tcPr>
          <w:p>
            <w:pPr>
              <w:jc w:val="right"/>
              <w:ind w:right="2990"/>
              <w:spacing w:after="0"/>
              <w:rPr>
                <w:sz w:val="20"/>
                <w:szCs w:val="20"/>
                <w:color w:val="auto"/>
              </w:rPr>
            </w:pPr>
            <w:r>
              <w:rPr>
                <w:rFonts w:ascii="Arial" w:cs="Arial" w:eastAsia="Arial" w:hAnsi="Arial"/>
                <w:sz w:val="18"/>
                <w:szCs w:val="18"/>
                <w:color w:val="auto"/>
                <w:w w:val="89"/>
              </w:rPr>
              <w:t>2014</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w:t>
            </w:r>
          </w:p>
        </w:tc>
      </w:tr>
      <w:tr>
        <w:trPr>
          <w:trHeight w:val="229"/>
        </w:trPr>
        <w:tc>
          <w:tcPr>
            <w:tcW w:w="3460" w:type="dxa"/>
            <w:vAlign w:val="bottom"/>
          </w:tcPr>
          <w:p>
            <w:pPr>
              <w:jc w:val="right"/>
              <w:ind w:right="2990"/>
              <w:spacing w:after="0"/>
              <w:rPr>
                <w:sz w:val="20"/>
                <w:szCs w:val="20"/>
                <w:color w:val="auto"/>
              </w:rPr>
            </w:pPr>
            <w:r>
              <w:rPr>
                <w:rFonts w:ascii="Arial" w:cs="Arial" w:eastAsia="Arial" w:hAnsi="Arial"/>
                <w:sz w:val="18"/>
                <w:szCs w:val="18"/>
                <w:color w:val="auto"/>
                <w:w w:val="89"/>
              </w:rPr>
              <w:t>2015</w:t>
            </w:r>
          </w:p>
        </w:tc>
        <w:tc>
          <w:tcPr>
            <w:tcW w:w="1440" w:type="dxa"/>
            <w:vAlign w:val="bottom"/>
          </w:tcPr>
          <w:p>
            <w:pPr>
              <w:jc w:val="right"/>
              <w:spacing w:after="0"/>
              <w:rPr>
                <w:sz w:val="20"/>
                <w:szCs w:val="20"/>
                <w:color w:val="auto"/>
              </w:rPr>
            </w:pPr>
            <w:r>
              <w:rPr>
                <w:rFonts w:ascii="Arial" w:cs="Arial" w:eastAsia="Arial" w:hAnsi="Arial"/>
                <w:sz w:val="18"/>
                <w:szCs w:val="18"/>
                <w:color w:val="auto"/>
              </w:rPr>
              <w:t>2,487</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3,331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15,483</w:t>
            </w:r>
          </w:p>
        </w:tc>
      </w:tr>
      <w:tr>
        <w:trPr>
          <w:trHeight w:val="230"/>
        </w:trPr>
        <w:tc>
          <w:tcPr>
            <w:tcW w:w="3460" w:type="dxa"/>
            <w:vAlign w:val="bottom"/>
            <w:shd w:val="clear" w:color="auto" w:fill="CFF0FC"/>
          </w:tcPr>
          <w:p>
            <w:pPr>
              <w:jc w:val="right"/>
              <w:ind w:right="2990"/>
              <w:spacing w:after="0"/>
              <w:rPr>
                <w:sz w:val="20"/>
                <w:szCs w:val="20"/>
                <w:color w:val="auto"/>
              </w:rPr>
            </w:pPr>
            <w:r>
              <w:rPr>
                <w:rFonts w:ascii="Arial" w:cs="Arial" w:eastAsia="Arial" w:hAnsi="Arial"/>
                <w:sz w:val="18"/>
                <w:szCs w:val="18"/>
                <w:color w:val="auto"/>
                <w:w w:val="89"/>
              </w:rPr>
              <w:t>2016</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4,042</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4,582</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3,896</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4,418</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16,938</w:t>
            </w:r>
          </w:p>
        </w:tc>
      </w:tr>
      <w:tr>
        <w:trPr>
          <w:trHeight w:val="229"/>
        </w:trPr>
        <w:tc>
          <w:tcPr>
            <w:tcW w:w="3460" w:type="dxa"/>
            <w:vAlign w:val="bottom"/>
          </w:tcPr>
          <w:p>
            <w:pPr>
              <w:jc w:val="right"/>
              <w:ind w:right="2990"/>
              <w:spacing w:after="0"/>
              <w:rPr>
                <w:sz w:val="20"/>
                <w:szCs w:val="20"/>
                <w:color w:val="auto"/>
              </w:rPr>
            </w:pPr>
            <w:r>
              <w:rPr>
                <w:rFonts w:ascii="Arial" w:cs="Arial" w:eastAsia="Arial" w:hAnsi="Arial"/>
                <w:sz w:val="18"/>
                <w:szCs w:val="18"/>
                <w:color w:val="auto"/>
                <w:w w:val="89"/>
              </w:rPr>
              <w:t>2017</w:t>
            </w:r>
          </w:p>
        </w:tc>
        <w:tc>
          <w:tcPr>
            <w:tcW w:w="1440" w:type="dxa"/>
            <w:vAlign w:val="bottom"/>
          </w:tcPr>
          <w:p>
            <w:pPr>
              <w:jc w:val="right"/>
              <w:spacing w:after="0"/>
              <w:rPr>
                <w:sz w:val="20"/>
                <w:szCs w:val="20"/>
                <w:color w:val="auto"/>
              </w:rPr>
            </w:pPr>
            <w:r>
              <w:rPr>
                <w:rFonts w:ascii="Arial" w:cs="Arial" w:eastAsia="Arial" w:hAnsi="Arial"/>
                <w:sz w:val="18"/>
                <w:szCs w:val="18"/>
                <w:color w:val="auto"/>
              </w:rPr>
              <w:t>2,816</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17,061</w:t>
            </w:r>
          </w:p>
        </w:tc>
      </w:tr>
      <w:tr>
        <w:trPr>
          <w:trHeight w:val="229"/>
        </w:trPr>
        <w:tc>
          <w:tcPr>
            <w:tcW w:w="3460" w:type="dxa"/>
            <w:vAlign w:val="bottom"/>
            <w:shd w:val="clear" w:color="auto" w:fill="CFF0FC"/>
          </w:tcPr>
          <w:p>
            <w:pPr>
              <w:jc w:val="right"/>
              <w:ind w:right="2990"/>
              <w:spacing w:after="0"/>
              <w:rPr>
                <w:sz w:val="20"/>
                <w:szCs w:val="20"/>
                <w:color w:val="auto"/>
              </w:rPr>
            </w:pPr>
            <w:r>
              <w:rPr>
                <w:rFonts w:ascii="Arial" w:cs="Arial" w:eastAsia="Arial" w:hAnsi="Arial"/>
                <w:sz w:val="18"/>
                <w:szCs w:val="18"/>
                <w:color w:val="auto"/>
                <w:w w:val="89"/>
              </w:rPr>
              <w:t>2018</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4,444</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5,447</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7,379</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12,935</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30,205</w:t>
            </w:r>
          </w:p>
        </w:tc>
      </w:tr>
      <w:tr>
        <w:trPr>
          <w:trHeight w:val="230"/>
        </w:trPr>
        <w:tc>
          <w:tcPr>
            <w:tcW w:w="3460" w:type="dxa"/>
            <w:vAlign w:val="bottom"/>
          </w:tcPr>
          <w:p>
            <w:pPr>
              <w:jc w:val="right"/>
              <w:ind w:right="2990"/>
              <w:spacing w:after="0"/>
              <w:rPr>
                <w:sz w:val="20"/>
                <w:szCs w:val="20"/>
                <w:color w:val="auto"/>
              </w:rPr>
            </w:pPr>
            <w:r>
              <w:rPr>
                <w:rFonts w:ascii="Arial" w:cs="Arial" w:eastAsia="Arial" w:hAnsi="Arial"/>
                <w:sz w:val="18"/>
                <w:szCs w:val="18"/>
                <w:color w:val="auto"/>
                <w:w w:val="89"/>
              </w:rPr>
              <w:t>2019</w:t>
            </w:r>
          </w:p>
        </w:tc>
        <w:tc>
          <w:tcPr>
            <w:tcW w:w="1440" w:type="dxa"/>
            <w:vAlign w:val="bottom"/>
          </w:tcPr>
          <w:p>
            <w:pPr>
              <w:jc w:val="right"/>
              <w:spacing w:after="0"/>
              <w:rPr>
                <w:sz w:val="20"/>
                <w:szCs w:val="20"/>
                <w:color w:val="auto"/>
              </w:rPr>
            </w:pPr>
            <w:r>
              <w:rPr>
                <w:rFonts w:ascii="Arial" w:cs="Arial" w:eastAsia="Arial" w:hAnsi="Arial"/>
                <w:sz w:val="18"/>
                <w:szCs w:val="18"/>
                <w:color w:val="auto"/>
              </w:rPr>
              <w:t>9,669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12,799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13,814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17,453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53,735</w:t>
            </w:r>
          </w:p>
        </w:tc>
      </w:tr>
      <w:tr>
        <w:trPr>
          <w:trHeight w:val="229"/>
        </w:trPr>
        <w:tc>
          <w:tcPr>
            <w:tcW w:w="3460" w:type="dxa"/>
            <w:vAlign w:val="bottom"/>
            <w:shd w:val="clear" w:color="auto" w:fill="CFF0FC"/>
          </w:tcPr>
          <w:p>
            <w:pPr>
              <w:jc w:val="right"/>
              <w:ind w:right="2990"/>
              <w:spacing w:after="0"/>
              <w:rPr>
                <w:sz w:val="20"/>
                <w:szCs w:val="20"/>
                <w:color w:val="auto"/>
              </w:rPr>
            </w:pPr>
            <w:r>
              <w:rPr>
                <w:rFonts w:ascii="Arial" w:cs="Arial" w:eastAsia="Arial" w:hAnsi="Arial"/>
                <w:sz w:val="18"/>
                <w:szCs w:val="18"/>
                <w:color w:val="auto"/>
                <w:w w:val="89"/>
              </w:rPr>
              <w:t>2020</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13,158</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14,735</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18,380</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24,552</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70,825</w:t>
            </w:r>
          </w:p>
        </w:tc>
      </w:tr>
      <w:tr>
        <w:trPr>
          <w:trHeight w:val="230"/>
        </w:trPr>
        <w:tc>
          <w:tcPr>
            <w:tcW w:w="3460" w:type="dxa"/>
            <w:vAlign w:val="bottom"/>
          </w:tcPr>
          <w:p>
            <w:pPr>
              <w:jc w:val="right"/>
              <w:ind w:right="2990"/>
              <w:spacing w:after="0"/>
              <w:rPr>
                <w:sz w:val="20"/>
                <w:szCs w:val="20"/>
                <w:color w:val="auto"/>
              </w:rPr>
            </w:pPr>
            <w:r>
              <w:rPr>
                <w:rFonts w:ascii="Arial" w:cs="Arial" w:eastAsia="Arial" w:hAnsi="Arial"/>
                <w:sz w:val="18"/>
                <w:szCs w:val="18"/>
                <w:color w:val="auto"/>
                <w:w w:val="89"/>
              </w:rPr>
              <w:t>2021</w:t>
            </w:r>
          </w:p>
        </w:tc>
        <w:tc>
          <w:tcPr>
            <w:tcW w:w="1440" w:type="dxa"/>
            <w:vAlign w:val="bottom"/>
          </w:tcPr>
          <w:p>
            <w:pPr>
              <w:jc w:val="right"/>
              <w:spacing w:after="0"/>
              <w:rPr>
                <w:sz w:val="20"/>
                <w:szCs w:val="20"/>
                <w:color w:val="auto"/>
              </w:rPr>
            </w:pPr>
            <w:r>
              <w:rPr>
                <w:rFonts w:ascii="Arial" w:cs="Arial" w:eastAsia="Arial" w:hAnsi="Arial"/>
                <w:sz w:val="18"/>
                <w:szCs w:val="18"/>
                <w:color w:val="auto"/>
              </w:rPr>
              <w:t>16,644</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20,665</w:t>
            </w:r>
          </w:p>
        </w:tc>
        <w:tc>
          <w:tcPr>
            <w:tcW w:w="100" w:type="dxa"/>
            <w:vAlign w:val="bottom"/>
          </w:tcPr>
          <w:p>
            <w:pPr>
              <w:spacing w:after="0"/>
              <w:rPr>
                <w:sz w:val="20"/>
                <w:szCs w:val="20"/>
                <w:color w:val="auto"/>
              </w:rPr>
            </w:pPr>
          </w:p>
        </w:tc>
        <w:tc>
          <w:tcPr>
            <w:tcW w:w="1560" w:type="dxa"/>
            <w:vAlign w:val="bottom"/>
            <w:gridSpan w:val="2"/>
          </w:tcPr>
          <w:p>
            <w:pPr>
              <w:ind w:left="1140"/>
              <w:spacing w:after="0"/>
              <w:rPr>
                <w:sz w:val="20"/>
                <w:szCs w:val="20"/>
                <w:color w:val="auto"/>
              </w:rPr>
            </w:pPr>
            <w:r>
              <w:rPr>
                <w:rFonts w:ascii="Arial" w:cs="Arial" w:eastAsia="Arial" w:hAnsi="Arial"/>
                <w:sz w:val="18"/>
                <w:szCs w:val="18"/>
                <w:color w:val="auto"/>
              </w:rPr>
              <w:t>N/A</w:t>
            </w:r>
          </w:p>
        </w:tc>
        <w:tc>
          <w:tcPr>
            <w:tcW w:w="1960" w:type="dxa"/>
            <w:vAlign w:val="bottom"/>
            <w:gridSpan w:val="3"/>
          </w:tcPr>
          <w:p>
            <w:pPr>
              <w:ind w:left="1140"/>
              <w:spacing w:after="0"/>
              <w:rPr>
                <w:sz w:val="20"/>
                <w:szCs w:val="20"/>
                <w:color w:val="auto"/>
              </w:rPr>
            </w:pPr>
            <w:r>
              <w:rPr>
                <w:rFonts w:ascii="Arial" w:cs="Arial" w:eastAsia="Arial" w:hAnsi="Arial"/>
                <w:sz w:val="18"/>
                <w:szCs w:val="18"/>
                <w:color w:val="auto"/>
              </w:rPr>
              <w:t>N/A</w:t>
            </w:r>
          </w:p>
        </w:tc>
        <w:tc>
          <w:tcPr>
            <w:tcW w:w="1080" w:type="dxa"/>
            <w:vAlign w:val="bottom"/>
          </w:tcPr>
          <w:p>
            <w:pPr>
              <w:jc w:val="right"/>
              <w:spacing w:after="0"/>
              <w:rPr>
                <w:sz w:val="20"/>
                <w:szCs w:val="20"/>
                <w:color w:val="auto"/>
              </w:rPr>
            </w:pPr>
            <w:r>
              <w:rPr>
                <w:rFonts w:ascii="Arial" w:cs="Arial" w:eastAsia="Arial" w:hAnsi="Arial"/>
                <w:sz w:val="18"/>
                <w:szCs w:val="18"/>
                <w:color w:val="auto"/>
              </w:rPr>
              <w:t>37,309</w:t>
            </w:r>
          </w:p>
        </w:tc>
      </w:tr>
    </w:tbl>
    <w:p>
      <w:pPr>
        <w:spacing w:after="0" w:line="20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Pump shipments to international customers by fiscal quarter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6720" w:type="dxa"/>
            <w:vAlign w:val="bottom"/>
            <w:tcBorders>
              <w:bottom w:val="single" w:sz="8" w:color="auto"/>
            </w:tcBorders>
            <w:gridSpan w:val="9"/>
          </w:tcPr>
          <w:p>
            <w:pPr>
              <w:jc w:val="center"/>
              <w:ind w:left="816"/>
              <w:spacing w:after="0"/>
              <w:rPr>
                <w:sz w:val="20"/>
                <w:szCs w:val="20"/>
                <w:color w:val="auto"/>
              </w:rPr>
            </w:pPr>
            <w:r>
              <w:rPr>
                <w:rFonts w:ascii="Arial" w:cs="Arial" w:eastAsia="Arial" w:hAnsi="Arial"/>
                <w:sz w:val="14"/>
                <w:szCs w:val="14"/>
                <w:b w:val="1"/>
                <w:bCs w:val="1"/>
                <w:color w:val="auto"/>
                <w:w w:val="93"/>
              </w:rPr>
              <w:t>Pump Units Shipped for Each of the Three Months Ended in Respective Years - International</w:t>
            </w:r>
          </w:p>
        </w:tc>
        <w:tc>
          <w:tcPr>
            <w:tcW w:w="900" w:type="dxa"/>
            <w:vAlign w:val="bottom"/>
            <w:tcBorders>
              <w:bottom w:val="single" w:sz="8" w:color="auto"/>
            </w:tcBorders>
          </w:tcPr>
          <w:p>
            <w:pPr>
              <w:spacing w:after="0"/>
              <w:rPr>
                <w:sz w:val="16"/>
                <w:szCs w:val="16"/>
                <w:color w:val="auto"/>
              </w:rPr>
            </w:pPr>
          </w:p>
        </w:tc>
      </w:tr>
      <w:tr>
        <w:trPr>
          <w:trHeight w:val="187"/>
        </w:trPr>
        <w:tc>
          <w:tcPr>
            <w:tcW w:w="3580" w:type="dxa"/>
            <w:vAlign w:val="bottom"/>
          </w:tcPr>
          <w:p>
            <w:pPr>
              <w:spacing w:after="0"/>
              <w:rPr>
                <w:sz w:val="16"/>
                <w:szCs w:val="16"/>
                <w:color w:val="auto"/>
              </w:rPr>
            </w:pPr>
          </w:p>
        </w:tc>
        <w:tc>
          <w:tcPr>
            <w:tcW w:w="1540" w:type="dxa"/>
            <w:vAlign w:val="bottom"/>
            <w:gridSpan w:val="2"/>
          </w:tcPr>
          <w:p>
            <w:pPr>
              <w:ind w:left="420"/>
              <w:spacing w:after="0"/>
              <w:rPr>
                <w:sz w:val="20"/>
                <w:szCs w:val="20"/>
                <w:color w:val="auto"/>
              </w:rPr>
            </w:pPr>
            <w:r>
              <w:rPr>
                <w:rFonts w:ascii="Arial" w:cs="Arial" w:eastAsia="Arial" w:hAnsi="Arial"/>
                <w:sz w:val="14"/>
                <w:szCs w:val="14"/>
                <w:b w:val="1"/>
                <w:bCs w:val="1"/>
                <w:color w:val="auto"/>
              </w:rPr>
              <w:t>March 31</w:t>
            </w:r>
          </w:p>
        </w:tc>
        <w:tc>
          <w:tcPr>
            <w:tcW w:w="1540" w:type="dxa"/>
            <w:vAlign w:val="bottom"/>
            <w:gridSpan w:val="2"/>
          </w:tcPr>
          <w:p>
            <w:pPr>
              <w:ind w:left="480"/>
              <w:spacing w:after="0"/>
              <w:rPr>
                <w:sz w:val="20"/>
                <w:szCs w:val="20"/>
                <w:color w:val="auto"/>
              </w:rPr>
            </w:pPr>
            <w:r>
              <w:rPr>
                <w:rFonts w:ascii="Arial" w:cs="Arial" w:eastAsia="Arial" w:hAnsi="Arial"/>
                <w:sz w:val="14"/>
                <w:szCs w:val="14"/>
                <w:b w:val="1"/>
                <w:bCs w:val="1"/>
                <w:color w:val="auto"/>
              </w:rPr>
              <w:t>June 30</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2080" w:type="dxa"/>
            <w:vAlign w:val="bottom"/>
            <w:gridSpan w:val="3"/>
          </w:tcPr>
          <w:p>
            <w:pPr>
              <w:ind w:left="3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474"/>
              <w:spacing w:after="0"/>
              <w:rPr>
                <w:sz w:val="20"/>
                <w:szCs w:val="20"/>
                <w:color w:val="auto"/>
              </w:rPr>
            </w:pPr>
            <w:r>
              <w:rPr>
                <w:rFonts w:ascii="Arial" w:cs="Arial" w:eastAsia="Arial" w:hAnsi="Arial"/>
                <w:sz w:val="14"/>
                <w:szCs w:val="14"/>
                <w:b w:val="1"/>
                <w:bCs w:val="1"/>
                <w:color w:val="auto"/>
                <w:w w:val="95"/>
              </w:rPr>
              <w:t>Total</w:t>
            </w:r>
          </w:p>
        </w:tc>
      </w:tr>
      <w:tr>
        <w:trPr>
          <w:trHeight w:val="224"/>
        </w:trPr>
        <w:tc>
          <w:tcPr>
            <w:tcW w:w="3580" w:type="dxa"/>
            <w:vAlign w:val="bottom"/>
            <w:tcBorders>
              <w:top w:val="single" w:sz="8" w:color="CFF0FC"/>
            </w:tcBorders>
            <w:shd w:val="clear" w:color="auto" w:fill="CFF0FC"/>
          </w:tcPr>
          <w:p>
            <w:pPr>
              <w:jc w:val="right"/>
              <w:ind w:right="3110"/>
              <w:spacing w:after="0"/>
              <w:rPr>
                <w:sz w:val="20"/>
                <w:szCs w:val="20"/>
                <w:color w:val="auto"/>
              </w:rPr>
            </w:pPr>
            <w:r>
              <w:rPr>
                <w:rFonts w:ascii="Arial" w:cs="Arial" w:eastAsia="Arial" w:hAnsi="Arial"/>
                <w:sz w:val="18"/>
                <w:szCs w:val="18"/>
                <w:color w:val="auto"/>
                <w:w w:val="89"/>
              </w:rPr>
              <w:t>2018</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3,233</w:t>
            </w:r>
          </w:p>
        </w:tc>
        <w:tc>
          <w:tcPr>
            <w:tcW w:w="1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4,288</w:t>
            </w:r>
          </w:p>
        </w:tc>
      </w:tr>
      <w:tr>
        <w:trPr>
          <w:trHeight w:val="229"/>
        </w:trPr>
        <w:tc>
          <w:tcPr>
            <w:tcW w:w="3580" w:type="dxa"/>
            <w:vAlign w:val="bottom"/>
          </w:tcPr>
          <w:p>
            <w:pPr>
              <w:jc w:val="right"/>
              <w:ind w:right="3110"/>
              <w:spacing w:after="0"/>
              <w:rPr>
                <w:sz w:val="20"/>
                <w:szCs w:val="20"/>
                <w:color w:val="auto"/>
              </w:rPr>
            </w:pPr>
            <w:r>
              <w:rPr>
                <w:rFonts w:ascii="Arial" w:cs="Arial" w:eastAsia="Arial" w:hAnsi="Arial"/>
                <w:sz w:val="18"/>
                <w:szCs w:val="18"/>
                <w:color w:val="auto"/>
                <w:w w:val="89"/>
              </w:rPr>
              <w:t>2019</w:t>
            </w:r>
          </w:p>
        </w:tc>
        <w:tc>
          <w:tcPr>
            <w:tcW w:w="1440" w:type="dxa"/>
            <w:vAlign w:val="bottom"/>
          </w:tcPr>
          <w:p>
            <w:pPr>
              <w:jc w:val="right"/>
              <w:spacing w:after="0"/>
              <w:rPr>
                <w:sz w:val="20"/>
                <w:szCs w:val="20"/>
                <w:color w:val="auto"/>
              </w:rPr>
            </w:pPr>
            <w:r>
              <w:rPr>
                <w:rFonts w:ascii="Arial" w:cs="Arial" w:eastAsia="Arial" w:hAnsi="Arial"/>
                <w:sz w:val="18"/>
                <w:szCs w:val="18"/>
                <w:color w:val="auto"/>
              </w:rPr>
              <w:t>5,063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8,459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4,025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19,696</w:t>
            </w:r>
          </w:p>
        </w:tc>
      </w:tr>
      <w:tr>
        <w:trPr>
          <w:trHeight w:val="230"/>
        </w:trPr>
        <w:tc>
          <w:tcPr>
            <w:tcW w:w="3580" w:type="dxa"/>
            <w:vAlign w:val="bottom"/>
            <w:shd w:val="clear" w:color="auto" w:fill="CFF0FC"/>
          </w:tcPr>
          <w:p>
            <w:pPr>
              <w:jc w:val="right"/>
              <w:ind w:right="3110"/>
              <w:spacing w:after="0"/>
              <w:rPr>
                <w:sz w:val="20"/>
                <w:szCs w:val="20"/>
                <w:color w:val="auto"/>
              </w:rPr>
            </w:pPr>
            <w:r>
              <w:rPr>
                <w:rFonts w:ascii="Arial" w:cs="Arial" w:eastAsia="Arial" w:hAnsi="Arial"/>
                <w:sz w:val="18"/>
                <w:szCs w:val="18"/>
                <w:color w:val="auto"/>
                <w:w w:val="89"/>
              </w:rPr>
              <w:t>2020</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4,220</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3,952</w:t>
            </w: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3,641</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8,133</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19,946</w:t>
            </w:r>
          </w:p>
        </w:tc>
      </w:tr>
      <w:tr>
        <w:trPr>
          <w:trHeight w:val="230"/>
        </w:trPr>
        <w:tc>
          <w:tcPr>
            <w:tcW w:w="3580" w:type="dxa"/>
            <w:vAlign w:val="bottom"/>
          </w:tcPr>
          <w:p>
            <w:pPr>
              <w:jc w:val="right"/>
              <w:ind w:right="3110"/>
              <w:spacing w:after="0"/>
              <w:rPr>
                <w:sz w:val="20"/>
                <w:szCs w:val="20"/>
                <w:color w:val="auto"/>
              </w:rPr>
            </w:pPr>
            <w:r>
              <w:rPr>
                <w:rFonts w:ascii="Arial" w:cs="Arial" w:eastAsia="Arial" w:hAnsi="Arial"/>
                <w:sz w:val="18"/>
                <w:szCs w:val="18"/>
                <w:color w:val="auto"/>
                <w:w w:val="89"/>
              </w:rPr>
              <w:t>2021</w:t>
            </w:r>
          </w:p>
        </w:tc>
        <w:tc>
          <w:tcPr>
            <w:tcW w:w="1440" w:type="dxa"/>
            <w:vAlign w:val="bottom"/>
          </w:tcPr>
          <w:p>
            <w:pPr>
              <w:jc w:val="right"/>
              <w:spacing w:after="0"/>
              <w:rPr>
                <w:sz w:val="20"/>
                <w:szCs w:val="20"/>
                <w:color w:val="auto"/>
              </w:rPr>
            </w:pPr>
            <w:r>
              <w:rPr>
                <w:rFonts w:ascii="Arial" w:cs="Arial" w:eastAsia="Arial" w:hAnsi="Arial"/>
                <w:sz w:val="18"/>
                <w:szCs w:val="18"/>
                <w:color w:val="auto"/>
              </w:rPr>
              <w:t>8,708</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13,152</w:t>
            </w:r>
          </w:p>
        </w:tc>
        <w:tc>
          <w:tcPr>
            <w:tcW w:w="10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2080" w:type="dxa"/>
            <w:vAlign w:val="bottom"/>
            <w:gridSpan w:val="3"/>
          </w:tcPr>
          <w:p>
            <w:pPr>
              <w:jc w:val="right"/>
              <w:ind w:right="660"/>
              <w:spacing w:after="0"/>
              <w:rPr>
                <w:sz w:val="20"/>
                <w:szCs w:val="20"/>
                <w:color w:val="auto"/>
              </w:rPr>
            </w:pPr>
            <w:r>
              <w:rPr>
                <w:rFonts w:ascii="Arial" w:cs="Arial" w:eastAsia="Arial" w:hAnsi="Arial"/>
                <w:sz w:val="18"/>
                <w:szCs w:val="18"/>
                <w:color w:val="auto"/>
              </w:rPr>
              <w:t>N/A</w:t>
            </w:r>
          </w:p>
        </w:tc>
        <w:tc>
          <w:tcPr>
            <w:tcW w:w="900" w:type="dxa"/>
            <w:vAlign w:val="bottom"/>
          </w:tcPr>
          <w:p>
            <w:pPr>
              <w:jc w:val="right"/>
              <w:spacing w:after="0"/>
              <w:rPr>
                <w:sz w:val="20"/>
                <w:szCs w:val="20"/>
                <w:color w:val="auto"/>
              </w:rPr>
            </w:pPr>
            <w:r>
              <w:rPr>
                <w:rFonts w:ascii="Arial" w:cs="Arial" w:eastAsia="Arial" w:hAnsi="Arial"/>
                <w:sz w:val="18"/>
                <w:szCs w:val="18"/>
                <w:color w:val="auto"/>
              </w:rPr>
              <w:t>21,860</w:t>
            </w: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Impacting Financial Condition and Operating Results</w:t>
      </w:r>
    </w:p>
    <w:p>
      <w:pPr>
        <w:spacing w:after="0" w:line="225"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color w:val="auto"/>
        </w:rPr>
        <w:t>Overall, we have experienced considerable sales growth since the commercial launch of our first product in the third quarter of 2012, while incurring operating losses since our inception. Our operating results have historically fluctuated on a quarterly or annual basis, particularly in periods surrounding anticipated regulatory approvals, the commercial launch of new products by us and our competitors, the commercial launch of our products in geographies outside of the United States and due to general seasonality in the United States. We expect these periodic fluctuations in our operating results to continue.</w:t>
      </w:r>
    </w:p>
    <w:p>
      <w:pPr>
        <w:spacing w:after="0" w:line="188"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We believe that our financial condition and operating results, as well as the decision-making process of our current and potential customers, has been and will continue to be impacted by a number of general trends, including the following:</w:t>
      </w:r>
    </w:p>
    <w:p>
      <w:pPr>
        <w:spacing w:after="0" w:line="170" w:lineRule="exact"/>
        <w:rPr>
          <w:sz w:val="20"/>
          <w:szCs w:val="20"/>
          <w:color w:val="auto"/>
        </w:rPr>
      </w:pPr>
    </w:p>
    <w:p>
      <w:pPr>
        <w:ind w:left="1300" w:right="180" w:hanging="644"/>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acceptance of our products and competitive products by people with insulin-dependent diabetes, their caregivers and healthcare providers;</w:t>
      </w:r>
    </w:p>
    <w:p>
      <w:pPr>
        <w:spacing w:after="0" w:line="170" w:lineRule="exact"/>
        <w:rPr>
          <w:rFonts w:ascii="Arial" w:cs="Arial" w:eastAsia="Arial" w:hAnsi="Arial"/>
          <w:sz w:val="18"/>
          <w:szCs w:val="18"/>
          <w:color w:val="auto"/>
        </w:rPr>
      </w:pPr>
    </w:p>
    <w:p>
      <w:pPr>
        <w:ind w:left="1300" w:right="740" w:hanging="644"/>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introduction of new products, treatment techniques or technologies for the treatment of diabetes, including the timing of the commercialization of new products by us and our competitors;</w:t>
      </w:r>
    </w:p>
    <w:p>
      <w:pPr>
        <w:spacing w:after="0" w:line="170" w:lineRule="exact"/>
        <w:rPr>
          <w:rFonts w:ascii="Arial" w:cs="Arial" w:eastAsia="Arial" w:hAnsi="Arial"/>
          <w:sz w:val="18"/>
          <w:szCs w:val="18"/>
          <w:color w:val="auto"/>
        </w:rPr>
      </w:pPr>
    </w:p>
    <w:p>
      <w:pPr>
        <w:ind w:left="1300" w:right="140" w:hanging="644"/>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seasonality in the United States associated with annual insurance deductibles and coinsurance requirements associated with the medical insurance plans utilized by our customers and the customers of our distributors;</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incidence of disease or illness, including the COVID-19 global pandemic, that may impact customer purchasing patterns or disrupt our supply chain;</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of holidays and summer vacations, which may vary by geography and may be further influenced by the lifting or relaxation of COVID-19 related restrictions during 2021;</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buying patterns of our distributors and other customers, both domestically and internationally;</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competitive landscape, including as a result of companies entering or exiting the diabetes therapy market;</w:t>
      </w:r>
    </w:p>
    <w:p>
      <w:pPr>
        <w:spacing w:after="0" w:line="225" w:lineRule="exact"/>
        <w:rPr>
          <w:rFonts w:ascii="Arial" w:cs="Arial" w:eastAsia="Arial" w:hAnsi="Arial"/>
          <w:sz w:val="18"/>
          <w:szCs w:val="18"/>
          <w:color w:val="auto"/>
        </w:rPr>
      </w:pPr>
    </w:p>
    <w:p>
      <w:pPr>
        <w:ind w:left="1300" w:right="160" w:hanging="644"/>
        <w:spacing w:after="0" w:line="277"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to adequate coverage and reimbursement for our current and future products by third-party payors, and reimbursement decisions by third-party payors;</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magnitude and timing of any changes to our facilities, manufacturing operations and other infrastructure, and factors impacting our ability to access our facilities;</w:t>
      </w:r>
    </w:p>
    <w:p>
      <w:pPr>
        <w:spacing w:after="0" w:line="170" w:lineRule="exact"/>
        <w:rPr>
          <w:rFonts w:ascii="Arial" w:cs="Arial" w:eastAsia="Arial" w:hAnsi="Arial"/>
          <w:sz w:val="18"/>
          <w:szCs w:val="18"/>
          <w:color w:val="auto"/>
        </w:rPr>
      </w:pPr>
    </w:p>
    <w:p>
      <w:pPr>
        <w:ind w:left="1300" w:right="620" w:hanging="644"/>
        <w:spacing w:after="0" w:line="277"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any privacy breaches, which may subject us to legal and regulatory proceedings and substantial fines, penalties and expenses, as well as significant reputational harm;</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anticipated and actual regulatory approvals of our products and competitive products;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recalls impacting, or the suspension or withdrawal of regulatory clearance or approval relating to, our products or the products of our competitors.</w:t>
      </w:r>
    </w:p>
    <w:p>
      <w:pPr>
        <w:spacing w:after="0" w:line="170" w:lineRule="exact"/>
        <w:rPr>
          <w:sz w:val="20"/>
          <w:szCs w:val="20"/>
          <w:color w:val="auto"/>
        </w:rPr>
      </w:pPr>
    </w:p>
    <w:p>
      <w:pPr>
        <w:ind w:right="60" w:firstLine="810"/>
        <w:spacing w:after="0" w:line="277" w:lineRule="auto"/>
        <w:rPr>
          <w:sz w:val="20"/>
          <w:szCs w:val="20"/>
          <w:color w:val="auto"/>
        </w:rPr>
      </w:pPr>
      <w:r>
        <w:rPr>
          <w:rFonts w:ascii="Arial" w:cs="Arial" w:eastAsia="Arial" w:hAnsi="Arial"/>
          <w:sz w:val="18"/>
          <w:szCs w:val="18"/>
          <w:color w:val="auto"/>
        </w:rPr>
        <w:t>In addition to these general trends, we believe the following specific factors have materially impacted, and could continue to materially impact, our business going forward:</w:t>
      </w:r>
    </w:p>
    <w:p>
      <w:pPr>
        <w:spacing w:after="0" w:line="170" w:lineRule="exact"/>
        <w:rPr>
          <w:sz w:val="20"/>
          <w:szCs w:val="20"/>
          <w:color w:val="auto"/>
        </w:rPr>
      </w:pPr>
    </w:p>
    <w:p>
      <w:pPr>
        <w:ind w:left="1300" w:right="100" w:hanging="644"/>
        <w:spacing w:after="0" w:line="27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disruptions caused by the COVID-19 global pandemic on suppliers, third-party manufacturers, healthcare providers, distributors and our existing or potential customers;</w:t>
      </w:r>
    </w:p>
    <w:p>
      <w:pPr>
        <w:spacing w:after="0" w:line="170" w:lineRule="exact"/>
        <w:rPr>
          <w:rFonts w:ascii="Arial" w:cs="Arial" w:eastAsia="Arial" w:hAnsi="Arial"/>
          <w:sz w:val="18"/>
          <w:szCs w:val="18"/>
          <w:color w:val="auto"/>
        </w:rPr>
      </w:pPr>
    </w:p>
    <w:p>
      <w:pPr>
        <w:ind w:left="1300" w:right="140" w:hanging="644"/>
        <w:spacing w:after="0" w:line="27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increase in demand following the commercial launch of t:slim X2 with Control-IQ technology in additional geographies, and the demonstrated success of our Tandem Device Updater;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anticipated new product launches;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opportunity to achieve customer renewals as customers become eligible for insurance reimbursement to purchase a new insulin pump at the end of the typical four-year reimbursement cycle;</w:t>
      </w:r>
    </w:p>
    <w:p>
      <w:pPr>
        <w:spacing w:after="0" w:line="170" w:lineRule="exact"/>
        <w:rPr>
          <w:rFonts w:ascii="Arial" w:cs="Arial" w:eastAsia="Arial" w:hAnsi="Arial"/>
          <w:sz w:val="18"/>
          <w:szCs w:val="18"/>
          <w:color w:val="auto"/>
        </w:rPr>
      </w:pPr>
    </w:p>
    <w:p>
      <w:pPr>
        <w:ind w:left="1300" w:right="280" w:hanging="644"/>
        <w:spacing w:after="0" w:line="27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designation by UnitedHealthcare of one of our competitors as its preferred, in-network durable medical equipment provider of insulin pumps for most customers age seven and above from July 2016 through June 2020;</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enter into and maintain agreements with CGM partners for CGM integration;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expansion and new product launches in select international geographies, including initial orders to stock inventories; and</w:t>
      </w:r>
    </w:p>
    <w:p>
      <w:pPr>
        <w:spacing w:after="0" w:line="225" w:lineRule="exact"/>
        <w:rPr>
          <w:rFonts w:ascii="Arial" w:cs="Arial" w:eastAsia="Arial" w:hAnsi="Arial"/>
          <w:sz w:val="18"/>
          <w:szCs w:val="18"/>
          <w:color w:val="auto"/>
        </w:rPr>
      </w:pPr>
    </w:p>
    <w:p>
      <w:pPr>
        <w:ind w:left="1300" w:right="580" w:hanging="644"/>
        <w:spacing w:after="0" w:line="263"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effectively scale our operations to support rapid growth, including expanding our facilities, advancing our research and development efforts, increasing manufacturing capacity through third-party manufacturers, and hiring and retaining employees in customer service and support functions.</w:t>
      </w:r>
    </w:p>
    <w:p>
      <w:pPr>
        <w:spacing w:after="0" w:line="211" w:lineRule="exact"/>
        <w:rPr>
          <w:sz w:val="20"/>
          <w:szCs w:val="20"/>
          <w:color w:val="auto"/>
        </w:rPr>
      </w:pPr>
    </w:p>
    <w:p>
      <w:pPr>
        <w:ind w:firstLine="810"/>
        <w:spacing w:after="0" w:line="293" w:lineRule="auto"/>
        <w:rPr>
          <w:sz w:val="20"/>
          <w:szCs w:val="20"/>
          <w:color w:val="auto"/>
        </w:rPr>
      </w:pPr>
      <w:r>
        <w:rPr>
          <w:rFonts w:ascii="Arial" w:cs="Arial" w:eastAsia="Arial" w:hAnsi="Arial"/>
          <w:sz w:val="16"/>
          <w:szCs w:val="16"/>
          <w:color w:val="auto"/>
        </w:rPr>
        <w:t>In addition to working to achieve our sales growth expectations, in the long-term we intend to continue to leverage our infrastructure investments to realize additional manufacturing, sales, marketing and administration cost efficiencies with the goal of improving our operating margins and ultimately achieving sustained profitability. We achieved profitability for the first time in the fourth quarters of 2018, 2019 and 2020, and again in the second quarter of 2021. Though we have yet to achieve profitability consistently from period to period, we believe we can ultimately achieve sustained profitability by driving incremental sales growth in U.S. and international markets, meeting our pump renewal sales objectives, maximizing manufacturing efficiencies on increased production volumes, and leveraging the investments made in our sales, clinical, marketing and customer support organizations.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right="100" w:firstLine="810"/>
        <w:spacing w:after="0" w:line="273" w:lineRule="auto"/>
        <w:rPr>
          <w:sz w:val="20"/>
          <w:szCs w:val="20"/>
          <w:color w:val="auto"/>
        </w:rPr>
      </w:pPr>
      <w:r>
        <w:rPr>
          <w:rFonts w:ascii="Arial" w:cs="Arial" w:eastAsia="Arial" w:hAnsi="Arial"/>
          <w:sz w:val="17"/>
          <w:szCs w:val="17"/>
          <w:color w:val="auto"/>
        </w:rPr>
        <w:t>We offer products for people with insulin-dependent diabetes. We commenced commercial sales of our original t:slim insulin pump platform in the United States in the third quarter of 2012 and continued to launch various iterations of that platform during the following years. In October 2016, we began shipping our flagship pump platform, the t:slim X2 insulin pump. The t:slim X2 insulin pump platform with remote software update capabilities, now represents 100% of our new pump shipments and is used by nearly all of our in-warranty customers. Our products also include disposable cartridges and infusion sets, as well as our complementary t:connect, Tandem Device Updater and mobile application products. We also offer additional accessories including protective cases, belt clips, and power adapters, although sales of these products are not significant.</w:t>
      </w:r>
    </w:p>
    <w:p>
      <w:pPr>
        <w:spacing w:after="0" w:line="178" w:lineRule="exact"/>
        <w:rPr>
          <w:sz w:val="20"/>
          <w:szCs w:val="20"/>
          <w:color w:val="auto"/>
        </w:rPr>
      </w:pPr>
    </w:p>
    <w:p>
      <w:pPr>
        <w:ind w:firstLine="810"/>
        <w:spacing w:after="0" w:line="273" w:lineRule="auto"/>
        <w:rPr>
          <w:sz w:val="20"/>
          <w:szCs w:val="20"/>
          <w:color w:val="auto"/>
        </w:rPr>
      </w:pPr>
      <w:r>
        <w:rPr>
          <w:rFonts w:ascii="Arial" w:cs="Arial" w:eastAsia="Arial" w:hAnsi="Arial"/>
          <w:sz w:val="17"/>
          <w:szCs w:val="17"/>
          <w:color w:val="auto"/>
        </w:rPr>
        <w:t>We primarily sell our products through national and regional distributors in the United States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our existing sales, clinical, and marketing infrastructure will allow us to continue to increase sales by allowing us to promote our products to a greater number of potential customers, caregivers and healthcare providers, although the COVID-19 global pandemic has had, and may continue to have, an adverse impact on our sales.</w:t>
      </w:r>
    </w:p>
    <w:p>
      <w:pPr>
        <w:spacing w:after="0" w:line="178"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In the third quarter of 2018, we began the launch of our t:slim X2 hardware platform through distribution partners outside the United States. Our products are now sold in more than 20 countries, including in Canada, France and Germany. The software version on the t:slim X2 hardware platform has progressed from Dexcom G5 CGM integration at initial launch, followed by Basal-IQ technology scaling across various international markets beginning in the second quarter of 2019, and most recently we commenced the launch of our Control-IQ technology in select geographies. Our launch of Control-IQ technology in international markets will continue to scale across additional geographies throughout 2021 subject to applicable regulatory and reimbursement approvals.</w:t>
      </w:r>
    </w:p>
    <w:p>
      <w:pPr>
        <w:spacing w:after="0" w:line="192" w:lineRule="exact"/>
        <w:rPr>
          <w:sz w:val="20"/>
          <w:szCs w:val="20"/>
          <w:color w:val="auto"/>
        </w:rPr>
      </w:pPr>
    </w:p>
    <w:p>
      <w:pPr>
        <w:ind w:right="80" w:firstLine="810"/>
        <w:spacing w:after="0" w:line="275" w:lineRule="auto"/>
        <w:rPr>
          <w:sz w:val="20"/>
          <w:szCs w:val="20"/>
          <w:color w:val="auto"/>
        </w:rPr>
      </w:pPr>
      <w:r>
        <w:rPr>
          <w:rFonts w:ascii="Arial" w:cs="Arial" w:eastAsia="Arial" w:hAnsi="Arial"/>
          <w:sz w:val="17"/>
          <w:szCs w:val="17"/>
          <w:color w:val="auto"/>
        </w:rPr>
        <w:t>Our independent international distributor partners perform all sales, customer support and training in their respective markets. In Canada, we market with a direct sales force and, similar to the United States, use a distributor partner for certain billing and fulfillment activities. Historically, we have experienced consistent levels of reimbursement for our products in the United States, but we expect the average sales price will vary in international markets based on a number of factors, such as the geographical mix, nature of the reimbursement environment, government regulations and the extent to which we rely on distributor relationships to provide sales, clinical and marketing support.</w:t>
      </w:r>
    </w:p>
    <w:p>
      <w:pPr>
        <w:spacing w:after="0" w:line="176"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In general, in the United States we have experienced pump shipments being weighted heavily towards the second half of the year, with the highest percentage of pump shipments expected in the fourth quarter due to the nature of the reimbursement environment. Consistent with these historical seasonality trends, our domestic pump shipments have typically decreased significantly from the fourth quarter to the following first quarter. Internationally, we do not expect this same impact from seasonality associated with reimbursement, although the quarterly sales trends may be impacted by a number of other factors, including summer vacations and product launches into new geographies.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810"/>
        <w:spacing w:after="0" w:line="286" w:lineRule="auto"/>
        <w:rPr>
          <w:sz w:val="20"/>
          <w:szCs w:val="20"/>
          <w:color w:val="auto"/>
        </w:rPr>
      </w:pPr>
      <w:r>
        <w:rPr>
          <w:rFonts w:ascii="Arial" w:cs="Arial" w:eastAsia="Arial" w:hAnsi="Arial"/>
          <w:sz w:val="16"/>
          <w:szCs w:val="16"/>
          <w:color w:val="auto"/>
        </w:rPr>
        <w:t>During 2020, the COVID-19 global pandemic had a major impact on businesses around the world. While we experienced only a modest negative impact from the pandemic during the first quarter of 2020, which became more pronounced in the second quarter and remained through the end of the year, we anticipate that our sales and operating results will continue to be adversely impacted for the duration of the pandemic. Starting in March 2020, we ceased nearly all in-person sales, marketing and training activities and adopted numerous other changes to our daily business operations. These changes remained in effect during the majority of the first half of 2021, but during the second quarter of 2021 we began seeing an increase in the amount of in-person interactions among our field-based staff with customers and healthcare providers in the United States coincident with the increase in vaccination trends and relaxation of COVID-19 related restrictions on travel and social-distancing. Beginning in the second quarter of 2021 we also began observing more pronounced rates of travel and vacations by both customers and healthcare providers in the United States. Historically we have seen similar summer vacation seasonality in Europe, but it is possible that we could also experience more significant summer seasonality in the United States during 2021 due to the lifting of COVID-19 related restrictions. Accordingly, we anticipate that our sales may not follow historical trends and may be subject to unpredictable variability in the coming months based on varying levels of impact of the global pandemic across the markets in which we operate. Our sales outside the United States have been negatively impacted due to similar disruptions. Initially, the impact was relatively consistent worldwide but we have since seen varying degrees of impact in international markets based on local conditions. The full extent of the impact of the COVID-19 global pandemic on our business and operations will depend on a number of factors, including the scope and duration of the pandemic, varying government responses to the pandemic and potential delays to product development timelines.</w:t>
      </w:r>
    </w:p>
    <w:p>
      <w:pPr>
        <w:spacing w:after="0" w:line="167" w:lineRule="exact"/>
        <w:rPr>
          <w:sz w:val="20"/>
          <w:szCs w:val="20"/>
          <w:color w:val="auto"/>
        </w:rPr>
      </w:pPr>
    </w:p>
    <w:p>
      <w:pPr>
        <w:ind w:right="20" w:firstLine="810"/>
        <w:spacing w:after="0" w:line="291" w:lineRule="auto"/>
        <w:rPr>
          <w:sz w:val="20"/>
          <w:szCs w:val="20"/>
          <w:color w:val="auto"/>
        </w:rPr>
      </w:pPr>
      <w:r>
        <w:rPr>
          <w:rFonts w:ascii="Arial" w:cs="Arial" w:eastAsia="Arial" w:hAnsi="Arial"/>
          <w:sz w:val="16"/>
          <w:szCs w:val="16"/>
          <w:color w:val="auto"/>
        </w:rPr>
        <w:t>Separate from any impacts of the COVID-19 global pandemic, our quarterly sales have historically fluctuated, and may continue to fluctuate substantially in the periods surrounding anticipated and actual regulatory approvals and commercial launches of new products by us or our competitors. We believe customers may defer purchasing decisions if they believe a new product may be launched in the future. Additionally, upon the announcement of FDA approval or commercial launch of a new product, either by us or one of our competitors, potential new customers may reconsider their purchasing decisions or take additional time to consider such FDA approval or product launch before making their purchasing decisions. For instance, we believe certain customers paused their decision-making during the second half of 2019 in anticipation of the commercial availability of the t:slim X2 with Control-IQ technology. However, it is difficult to quantify the extent of the impact of these or similar events on future purchasing decisions.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Historically, we have manufactured our pumps and disposable cartridges at our manufacturing facility in San Diego, California. Near the end of the first quarter of 2020, our third-party cartridge manufacturer completed validation and commenced commercial-scale manufacturing to supplement our existing cartridge manufacturing capacity. We expect to increase production capacity and volumes at our third-party cartridge manufacturer over the next 24 months and concurrently reduce our t:slim cartridge manufacturing capacity in our existing facility in order to create capacity for t:sport cartridge manufacturing in the future. Infusion sets and pump accessories are manufactured by third-party suppliers. Cost of sales includes raw materials, labor costs, manufacturing overhead expenses, product training costs, royalties, freight, reserves for expected warranty costs, costs of supporting our digital health platforms, scrap and charges for excess and obsolete inventories. Manufacturing overhead expenses include expenses relating to quality assurance, manufacturing engineering, material procurement, inventory control, facilities, equipment, information technology and operations supervision and management. We anticipate that our cost of sales will continue to increase as our product sales increase.</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10"/>
        <w:spacing w:after="0" w:line="267" w:lineRule="auto"/>
        <w:rPr>
          <w:sz w:val="20"/>
          <w:szCs w:val="20"/>
          <w:color w:val="auto"/>
        </w:rPr>
      </w:pPr>
      <w:r>
        <w:rPr>
          <w:rFonts w:ascii="Arial" w:cs="Arial" w:eastAsia="Arial" w:hAnsi="Arial"/>
          <w:sz w:val="17"/>
          <w:szCs w:val="17"/>
          <w:color w:val="auto"/>
        </w:rPr>
        <w:t>Over the long term, we expect our overall gross margin percentage, which for any given period is calculated as sales less cost of sales divided by sales, to improve, as our sales increase and our overhead costs are spread over larger production volumes. We expect we will be able to leverage our manufacturing cost structure across our products that utilize the same technology platform and manufacturing infrastructure and will be able to further reduce per unit costs with increased automation, process improvements and raw materials cost reductions. We also expect our warranty cost per unit to decrease as we release additional product features and functionality utilizing the Tandem Device Updater. Pumps have, and are expected to continue to have, a higher gross margin percentage than our pump-related supplies. Therefore, the percentage of pump sales relative to total sales will have a significant impact on our overall gross margin percentage. In the event that customers delay their pump purchasing decisions or physicians pause in prescribing new pumps, whether as a result of the COVID-19 global pandemic, or for other reasons, it is possible that we may experience a higher percentage of pump-related supply sales than anticipated, which in turn could adversely impact our overall gross margin percentage. However, our overall gross margin percentage may fluctuate in future quarterly periods as a result of numerous factors aside from those associated with production volumes and product mix. For instance, as a result of the COVID-19 global pandemic we implemented temporary operational changes that introduced variability to our cost of sales, such as supplemental staffing, incremental expenses to protect the health, safety and welfare of our employees working on-site and to enable other employees to work remotely. In addition, as demand for our products increases, we may continue to make additional investments in manufacturing capacity or increase our reliance on third parties for manufacturing-related services, either of which could have a negative impact on our gross margins. Specifically, in 2020 and 2021, we have and will continue to evaluate investing in additional manufacturing equipment to substantially increase our existing capacity in order to meet anticipated long-term demand for our cartridges, which may initially place downward pressure on the gross margin percentage associated with our pump-related supplies.</w:t>
      </w:r>
    </w:p>
    <w:p>
      <w:pPr>
        <w:spacing w:after="0" w:line="191"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color w:val="auto"/>
        </w:rPr>
        <w:t>Other factors impacting our overall gross margin percentage may include the changing percentage of products sold to distributors versus directly to individual customers, varying levels of reimbursement among third-party payors in domestic and international markets, the timing and success of new regulatory approvals and product launches, the impact of the valuation and amortization of employee stock awards on non-cash stock-based compensation expense allocated to cost of sales, changes in warranty estimates, training costs, licensing and royalty costs, cost to support our digital health platforms, cost associated with excess and obsolete inventories, and changes in our manufacturing processes, capacity, costs or output.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20" w:firstLine="810"/>
        <w:spacing w:after="0" w:line="285" w:lineRule="auto"/>
        <w:rPr>
          <w:sz w:val="20"/>
          <w:szCs w:val="20"/>
          <w:color w:val="auto"/>
        </w:rPr>
      </w:pPr>
      <w:r>
        <w:rPr>
          <w:rFonts w:ascii="Arial" w:cs="Arial" w:eastAsia="Arial" w:hAnsi="Arial"/>
          <w:sz w:val="16"/>
          <w:szCs w:val="16"/>
          <w:color w:val="auto"/>
        </w:rPr>
        <w:t>Our selling, general and administrative (SG&amp;A) expenses primarily consist of salary, cash-based incentive compensation, fringe benefits and non-cash stock-based compensation for our executive, financial, legal, marketing, sales, clinical, customer support, technical services, insurance verification, regulatory affairs and other administrative functions. We began expanding our U.S. field sales and clinical organization during the third quarter of 2019 to support an expected increase in demand for our products. We have approximately 95 sales territories in the United States as of June 30, 2021. Our existing territories are generally maintained by sales representatives and field clinical specialists, and supported by managed care liaisons, additional sales management and other customer support personnel, which have also been rapidly expanding to support our growing installed base. Our operations in Canada are comprised of approximately ten sales territories. Other significant SG&amp;A expenses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Overall, we expect our SG&amp;A expenses, including the cost of our customer support infrastructure, to increase as our customer base grows in the United States and international markets. We may experience additional costs as our employees return to work at our offices and as we adapt to alternative hybrid work models, or as needed to respond to general labor shortages and heightened competition for employees with specialized skills. In addition, we will continue to evaluate, and may further increase, the number of our field sales and clinical personnel in order to optimize the coverage of our existing territories. Additionally, we recognized higher non-cash stock-based compensation expense through the first half of 2020, and experienced a reduction in expense beginning in the third quarter of 2020 as certain 2018 employee stock option grants became fully amortized. We anticipate that we will continue to see improvement in non-cash stock-based compensation expense as a percent of sales in future years. Our SG&amp;A expenses may be affected by our response to the COVID-19 global pandemic, including reduced spending in areas such as non-essential employee travel, which may be offset by increased spending to support measures designed to prioritize the retention, health, safety and welfare of our employees. In the longer term, SG&amp;A expenses may also increase due to anticipated costs associated with additional compliance and regulatory reporting requirements.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Our research and development (R&amp;D) activities primarily consist of engineering and research programs associated with our hardware, software and digital health products under development, as well as activities associated with our core technologies and processes. R&amp;D expenses are primarily related to employee compensation, including salary, cash-based incentive compensation, fringe benefits, non-cash stock-based compensation and temporary employee expenses.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We expect our R&amp;D expenses to increase as we advance our products under development, develop new products and technologies and support more clinical trials. Similar to our SG&amp;A expenses, our future R&amp;D spending may be impacted by the COVID-19 global pandemic. For instance, we may experience lower spending associated with delays in the advancement of particular programs, which may be offset by increased spending to support the retention, health, safety and welfare of our employees or to enable development activities under alternative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52"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Other income and expense primarily consists of changes in the fair value of certain warrants issued in connection with our public offering of common stock in October 2017, interest expense which includes the amortization of debt issuance costs related to our 1.50% Convertible Senior Notes due 2025, issued in May 2020 (our Notes), and interest earned on our cash equivalents and short-term investments. We expect interest expense in future quarters to be comparable with that of the first and second quarters of 2021, assuming that none of the Notes are converted or redeemed, and total other income and expense, net to fluctuate from period to period primarily due to the revaluation of the outstanding Series A warrants, which expire in the fourth quarter of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52" w:lineRule="exact"/>
        <w:rPr>
          <w:sz w:val="20"/>
          <w:szCs w:val="20"/>
          <w:color w:val="auto"/>
        </w:rPr>
      </w:pPr>
    </w:p>
    <w:p>
      <w:pPr>
        <w:ind w:right="500" w:firstLine="810"/>
        <w:spacing w:after="0" w:line="311" w:lineRule="auto"/>
        <w:rPr>
          <w:sz w:val="20"/>
          <w:szCs w:val="20"/>
          <w:color w:val="auto"/>
        </w:rPr>
      </w:pPr>
      <w:r>
        <w:rPr>
          <w:rFonts w:ascii="Arial" w:cs="Arial" w:eastAsia="Arial" w:hAnsi="Arial"/>
          <w:sz w:val="16"/>
          <w:szCs w:val="16"/>
          <w:color w:val="auto"/>
        </w:rPr>
        <w:t>Because the Company maintains a full valuation allowance against its net deferred tax assets, income tax expense is expected to primarily consist of current state and foreign cash tax expense as a result of taxable income anticipated or incurred in those jurisdictions. Income tax expense (benefit) may fluctuate in future quarters due to adjustments related to non-recurring transactions and changes in certain tax assessments.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r>
      <w:tr>
        <w:trPr>
          <w:trHeight w:val="131"/>
        </w:trPr>
        <w:tc>
          <w:tcPr>
            <w:tcW w:w="20" w:type="dxa"/>
            <w:vAlign w:val="bottom"/>
          </w:tcPr>
          <w:p>
            <w:pPr>
              <w:spacing w:after="0"/>
              <w:rPr>
                <w:sz w:val="11"/>
                <w:szCs w:val="11"/>
                <w:color w:val="auto"/>
              </w:rPr>
            </w:pPr>
          </w:p>
        </w:tc>
        <w:tc>
          <w:tcPr>
            <w:tcW w:w="4580" w:type="dxa"/>
            <w:vAlign w:val="bottom"/>
            <w:gridSpan w:val="2"/>
          </w:tcPr>
          <w:p>
            <w:pPr>
              <w:spacing w:after="0" w:line="111" w:lineRule="exact"/>
              <w:rPr>
                <w:sz w:val="20"/>
                <w:szCs w:val="20"/>
                <w:color w:val="auto"/>
              </w:rPr>
            </w:pPr>
            <w:r>
              <w:rPr>
                <w:rFonts w:ascii="Arial" w:cs="Arial" w:eastAsia="Arial" w:hAnsi="Arial"/>
                <w:sz w:val="12"/>
                <w:szCs w:val="12"/>
                <w:b w:val="1"/>
                <w:bCs w:val="1"/>
                <w:color w:val="auto"/>
              </w:rPr>
              <w:t>(in thousands, except percentages)</w:t>
            </w:r>
          </w:p>
        </w:tc>
        <w:tc>
          <w:tcPr>
            <w:tcW w:w="380" w:type="dxa"/>
            <w:vAlign w:val="bottom"/>
          </w:tcPr>
          <w:p>
            <w:pPr>
              <w:spacing w:after="0"/>
              <w:rPr>
                <w:sz w:val="11"/>
                <w:szCs w:val="11"/>
                <w:color w:val="auto"/>
              </w:rPr>
            </w:pPr>
          </w:p>
        </w:tc>
        <w:tc>
          <w:tcPr>
            <w:tcW w:w="1200" w:type="dxa"/>
            <w:vAlign w:val="bottom"/>
          </w:tcPr>
          <w:p>
            <w:pPr>
              <w:jc w:val="right"/>
              <w:ind w:right="553"/>
              <w:spacing w:after="0" w:line="115"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jc w:val="right"/>
              <w:ind w:right="551"/>
              <w:spacing w:after="0" w:line="115"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ind w:right="573"/>
              <w:spacing w:after="0" w:line="115"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tcPr>
          <w:p>
            <w:pPr>
              <w:jc w:val="right"/>
              <w:ind w:right="551"/>
              <w:spacing w:after="0" w:line="115" w:lineRule="exact"/>
              <w:rPr>
                <w:sz w:val="20"/>
                <w:szCs w:val="20"/>
                <w:color w:val="auto"/>
              </w:rPr>
            </w:pPr>
            <w:r>
              <w:rPr>
                <w:rFonts w:ascii="Arial" w:cs="Arial" w:eastAsia="Arial" w:hAnsi="Arial"/>
                <w:sz w:val="13"/>
                <w:szCs w:val="13"/>
                <w:b w:val="1"/>
                <w:bCs w:val="1"/>
                <w:color w:val="auto"/>
              </w:rPr>
              <w:t>2020</w:t>
            </w:r>
          </w:p>
        </w:tc>
      </w:tr>
      <w:tr>
        <w:trPr>
          <w:trHeight w:val="34"/>
        </w:trPr>
        <w:tc>
          <w:tcPr>
            <w:tcW w:w="20" w:type="dxa"/>
            <w:vAlign w:val="bottom"/>
            <w:tcBorders>
              <w:bottom w:val="single" w:sz="8" w:color="CFF0FC"/>
            </w:tcBorders>
          </w:tcPr>
          <w:p>
            <w:pPr>
              <w:spacing w:after="0"/>
              <w:rPr>
                <w:sz w:val="2"/>
                <w:szCs w:val="2"/>
                <w:color w:val="auto"/>
              </w:rPr>
            </w:pPr>
          </w:p>
        </w:tc>
        <w:tc>
          <w:tcPr>
            <w:tcW w:w="2100" w:type="dxa"/>
            <w:vAlign w:val="bottom"/>
            <w:tcBorders>
              <w:top w:val="single" w:sz="8" w:color="auto"/>
              <w:bottom w:val="single" w:sz="8" w:color="CFF0FC"/>
            </w:tcBorders>
          </w:tcPr>
          <w:p>
            <w:pPr>
              <w:spacing w:after="0"/>
              <w:rPr>
                <w:sz w:val="2"/>
                <w:szCs w:val="2"/>
                <w:color w:val="auto"/>
              </w:rPr>
            </w:pPr>
          </w:p>
        </w:tc>
        <w:tc>
          <w:tcPr>
            <w:tcW w:w="248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FF0FC"/>
          </w:tcPr>
          <w:p>
            <w:pPr>
              <w:spacing w:after="0"/>
              <w:rPr>
                <w:sz w:val="18"/>
                <w:szCs w:val="18"/>
                <w:color w:val="auto"/>
              </w:rPr>
            </w:pPr>
          </w:p>
        </w:tc>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Domestic</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127,580</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89,277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230,919</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168,823</w:t>
            </w:r>
          </w:p>
        </w:tc>
      </w:tr>
      <w:tr>
        <w:trPr>
          <w:trHeight w:val="229"/>
        </w:trPr>
        <w:tc>
          <w:tcPr>
            <w:tcW w:w="20" w:type="dxa"/>
            <w:vAlign w:val="bottom"/>
            <w:shd w:val="clear" w:color="auto" w:fill="CFF0FC"/>
          </w:tcPr>
          <w:p>
            <w:pPr>
              <w:spacing w:after="0"/>
              <w:rPr>
                <w:sz w:val="19"/>
                <w:szCs w:val="19"/>
                <w:color w:val="auto"/>
              </w:rPr>
            </w:pPr>
          </w:p>
        </w:tc>
        <w:tc>
          <w:tcPr>
            <w:tcW w:w="45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44,559</w:t>
            </w:r>
          </w:p>
        </w:tc>
        <w:tc>
          <w:tcPr>
            <w:tcW w:w="1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19,959</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82,257</w:t>
            </w:r>
          </w:p>
        </w:tc>
        <w:tc>
          <w:tcPr>
            <w:tcW w:w="1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38,339</w:t>
            </w:r>
          </w:p>
        </w:tc>
      </w:tr>
      <w:tr>
        <w:trPr>
          <w:trHeight w:val="223"/>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Total sales</w:t>
            </w:r>
          </w:p>
        </w:tc>
        <w:tc>
          <w:tcPr>
            <w:tcW w:w="3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172,139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109,236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313,176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207,162</w:t>
            </w:r>
          </w:p>
        </w:tc>
      </w:tr>
      <w:tr>
        <w:trPr>
          <w:trHeight w:val="229"/>
        </w:trPr>
        <w:tc>
          <w:tcPr>
            <w:tcW w:w="20" w:type="dxa"/>
            <w:vAlign w:val="bottom"/>
            <w:shd w:val="clear" w:color="auto" w:fill="CFF0FC"/>
          </w:tcPr>
          <w:p>
            <w:pPr>
              <w:spacing w:after="0"/>
              <w:rPr>
                <w:sz w:val="19"/>
                <w:szCs w:val="19"/>
                <w:color w:val="auto"/>
              </w:rPr>
            </w:pPr>
          </w:p>
        </w:tc>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79,685</w:t>
            </w:r>
          </w:p>
        </w:tc>
        <w:tc>
          <w:tcPr>
            <w:tcW w:w="1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54,846</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147,435</w:t>
            </w:r>
          </w:p>
        </w:tc>
        <w:tc>
          <w:tcPr>
            <w:tcW w:w="1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102,511</w:t>
            </w:r>
          </w:p>
        </w:tc>
      </w:tr>
      <w:tr>
        <w:trPr>
          <w:trHeight w:val="223"/>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92,454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54,390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165,741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104,651</w:t>
            </w:r>
          </w:p>
        </w:tc>
      </w:tr>
      <w:tr>
        <w:trPr>
          <w:trHeight w:val="229"/>
        </w:trPr>
        <w:tc>
          <w:tcPr>
            <w:tcW w:w="20" w:type="dxa"/>
            <w:vAlign w:val="bottom"/>
            <w:shd w:val="clear" w:color="auto" w:fill="CFF0FC"/>
          </w:tcPr>
          <w:p>
            <w:pPr>
              <w:spacing w:after="0"/>
              <w:rPr>
                <w:sz w:val="19"/>
                <w:szCs w:val="19"/>
                <w:color w:val="auto"/>
              </w:rPr>
            </w:pPr>
          </w:p>
        </w:tc>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margin</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50 %</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51 %</w:t>
            </w:r>
          </w:p>
        </w:tc>
      </w:tr>
      <w:tr>
        <w:trPr>
          <w:trHeight w:val="229"/>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0" w:type="dxa"/>
            <w:vAlign w:val="bottom"/>
            <w:shd w:val="clear" w:color="auto" w:fill="CFF0FC"/>
          </w:tcPr>
          <w:p>
            <w:pPr>
              <w:spacing w:after="0"/>
              <w:rPr>
                <w:sz w:val="19"/>
                <w:szCs w:val="19"/>
                <w:color w:val="auto"/>
              </w:rPr>
            </w:pPr>
          </w:p>
        </w:tc>
        <w:tc>
          <w:tcPr>
            <w:tcW w:w="45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66,523</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50,440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125,086</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100,157</w:t>
            </w:r>
          </w:p>
        </w:tc>
      </w:tr>
      <w:tr>
        <w:trPr>
          <w:trHeight w:val="229"/>
        </w:trPr>
        <w:tc>
          <w:tcPr>
            <w:tcW w:w="20" w:type="dxa"/>
            <w:vAlign w:val="bottom"/>
            <w:tcBorders>
              <w:bottom w:val="single" w:sz="8" w:color="CFF0FC"/>
            </w:tcBorders>
          </w:tcPr>
          <w:p>
            <w:pPr>
              <w:spacing w:after="0"/>
              <w:rPr>
                <w:sz w:val="19"/>
                <w:szCs w:val="19"/>
                <w:color w:val="auto"/>
              </w:rPr>
            </w:pPr>
          </w:p>
        </w:tc>
        <w:tc>
          <w:tcPr>
            <w:tcW w:w="4580" w:type="dxa"/>
            <w:vAlign w:val="bottom"/>
            <w:tcBorders>
              <w:bottom w:val="single" w:sz="8" w:color="CFF0FC"/>
            </w:tcBorders>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20,499</w:t>
            </w:r>
          </w:p>
        </w:tc>
        <w:tc>
          <w:tcPr>
            <w:tcW w:w="1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15,987</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38,460</w:t>
            </w:r>
          </w:p>
        </w:tc>
        <w:tc>
          <w:tcPr>
            <w:tcW w:w="1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30,104</w:t>
            </w:r>
          </w:p>
        </w:tc>
      </w:tr>
      <w:tr>
        <w:trPr>
          <w:trHeight w:val="223"/>
        </w:trPr>
        <w:tc>
          <w:tcPr>
            <w:tcW w:w="20" w:type="dxa"/>
            <w:vAlign w:val="bottom"/>
            <w:shd w:val="clear" w:color="auto" w:fill="CFF0FC"/>
          </w:tcPr>
          <w:p>
            <w:pPr>
              <w:spacing w:after="0"/>
              <w:rPr>
                <w:sz w:val="19"/>
                <w:szCs w:val="19"/>
                <w:color w:val="auto"/>
              </w:rPr>
            </w:pPr>
          </w:p>
        </w:tc>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87,022</w:t>
            </w:r>
          </w:p>
        </w:tc>
        <w:tc>
          <w:tcPr>
            <w:tcW w:w="1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66,427</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163,546</w:t>
            </w:r>
          </w:p>
        </w:tc>
        <w:tc>
          <w:tcPr>
            <w:tcW w:w="1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130,261</w:t>
            </w:r>
          </w:p>
        </w:tc>
      </w:tr>
      <w:tr>
        <w:trPr>
          <w:trHeight w:val="223"/>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3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5,432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(12,037)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(25,610)</w:t>
            </w:r>
          </w:p>
        </w:tc>
      </w:tr>
      <w:tr>
        <w:trPr>
          <w:trHeight w:val="230"/>
        </w:trPr>
        <w:tc>
          <w:tcPr>
            <w:tcW w:w="20" w:type="dxa"/>
            <w:vAlign w:val="bottom"/>
            <w:shd w:val="clear" w:color="auto" w:fill="CFF0FC"/>
          </w:tcPr>
          <w:p>
            <w:pPr>
              <w:spacing w:after="0"/>
              <w:rPr>
                <w:sz w:val="19"/>
                <w:szCs w:val="19"/>
                <w:color w:val="auto"/>
              </w:rPr>
            </w:pPr>
          </w:p>
        </w:tc>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Interest income and other, net</w:t>
            </w:r>
          </w:p>
        </w:tc>
        <w:tc>
          <w:tcPr>
            <w:tcW w:w="3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1,093</w:t>
            </w:r>
          </w:p>
        </w:tc>
      </w:tr>
      <w:tr>
        <w:trPr>
          <w:trHeight w:val="229"/>
        </w:trPr>
        <w:tc>
          <w:tcPr>
            <w:tcW w:w="20" w:type="dxa"/>
            <w:vAlign w:val="bottom"/>
            <w:shd w:val="clear" w:color="auto" w:fill="CFF0FC"/>
          </w:tcPr>
          <w:p>
            <w:pPr>
              <w:spacing w:after="0"/>
              <w:rPr>
                <w:sz w:val="19"/>
                <w:szCs w:val="19"/>
                <w:color w:val="auto"/>
              </w:rPr>
            </w:pPr>
          </w:p>
        </w:tc>
        <w:tc>
          <w:tcPr>
            <w:tcW w:w="45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(3,176)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(3,015)</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(3,176)</w:t>
            </w:r>
          </w:p>
        </w:tc>
      </w:tr>
      <w:tr>
        <w:trPr>
          <w:trHeight w:val="230"/>
        </w:trPr>
        <w:tc>
          <w:tcPr>
            <w:tcW w:w="20" w:type="dxa"/>
            <w:vAlign w:val="bottom"/>
            <w:tcBorders>
              <w:bottom w:val="single" w:sz="8" w:color="CFF0FC"/>
            </w:tcBorders>
          </w:tcPr>
          <w:p>
            <w:pPr>
              <w:spacing w:after="0"/>
              <w:rPr>
                <w:sz w:val="19"/>
                <w:szCs w:val="19"/>
                <w:color w:val="auto"/>
              </w:rPr>
            </w:pPr>
          </w:p>
        </w:tc>
        <w:tc>
          <w:tcPr>
            <w:tcW w:w="4580" w:type="dxa"/>
            <w:vAlign w:val="bottom"/>
            <w:tcBorders>
              <w:bottom w:val="single" w:sz="8" w:color="CFF0FC"/>
            </w:tcBorders>
            <w:gridSpan w:val="2"/>
          </w:tcPr>
          <w:p>
            <w:pPr>
              <w:ind w:left="160"/>
              <w:spacing w:after="0"/>
              <w:rPr>
                <w:sz w:val="20"/>
                <w:szCs w:val="20"/>
                <w:color w:val="auto"/>
              </w:rPr>
            </w:pPr>
            <w:r>
              <w:rPr>
                <w:rFonts w:ascii="Arial" w:cs="Arial" w:eastAsia="Arial" w:hAnsi="Arial"/>
                <w:sz w:val="18"/>
                <w:szCs w:val="18"/>
                <w:color w:val="auto"/>
              </w:rPr>
              <w:t>Change in fair value of common stock warrants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(14,336)</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(16,258)</w:t>
            </w:r>
          </w:p>
        </w:tc>
      </w:tr>
      <w:tr>
        <w:trPr>
          <w:trHeight w:val="223"/>
        </w:trPr>
        <w:tc>
          <w:tcPr>
            <w:tcW w:w="20" w:type="dxa"/>
            <w:vAlign w:val="bottom"/>
            <w:shd w:val="clear" w:color="auto" w:fill="CFF0FC"/>
          </w:tcPr>
          <w:p>
            <w:pPr>
              <w:spacing w:after="0"/>
              <w:rPr>
                <w:sz w:val="19"/>
                <w:szCs w:val="19"/>
                <w:color w:val="auto"/>
              </w:rPr>
            </w:pPr>
          </w:p>
        </w:tc>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(17,145)</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(3,287)</w:t>
            </w:r>
          </w:p>
        </w:tc>
        <w:tc>
          <w:tcPr>
            <w:tcW w:w="1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(18,341)</w:t>
            </w:r>
          </w:p>
        </w:tc>
      </w:tr>
      <w:tr>
        <w:trPr>
          <w:trHeight w:val="223"/>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4,069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(29,182)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(43,951)</w:t>
            </w:r>
          </w:p>
        </w:tc>
      </w:tr>
      <w:tr>
        <w:trPr>
          <w:trHeight w:val="229"/>
        </w:trPr>
        <w:tc>
          <w:tcPr>
            <w:tcW w:w="20" w:type="dxa"/>
            <w:vAlign w:val="bottom"/>
            <w:shd w:val="clear" w:color="auto" w:fill="CFF0FC"/>
          </w:tcPr>
          <w:p>
            <w:pPr>
              <w:spacing w:after="0"/>
              <w:rPr>
                <w:sz w:val="19"/>
                <w:szCs w:val="19"/>
                <w:color w:val="auto"/>
              </w:rPr>
            </w:pPr>
          </w:p>
        </w:tc>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(2,075)</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(1,977)</w:t>
            </w:r>
          </w:p>
        </w:tc>
      </w:tr>
      <w:tr>
        <w:trPr>
          <w:trHeight w:val="223"/>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(27,107)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(41,974)</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2021 and 2020</w:t>
      </w:r>
    </w:p>
    <w:p>
      <w:pPr>
        <w:spacing w:after="0" w:line="229" w:lineRule="exact"/>
        <w:rPr>
          <w:sz w:val="20"/>
          <w:szCs w:val="20"/>
          <w:color w:val="auto"/>
        </w:rPr>
      </w:pPr>
    </w:p>
    <w:p>
      <w:pPr>
        <w:ind w:right="380" w:firstLine="810"/>
        <w:spacing w:after="0" w:line="277"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three months ended June 30, 2021, sales were $172.1 million, which included $44.6 million of international sales. Sales were</w:t>
      </w:r>
      <w:r>
        <w:rPr>
          <w:rFonts w:ascii="Arial" w:cs="Arial" w:eastAsia="Arial" w:hAnsi="Arial"/>
          <w:sz w:val="18"/>
          <w:szCs w:val="18"/>
          <w:i w:val="1"/>
          <w:iCs w:val="1"/>
          <w:color w:val="auto"/>
        </w:rPr>
        <w:t xml:space="preserve"> </w:t>
      </w:r>
      <w:r>
        <w:rPr>
          <w:rFonts w:ascii="Arial" w:cs="Arial" w:eastAsia="Arial" w:hAnsi="Arial"/>
          <w:sz w:val="18"/>
          <w:szCs w:val="18"/>
          <w:color w:val="auto"/>
        </w:rPr>
        <w:t>$109.2 million for the same period in 2020, which included $20.0 million of international sales.</w:t>
      </w:r>
    </w:p>
    <w:p>
      <w:pPr>
        <w:spacing w:after="0" w:line="197" w:lineRule="exact"/>
        <w:rPr>
          <w:sz w:val="20"/>
          <w:szCs w:val="20"/>
          <w:color w:val="auto"/>
        </w:rPr>
      </w:pPr>
    </w:p>
    <w:p>
      <w:pPr>
        <w:jc w:val="both"/>
        <w:ind w:right="140" w:firstLine="810"/>
        <w:spacing w:after="0" w:line="311" w:lineRule="auto"/>
        <w:rPr>
          <w:sz w:val="20"/>
          <w:szCs w:val="20"/>
          <w:color w:val="auto"/>
        </w:rPr>
      </w:pPr>
      <w:r>
        <w:rPr>
          <w:rFonts w:ascii="Arial" w:cs="Arial" w:eastAsia="Arial" w:hAnsi="Arial"/>
          <w:sz w:val="16"/>
          <w:szCs w:val="16"/>
          <w:color w:val="auto"/>
        </w:rPr>
        <w:t>The increase in worldwide sales of $62.9 million in the second quarter of 2021 compared to the second quarter of 2020 was driven by an 81% increase in worldwide pump shipments to 33,817 in the second quarter of 2021, compared to 18,687 in the second quarter of 2020, and a 47% increase in pump-related supply sales. Sales of pump-related supplies increased primarily due to 59% growth in our estimated worldwide installed base of customers.</w:t>
      </w:r>
    </w:p>
    <w:p>
      <w:pPr>
        <w:spacing w:after="0" w:line="17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Domestic sales by product were as follows (in thousands):</w:t>
      </w:r>
    </w:p>
    <w:p>
      <w:pPr>
        <w:spacing w:after="0" w:line="126"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Three Months Ended</w:t>
      </w:r>
    </w:p>
    <w:p>
      <w:pPr>
        <w:jc w:val="center"/>
        <w:ind w:left="77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20" w:type="dxa"/>
            <w:vAlign w:val="bottom"/>
            <w:tcBorders>
              <w:bottom w:val="single" w:sz="8" w:color="CFF0FC"/>
            </w:tcBorders>
          </w:tcPr>
          <w:p>
            <w:pPr>
              <w:spacing w:after="0"/>
              <w:rPr>
                <w:sz w:val="16"/>
                <w:szCs w:val="16"/>
                <w:color w:val="auto"/>
              </w:rPr>
            </w:pPr>
          </w:p>
        </w:tc>
        <w:tc>
          <w:tcPr>
            <w:tcW w:w="4160" w:type="dxa"/>
            <w:vAlign w:val="bottom"/>
            <w:tcBorders>
              <w:bottom w:val="single" w:sz="8" w:color="CFF0FC"/>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FF0FC"/>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Pump</w:t>
            </w:r>
          </w:p>
        </w:tc>
        <w:tc>
          <w:tcPr>
            <w:tcW w:w="4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80,041</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56,367</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Infusion sets</w:t>
            </w:r>
          </w:p>
        </w:tc>
        <w:tc>
          <w:tcPr>
            <w:tcW w:w="4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22,536</w:t>
            </w:r>
          </w:p>
        </w:tc>
        <w:tc>
          <w:tcPr>
            <w:tcW w:w="0" w:type="dxa"/>
            <w:vAlign w:val="bottom"/>
          </w:tcPr>
          <w:p>
            <w:pPr>
              <w:spacing w:after="0"/>
              <w:rPr>
                <w:sz w:val="1"/>
                <w:szCs w:val="1"/>
                <w:color w:val="auto"/>
              </w:rPr>
            </w:pPr>
          </w:p>
        </w:tc>
      </w:tr>
      <w:tr>
        <w:trPr>
          <w:trHeight w:val="229"/>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Cartridges</w:t>
            </w:r>
          </w:p>
        </w:tc>
        <w:tc>
          <w:tcPr>
            <w:tcW w:w="4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15,082</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10,196</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Domestic Sales</w:t>
            </w:r>
          </w:p>
        </w:tc>
        <w:tc>
          <w:tcPr>
            <w:tcW w:w="4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127,580</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89,277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jc w:val="right"/>
              <w:ind w:right="1970"/>
              <w:spacing w:after="0"/>
              <w:rPr>
                <w:sz w:val="20"/>
                <w:szCs w:val="20"/>
                <w:color w:val="auto"/>
              </w:rPr>
            </w:pPr>
            <w:r>
              <w:rPr>
                <w:rFonts w:ascii="Arial" w:cs="Arial" w:eastAsia="Arial" w:hAnsi="Arial"/>
                <w:sz w:val="18"/>
                <w:szCs w:val="18"/>
                <w:color w:val="auto"/>
              </w:rPr>
              <w:t>34</w:t>
            </w: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62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80" w:firstLine="810"/>
        <w:spacing w:after="0" w:line="291" w:lineRule="auto"/>
        <w:rPr>
          <w:sz w:val="20"/>
          <w:szCs w:val="20"/>
          <w:color w:val="auto"/>
        </w:rPr>
      </w:pPr>
      <w:r>
        <w:rPr>
          <w:rFonts w:ascii="Arial" w:cs="Arial" w:eastAsia="Arial" w:hAnsi="Arial"/>
          <w:sz w:val="16"/>
          <w:szCs w:val="16"/>
          <w:color w:val="auto"/>
        </w:rPr>
        <w:t>Domestic pump sales were $80.0 million for the second quarter of 2021, compared to $56.4 million in the second quarter of 2020, as pump shipments increased 40% compared to the same period in the prior year due to continued strong demand for our products following the January 2020 domestic launch of our t:slim X2 insulin pump with Control-IQ technology. Domestic pump shipments were 20,665 in the second quarter of 2021, compared to 14,735 in the second quarter of 2020. Sales of pump-related supplies increased primarily due to a 48% increase in our estimated domestic installed base of customers. Sales to distributors accounted for 68% and 71% of our total domestic sales for the three months ended June 30, 2021 and 2020, respectively. Our percentage of sales to distributors versus individual customers is principally determined by the mix of customers ordering our products within the period and whether or not we have a contractual arrangement with their underlying third-party insurance payor.</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International sales by product were as follows (in thousands):</w:t>
      </w:r>
    </w:p>
    <w:p>
      <w:pPr>
        <w:spacing w:after="0" w:line="126"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Three Months Ended</w:t>
      </w:r>
    </w:p>
    <w:p>
      <w:pPr>
        <w:jc w:val="center"/>
        <w:ind w:left="76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13335</wp:posOffset>
            </wp:positionV>
            <wp:extent cx="22028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Pump</w:t>
            </w:r>
          </w:p>
        </w:tc>
        <w:tc>
          <w:tcPr>
            <w:tcW w:w="104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27,630</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9,124</w:t>
            </w:r>
          </w:p>
        </w:tc>
      </w:tr>
      <w:tr>
        <w:trPr>
          <w:trHeight w:val="229"/>
        </w:trPr>
        <w:tc>
          <w:tcPr>
            <w:tcW w:w="7720" w:type="dxa"/>
            <w:vAlign w:val="bottom"/>
          </w:tcPr>
          <w:p>
            <w:pPr>
              <w:ind w:left="180"/>
              <w:spacing w:after="0"/>
              <w:rPr>
                <w:sz w:val="20"/>
                <w:szCs w:val="20"/>
                <w:color w:val="auto"/>
              </w:rPr>
            </w:pPr>
            <w:r>
              <w:rPr>
                <w:rFonts w:ascii="Arial" w:cs="Arial" w:eastAsia="Arial" w:hAnsi="Arial"/>
                <w:sz w:val="18"/>
                <w:szCs w:val="18"/>
                <w:color w:val="auto"/>
              </w:rPr>
              <w:t>Infusion sets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12,165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7,430</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Cartridges</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4,660</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48"/>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International Sales</w:t>
            </w:r>
          </w:p>
        </w:tc>
        <w:tc>
          <w:tcPr>
            <w:tcW w:w="1040" w:type="dxa"/>
            <w:vAlign w:val="bottom"/>
            <w:tcBorders>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44,559</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19,959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810"/>
        <w:spacing w:after="0" w:line="272" w:lineRule="auto"/>
        <w:rPr>
          <w:sz w:val="20"/>
          <w:szCs w:val="20"/>
          <w:color w:val="auto"/>
        </w:rPr>
      </w:pPr>
      <w:r>
        <w:rPr>
          <w:rFonts w:ascii="Arial" w:cs="Arial" w:eastAsia="Arial" w:hAnsi="Arial"/>
          <w:sz w:val="17"/>
          <w:szCs w:val="17"/>
          <w:color w:val="auto"/>
        </w:rPr>
        <w:t>International pump sales were $27.6 million for the second quarter of 2021, compared to $9.1 million in the second quarter of 2020, as pump shipments increased 233% compared to the same period in the prior year due to strong demand for our products as we continue to expand the launch of Control-IQ technology, which began in the third quarter of 2020, outside the United States, as well as the varying impact of the global pandemic. Sales of pump-related supplies benefited from a 105% increase in our estimated international installed base of customers. The ordering patterns of our international distributors for pumps and supplies is highly variable from period to period. This variability was compounded by the varying levels of impact of the global pandemic across the international markets in which we operate. Sales to distributors accounted for 95% and 96% of our total international sales for the three months ended June 30, 2021 and 2020, respectively.</w:t>
      </w:r>
    </w:p>
    <w:p>
      <w:pPr>
        <w:spacing w:after="0" w:line="177" w:lineRule="exact"/>
        <w:rPr>
          <w:sz w:val="20"/>
          <w:szCs w:val="20"/>
          <w:color w:val="auto"/>
        </w:rPr>
      </w:pPr>
    </w:p>
    <w:p>
      <w:pPr>
        <w:ind w:right="160" w:firstLine="810"/>
        <w:spacing w:after="0" w:line="263"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three months ended June 30, 2021 was $79.7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gross profit of $92.5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cost of sales of $54.8 million for the same period in 2020 resulting in gross profit of $54.4 million. The gross margin for the three months ended June 30, 2021 was 54%, compared to 50% in the same period in 2020.</w:t>
      </w:r>
    </w:p>
    <w:p>
      <w:pPr>
        <w:spacing w:after="0" w:line="184"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The increase in our gross profit for the three months ended June 30, 2021 was primarily the result of the $62.9 million increase in total sales. Gross profit and gross margin both benefited from improvement in the per unit manufacturing costs for pumps and cartridges from efficiencies in the manufacturing process, leverage of fixed overhead and increased volumes from our third-party cartridge manufacturer. On an aggregate basis, non-manufacturing costs, which primarily consist of warranty, royalty, freight, training and digital health product support costs, also reflected improvement on a per unit basis. To a lesser extent, overall average selling prices slightly pressured gross margin as international pump sales comprised a greater portion of total pump sales compared to the prior year, while supply average selling prices reflected modest benefit from the growth of our international installed base. Royalty expense was $1.9 million for the three months ended June 30, 2021, compared to $1.7 million in the same period in 2020. Other factors that have and may continue to have an impact on the gross margin percentage are changes in product and customer mix. Pump sales, which have the highest gross margin, were 63% of total worldwide sales in the second quarter of 2021 versus 60% in the second quarter of 2020. Non-cash stock-based compensation expense allocated to cost of sales was $1.6 million for the three months ended June 30, 2021, compared to $2.2 million in the same period in 2020.</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810"/>
        <w:spacing w:after="0" w:line="270"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32% to $66.5 million for the three months ended June 30, 2021 from</w:t>
      </w:r>
      <w:r>
        <w:rPr>
          <w:rFonts w:ascii="Arial" w:cs="Arial" w:eastAsia="Arial" w:hAnsi="Arial"/>
          <w:sz w:val="17"/>
          <w:szCs w:val="17"/>
          <w:i w:val="1"/>
          <w:iCs w:val="1"/>
          <w:color w:val="auto"/>
        </w:rPr>
        <w:t xml:space="preserve"> </w:t>
      </w:r>
      <w:r>
        <w:rPr>
          <w:rFonts w:ascii="Arial" w:cs="Arial" w:eastAsia="Arial" w:hAnsi="Arial"/>
          <w:sz w:val="17"/>
          <w:szCs w:val="17"/>
          <w:color w:val="auto"/>
        </w:rPr>
        <w:t>$50.4 million for the same period in 2020. Employee-related expenses for our SG&amp;A functions comprise the majority of SG&amp;A expenses. The increase compared to 2020 was primarily the result of a $9.6 million increase in salaries, incentive compensation and other employee benefits due to an increase in personnel to support additional sales territories, higher sales and other services in support of our growing installed customer base, offset by a $0.8 million decrease in non-cash stock-based compensation expense. Non-cash stock-based compensation expense allocated to SG&amp;A was $10.9 million for the three months ended June 30, 2021, compared to $11.7 million in the same period in 2020. The increase in non-cash stock-based compensation expense associated with increased headcount in 2020 and 2021 was more than offset by a decrease in non-cash stock-based compensation expense from the valuation of certain 2018 employee stock option grants which are now fully amortized. We also experienced a $5.8 million increase in other non-employee discretionary spending, including outside services, outside consulting, equipment and travel costs.</w:t>
      </w:r>
    </w:p>
    <w:p>
      <w:pPr>
        <w:spacing w:after="0" w:line="181" w:lineRule="exact"/>
        <w:rPr>
          <w:sz w:val="20"/>
          <w:szCs w:val="20"/>
          <w:color w:val="auto"/>
        </w:rPr>
      </w:pPr>
    </w:p>
    <w:p>
      <w:pPr>
        <w:ind w:right="20" w:firstLine="810"/>
        <w:spacing w:after="0" w:line="301"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R&amp;D expenses increased 28% to $20.5 million for the three months ended June 30, 2021 from $16.0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in 2020. The increase in R&amp;D expenses was primarily the result of an increase of $4.5 million in salaries, incentive compensation and other employee benefits due to an increase in personnel to support our product development efforts. Non-cash stock-based compensation expense allocated to R&amp;D was $2.5 million for the three months ended June 30, 2021</w:t>
      </w:r>
      <w:r>
        <w:rPr>
          <w:rFonts w:ascii="Arial" w:cs="Arial" w:eastAsia="Arial" w:hAnsi="Arial"/>
          <w:sz w:val="16"/>
          <w:szCs w:val="16"/>
          <w:i w:val="1"/>
          <w:iCs w:val="1"/>
          <w:color w:val="auto"/>
        </w:rPr>
        <w:t>,</w:t>
      </w:r>
      <w:r>
        <w:rPr>
          <w:rFonts w:ascii="Arial" w:cs="Arial" w:eastAsia="Arial" w:hAnsi="Arial"/>
          <w:sz w:val="16"/>
          <w:szCs w:val="16"/>
          <w:color w:val="auto"/>
        </w:rPr>
        <w:t xml:space="preserve"> compared to $2.6 million in the same period in 2020.</w:t>
      </w:r>
    </w:p>
    <w:p>
      <w:pPr>
        <w:spacing w:after="0" w:line="157"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Total other expense, net for the three months ended June 30, 2021 was $1.4 million compared to $17.1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2020. Total other expense, net for the three months ended June 30, 2021 primarily consisted of $1.5 million of interest expense which included the amortization of debt issuance costs related to our Notes issued in the second quarter of 2020, and a $0.3 million revaluation loss from the change in the fair value of certain warrants. Total other expense, net for the three months ended June 30, 2020 consisted of a $14.3 million loss on revaluation from the change in the fair value of certain warrants, and $3.2 million of interest expense which included the amortization of debt discount and debt issuance costs related to our Notes. The decrease in interest expense was primarily due to the adoption of ASU No. 2020-06 in the first quarter of 2021 (see Note 7, “Convertible Senior Notes”).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2021 and 2020</w:t>
      </w:r>
    </w:p>
    <w:p>
      <w:pPr>
        <w:spacing w:after="0" w:line="229" w:lineRule="exact"/>
        <w:rPr>
          <w:sz w:val="20"/>
          <w:szCs w:val="20"/>
          <w:color w:val="auto"/>
        </w:rPr>
      </w:pPr>
    </w:p>
    <w:p>
      <w:pPr>
        <w:ind w:right="520" w:firstLine="810"/>
        <w:spacing w:after="0" w:line="277"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six months ended June 30, 2021, sales were $313.2 million, which included $82.3 million of international sales.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sales were $207.2 million, which included $38.3 million of international sales.</w:t>
      </w:r>
    </w:p>
    <w:p>
      <w:pPr>
        <w:spacing w:after="0" w:line="170" w:lineRule="exact"/>
        <w:rPr>
          <w:sz w:val="20"/>
          <w:szCs w:val="20"/>
          <w:color w:val="auto"/>
        </w:rPr>
      </w:pPr>
    </w:p>
    <w:p>
      <w:pPr>
        <w:jc w:val="both"/>
        <w:ind w:firstLine="810"/>
        <w:spacing w:after="0" w:line="311" w:lineRule="auto"/>
        <w:rPr>
          <w:sz w:val="20"/>
          <w:szCs w:val="20"/>
          <w:color w:val="auto"/>
        </w:rPr>
      </w:pPr>
      <w:r>
        <w:rPr>
          <w:rFonts w:ascii="Arial" w:cs="Arial" w:eastAsia="Arial" w:hAnsi="Arial"/>
          <w:sz w:val="16"/>
          <w:szCs w:val="16"/>
          <w:color w:val="auto"/>
        </w:rPr>
        <w:t>The increase in worldwide sales of $106.0 million in the first six months of 2021 compared to the first six months of 2020 was driven by a 64% increase in worldwide pump shipments to 59,169 in the first six months of 2021, compared to 36,065 in the first six months of 2020, and a 51% increase in pump-related supply sales. Sales of pump-related supplies increased primarily due to a 59% growth in our estimated worldwide installed base of customers.</w:t>
      </w:r>
    </w:p>
    <w:p>
      <w:pPr>
        <w:spacing w:after="0" w:line="17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Domestic sales by product were as follows (in thousands):</w:t>
      </w:r>
    </w:p>
    <w:p>
      <w:pPr>
        <w:spacing w:after="0" w:line="126"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Six Months Ended</w:t>
      </w:r>
    </w:p>
    <w:p>
      <w:pPr>
        <w:jc w:val="center"/>
        <w:ind w:left="76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20" w:type="dxa"/>
            <w:vAlign w:val="bottom"/>
            <w:tcBorders>
              <w:bottom w:val="single" w:sz="8" w:color="CFF0FC"/>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FF0FC"/>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r>
      <w:tr>
        <w:trPr>
          <w:trHeight w:val="224"/>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Pump</w:t>
            </w:r>
          </w:p>
        </w:tc>
        <w:tc>
          <w:tcPr>
            <w:tcW w:w="100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142,953</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106,086</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Infusion sets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59,526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42,750</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Cartridges</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27,847</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19,651</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Domestic Sales</w:t>
            </w: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230,919</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168,823</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810"/>
        <w:spacing w:after="0" w:line="291" w:lineRule="auto"/>
        <w:rPr>
          <w:sz w:val="20"/>
          <w:szCs w:val="20"/>
          <w:color w:val="auto"/>
        </w:rPr>
      </w:pPr>
      <w:r>
        <w:rPr>
          <w:rFonts w:ascii="Arial" w:cs="Arial" w:eastAsia="Arial" w:hAnsi="Arial"/>
          <w:sz w:val="16"/>
          <w:szCs w:val="16"/>
          <w:color w:val="auto"/>
        </w:rPr>
        <w:t>Domestic pump sales were $143.0 million for the first six months of 2021, compared to $106.1 million in the first six months of 2020, as pump shipments increased 34% compared to the same period in the prior year due to continued strong demand for our products following the January 2020 domestic launch of our t:slim X2 insulin pump with Control-IQ technology. Domestic pump shipments were 37,309 in the first six months of 2021 compared to 27,893 in the first six months of 2020. Sales of pump-related supplies increased primarily due to a 48% increase in our estimated domestic installed base of customers. Sales to distributors accounted for 68% and 70% of our total domestic sales for the six months ended June 30, 2021 and 2020, respectively. Our percentage of sales to distributors versus individual customers is principally determined by the mix of customers ordering our products within the period and whether or not we have a contractual arrangement with their underlying third-party insurance payor.</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International sales by product were as follows (in thousands):</w:t>
      </w:r>
    </w:p>
    <w:p>
      <w:pPr>
        <w:spacing w:after="0" w:line="126"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Six Months Ended</w:t>
      </w:r>
    </w:p>
    <w:p>
      <w:pPr>
        <w:jc w:val="center"/>
        <w:ind w:left="76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13335</wp:posOffset>
            </wp:positionV>
            <wp:extent cx="22028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Pump</w:t>
            </w:r>
          </w:p>
        </w:tc>
        <w:tc>
          <w:tcPr>
            <w:tcW w:w="104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46,538</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18,940</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Infusion sets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24,899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13,676</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Cartridges</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10,609</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5,553</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International Sales</w:t>
            </w:r>
          </w:p>
        </w:tc>
        <w:tc>
          <w:tcPr>
            <w:tcW w:w="1040" w:type="dxa"/>
            <w:vAlign w:val="bottom"/>
            <w:tcBorders>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82,257</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38,339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810"/>
        <w:spacing w:after="0" w:line="272" w:lineRule="auto"/>
        <w:rPr>
          <w:sz w:val="20"/>
          <w:szCs w:val="20"/>
          <w:color w:val="auto"/>
        </w:rPr>
      </w:pPr>
      <w:r>
        <w:rPr>
          <w:rFonts w:ascii="Arial" w:cs="Arial" w:eastAsia="Arial" w:hAnsi="Arial"/>
          <w:sz w:val="17"/>
          <w:szCs w:val="17"/>
          <w:color w:val="auto"/>
        </w:rPr>
        <w:t>International pump sales were $46.5 million for the first six months of 2021, compared to $18.9 million in the first six months of 2020, as pump shipments increased 167% compared to the same period in the prior year due to strong demand for our products as we continue to expand the launch of Control-IQ technology, which began in the third quarter of 2020, outside the United States. Sales of pump-related supplies increased primarily due to an 105% increase in our estimated international installed base of customers. The ordering patterns of our international distributors for pumps and supplies is highly variable from period to period, particularly during the typical third quarter European holiday season. This variability was compounded by the varying levels of impact of the global pandemic across the international markets in which we operate. Sales to distributors accounted for 95% of our total international sales for both of the six month periods ended June 30, 2021 and 2020.</w:t>
      </w:r>
    </w:p>
    <w:p>
      <w:pPr>
        <w:spacing w:after="0" w:line="204" w:lineRule="exact"/>
        <w:rPr>
          <w:sz w:val="20"/>
          <w:szCs w:val="20"/>
          <w:color w:val="auto"/>
        </w:rPr>
      </w:pPr>
    </w:p>
    <w:p>
      <w:pPr>
        <w:ind w:right="140" w:firstLine="810"/>
        <w:spacing w:after="0" w:line="263"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six months ended June 30, 2021 was $147.4 million resulting in gross profit of $165.7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cost of sales of $102.5 million for the same period in 2020 resulting in gross profit of $104.7 million. The gross margin for the six months ended June 30, 2021 was 53% compared to 51% in the same period in 2020.</w:t>
      </w:r>
    </w:p>
    <w:p>
      <w:pPr>
        <w:spacing w:after="0" w:line="211" w:lineRule="exact"/>
        <w:rPr>
          <w:sz w:val="20"/>
          <w:szCs w:val="20"/>
          <w:color w:val="auto"/>
        </w:rPr>
      </w:pPr>
    </w:p>
    <w:p>
      <w:pPr>
        <w:ind w:right="40" w:firstLine="810"/>
        <w:spacing w:after="0" w:line="287" w:lineRule="auto"/>
        <w:rPr>
          <w:sz w:val="20"/>
          <w:szCs w:val="20"/>
          <w:color w:val="auto"/>
        </w:rPr>
      </w:pPr>
      <w:r>
        <w:rPr>
          <w:rFonts w:ascii="Arial" w:cs="Arial" w:eastAsia="Arial" w:hAnsi="Arial"/>
          <w:sz w:val="16"/>
          <w:szCs w:val="16"/>
          <w:color w:val="auto"/>
        </w:rPr>
        <w:t>The increase in our gross profit for the six months ended June 30, 2021 was primarily the result of the $106.0 million increase in total sales. Gross profit and gross margin both benefited from improvement in the per unit manufacturing costs for pumps and supplies from efficiencies in the manufacturing process, leverage of fixed overhead, increased volumes from our third-party cartridge manufacturer and material cost reductions. On an aggregate basis, non-manufacturing costs, which primarily consist of warranty, royalty, freight, training and digital health product support costs, also reflected improvement on a per unit basis. To a lesser extent, overall average selling prices slightly pressured gross margin as international pump sales comprised a greater portion of total pump sales compared to the prior year, while supply average selling prices reflected modest benefit from the growth of our international installed base. Royalty expense was $3.5 million for the six months ended June 30, 2021, compared to $3.0 million in the same period in 2020. Other factors that have and may continue to impact the gross margin percentage are changes in product and geographical mix and the level of non-cash stock-based compensation allocated to cost of sales. Pump sales, which have the highest gross margin, were 61% of total worldwide sales in the first six months of 2021 compared to 60% in the same period in 2020. Non-cash stock-based compensation expense allocated to cost of sales was $3.1 million for the six months ended June 30, 2021, compared to $4.3 million in the same period in 2020.</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firstLine="810"/>
        <w:spacing w:after="0" w:line="270"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25% to $125.1 million for the six months ended June 30, 2021 from</w:t>
      </w:r>
      <w:r>
        <w:rPr>
          <w:rFonts w:ascii="Arial" w:cs="Arial" w:eastAsia="Arial" w:hAnsi="Arial"/>
          <w:sz w:val="17"/>
          <w:szCs w:val="17"/>
          <w:i w:val="1"/>
          <w:iCs w:val="1"/>
          <w:color w:val="auto"/>
        </w:rPr>
        <w:t xml:space="preserve"> </w:t>
      </w:r>
      <w:r>
        <w:rPr>
          <w:rFonts w:ascii="Arial" w:cs="Arial" w:eastAsia="Arial" w:hAnsi="Arial"/>
          <w:sz w:val="17"/>
          <w:szCs w:val="17"/>
          <w:color w:val="auto"/>
        </w:rPr>
        <w:t>$100.2 million for the same period in 2020. Employee-related expenses for our SG&amp;A functions comprise the majority of SG&amp;A expenses. The increase compared to 2020 was primarily the result of a $19.7 million increase in salaries, incentive compensation and other employee benefits due to an increase in personnel to support additional sales territories, higher sales and other services in support of our growing installed customer base, offset by a $2.9 million decrease in non-cash stock-based compensation expense. Non-cash stock-based compensation expense allocated to SG&amp;A was $20.3 million for the six months ended June 30, 2021, compared to $23.2 million in the same period in 2020. The increase in non-cash stock-based compensation expense associated with increased headcount in 2020 and 2021 was more than offset by a decrease in non-cash stock-based compensation expense from the valuation of certain 2018 employee stock option grants which are now fully amortized. We also experienced an $8.2 million increase in other non-employee discretionary spending, including outside consulting, software maintenance and outside services.</w:t>
      </w:r>
    </w:p>
    <w:p>
      <w:pPr>
        <w:spacing w:after="0" w:line="181" w:lineRule="exact"/>
        <w:rPr>
          <w:sz w:val="20"/>
          <w:szCs w:val="20"/>
          <w:color w:val="auto"/>
        </w:rPr>
      </w:pPr>
    </w:p>
    <w:p>
      <w:pPr>
        <w:ind w:right="40" w:firstLine="810"/>
        <w:spacing w:after="0" w:line="301"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R&amp;D expenses increased 28% to $38.5 million for the six months ended June 30, 2021 from $30.1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in 2020. The increase in R&amp;D expenses was primarily the result of an increase of $8.0 million in salaries, incentive compensation and other employee benefits due to an increase in personnel to support our product development efforts. Non-cash stock-based compensation expense allocated to R&amp;D was $4.6 million for the six months ended June 30, 2021, compared to $4.8 million in the same period in 2020.</w:t>
      </w:r>
    </w:p>
    <w:p>
      <w:pPr>
        <w:spacing w:after="0" w:line="157" w:lineRule="exact"/>
        <w:rPr>
          <w:sz w:val="20"/>
          <w:szCs w:val="20"/>
          <w:color w:val="auto"/>
        </w:rPr>
      </w:pPr>
    </w:p>
    <w:p>
      <w:pPr>
        <w:ind w:right="20" w:firstLine="810"/>
        <w:spacing w:after="0" w:line="254"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Total other expense, net for the six months ended June 30, 2021 and 2020 was $3.3 million and $18.3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Other expense for the six months ended June 30, 2021 primarily consisted of $3.0 million of interest expense which includes the amortization of debt issuance costs related to our Notes issued in the second quarter of 2020, and a $1.0 million revaluation loss from the change in the fair value of certain warrants. Other expense for the six months ended June 30, 2020 primarily consisted of a $16.3 million revaluation loss from the change in the fair value of certain warrants and $3.2 million of interest expense which included the amortization of debt discount and debt issuance costs related to our Notes. Interest income and other, net for the six months ended June 30, 2021 and 2020 primarily consisted of interest earned on our cash equivalents and short-term investments.</w:t>
      </w:r>
    </w:p>
    <w:p>
      <w:pPr>
        <w:spacing w:after="0" w:line="195"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We recognized an income tax benefit of $0.1 million on pre-tax loss of $1.1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2021, compared to an income tax benefit of $2.0 million on a pre-tax loss of $44.0 million for the six months ended June 30, 2020. The income tax benefit for the six months ended June 30, 2021 was primarily attributable to the pre-tax loss position and excess tax benefits from stock compensation recorded discretely during the period. The income tax benefit for the six months ended June 30, 2020 was primarily due to benefit associated with the release of valuation allowance related to the acquisition of Sugarmate, partially offset by state and foreign income tax expense as a result of current taxable income in those jurisdictions.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810"/>
        <w:spacing w:after="0" w:line="342" w:lineRule="auto"/>
        <w:rPr>
          <w:sz w:val="20"/>
          <w:szCs w:val="20"/>
          <w:color w:val="auto"/>
        </w:rPr>
      </w:pPr>
      <w:r>
        <w:rPr>
          <w:rFonts w:ascii="Arial" w:cs="Arial" w:eastAsia="Arial" w:hAnsi="Arial"/>
          <w:sz w:val="16"/>
          <w:szCs w:val="16"/>
          <w:color w:val="auto"/>
        </w:rPr>
        <w:t>As of June 30, 2021, we had $545.3 million in cash and cash equivalents and short-term investments. We believe that our cash and cash equivalents and short-term investments balance is sufficient to satisfy our liquidity requirements for at least the next 12 months from the date of this filing.</w:t>
      </w:r>
    </w:p>
    <w:p>
      <w:pPr>
        <w:spacing w:after="0" w:line="124" w:lineRule="exact"/>
        <w:rPr>
          <w:sz w:val="20"/>
          <w:szCs w:val="20"/>
          <w:color w:val="auto"/>
        </w:rPr>
      </w:pPr>
    </w:p>
    <w:p>
      <w:pPr>
        <w:ind w:right="400" w:firstLine="810"/>
        <w:spacing w:after="0" w:line="308" w:lineRule="auto"/>
        <w:rPr>
          <w:sz w:val="20"/>
          <w:szCs w:val="20"/>
          <w:color w:val="auto"/>
        </w:rPr>
      </w:pPr>
      <w:r>
        <w:rPr>
          <w:rFonts w:ascii="Arial" w:cs="Arial" w:eastAsia="Arial" w:hAnsi="Arial"/>
          <w:sz w:val="17"/>
          <w:szCs w:val="17"/>
          <w:color w:val="auto"/>
        </w:rPr>
        <w:t>Historically, our principal sources of cash have included cash collected from product sales, private and public offerings of equity securities, exercises of employee stock awards, and debt financing. Since the beginning of 2020, we completed the following financing activities:</w:t>
      </w:r>
    </w:p>
    <w:p>
      <w:pPr>
        <w:spacing w:after="0" w:line="146" w:lineRule="exact"/>
        <w:rPr>
          <w:sz w:val="20"/>
          <w:szCs w:val="20"/>
          <w:color w:val="auto"/>
        </w:rPr>
      </w:pPr>
    </w:p>
    <w:p>
      <w:pPr>
        <w:jc w:val="both"/>
        <w:ind w:left="1960" w:right="640" w:hanging="656"/>
        <w:spacing w:after="0" w:line="342" w:lineRule="auto"/>
        <w:tabs>
          <w:tab w:leader="none" w:pos="1955"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In May 2020, we raised $278.7 million in </w:t>
      </w:r>
      <w:r>
        <w:rPr>
          <w:rFonts w:ascii="Arial" w:cs="Arial" w:eastAsia="Arial" w:hAnsi="Arial"/>
          <w:sz w:val="16"/>
          <w:szCs w:val="16"/>
          <w:color w:val="212529"/>
        </w:rPr>
        <w:t>net proceeds from the issuance of the Notes, and used $34.1</w:t>
      </w:r>
      <w:r>
        <w:rPr>
          <w:rFonts w:ascii="Arial" w:cs="Arial" w:eastAsia="Arial" w:hAnsi="Arial"/>
          <w:sz w:val="16"/>
          <w:szCs w:val="16"/>
          <w:color w:val="auto"/>
        </w:rPr>
        <w:t xml:space="preserve"> million </w:t>
      </w:r>
      <w:r>
        <w:rPr>
          <w:rFonts w:ascii="Arial" w:cs="Arial" w:eastAsia="Arial" w:hAnsi="Arial"/>
          <w:sz w:val="16"/>
          <w:szCs w:val="16"/>
          <w:color w:val="212529"/>
        </w:rPr>
        <w:t>of the net</w:t>
      </w:r>
      <w:r>
        <w:rPr>
          <w:rFonts w:ascii="Arial" w:cs="Arial" w:eastAsia="Arial" w:hAnsi="Arial"/>
          <w:sz w:val="16"/>
          <w:szCs w:val="16"/>
          <w:color w:val="auto"/>
        </w:rPr>
        <w:t xml:space="preserve"> </w:t>
      </w:r>
      <w:r>
        <w:rPr>
          <w:rFonts w:ascii="Arial" w:cs="Arial" w:eastAsia="Arial" w:hAnsi="Arial"/>
          <w:sz w:val="16"/>
          <w:szCs w:val="16"/>
          <w:color w:val="212529"/>
        </w:rPr>
        <w:t xml:space="preserve">proceeds to pay the cost of the Capped Call Transactions related to the Notes </w:t>
      </w:r>
      <w:r>
        <w:rPr>
          <w:rFonts w:ascii="Arial" w:cs="Arial" w:eastAsia="Arial" w:hAnsi="Arial"/>
          <w:sz w:val="16"/>
          <w:szCs w:val="16"/>
          <w:color w:val="000000"/>
        </w:rPr>
        <w:t>(see Note 7, “Convertible Senior Notes”).</w:t>
      </w:r>
    </w:p>
    <w:p>
      <w:pPr>
        <w:spacing w:after="0" w:line="123" w:lineRule="exact"/>
        <w:rPr>
          <w:rFonts w:ascii="Arial" w:cs="Arial" w:eastAsia="Arial" w:hAnsi="Arial"/>
          <w:sz w:val="16"/>
          <w:szCs w:val="16"/>
          <w:color w:val="auto"/>
        </w:rPr>
      </w:pPr>
    </w:p>
    <w:p>
      <w:pPr>
        <w:jc w:val="both"/>
        <w:ind w:left="1960" w:right="300" w:hanging="656"/>
        <w:spacing w:after="0" w:line="263" w:lineRule="auto"/>
        <w:tabs>
          <w:tab w:leader="none" w:pos="1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From January 2020 through June 2021, we issued 2,702,444 shares of common stock upon the exercise of stock options, and 402,312 shares of common stock were purchased under our 2013 Employee Stock Purchase Plan, which generated aggregate proceeds of $83.6 million.</w:t>
      </w:r>
    </w:p>
    <w:p>
      <w:pPr>
        <w:spacing w:after="0" w:line="183" w:lineRule="exact"/>
        <w:rPr>
          <w:rFonts w:ascii="Arial" w:cs="Arial" w:eastAsia="Arial" w:hAnsi="Arial"/>
          <w:sz w:val="18"/>
          <w:szCs w:val="18"/>
          <w:color w:val="auto"/>
        </w:rPr>
      </w:pPr>
    </w:p>
    <w:p>
      <w:pPr>
        <w:jc w:val="both"/>
        <w:ind w:left="1960" w:right="40" w:hanging="656"/>
        <w:spacing w:after="0" w:line="286" w:lineRule="auto"/>
        <w:tabs>
          <w:tab w:leader="none" w:pos="1955" w:val="left"/>
        </w:tabs>
        <w:numPr>
          <w:ilvl w:val="0"/>
          <w:numId w:val="9"/>
        </w:numPr>
        <w:rPr>
          <w:rFonts w:ascii="Arial" w:cs="Arial" w:eastAsia="Arial" w:hAnsi="Arial"/>
          <w:sz w:val="17"/>
          <w:szCs w:val="17"/>
          <w:color w:val="auto"/>
        </w:rPr>
      </w:pPr>
      <w:r>
        <w:rPr>
          <w:rFonts w:ascii="Arial" w:cs="Arial" w:eastAsia="Arial" w:hAnsi="Arial"/>
          <w:sz w:val="17"/>
          <w:szCs w:val="17"/>
          <w:color w:val="auto"/>
        </w:rPr>
        <w:t>From January 2020 through June 2021, we received proceeds of $1.4 million from the exercise of 387,615 outstanding warrants which were originally issued in connection with our registered public offering of common stock in October 2017. As of June 30, 2021, there were warrants to purchase 29,700 shares outstanding relating to the October 2017 offering.</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60" w:right="180" w:hanging="656"/>
        <w:spacing w:after="0" w:line="263" w:lineRule="auto"/>
        <w:tabs>
          <w:tab w:leader="none" w:pos="19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From January 2020 through June 2021, we received proceeds of $2.0 million from the exercise of 71,261 outstanding warrants which were originally issued between August 2011 and August 2012. As of June 30, 2021, there were warrants to purchase 27,704 shares outstanding relating to these issuances.</w:t>
      </w:r>
    </w:p>
    <w:p>
      <w:pPr>
        <w:spacing w:after="0" w:line="184" w:lineRule="exact"/>
        <w:rPr>
          <w:sz w:val="20"/>
          <w:szCs w:val="20"/>
          <w:color w:val="auto"/>
        </w:rPr>
      </w:pPr>
    </w:p>
    <w:p>
      <w:pPr>
        <w:ind w:right="120" w:firstLine="810"/>
        <w:spacing w:after="0" w:line="257" w:lineRule="auto"/>
        <w:rPr>
          <w:sz w:val="20"/>
          <w:szCs w:val="20"/>
          <w:color w:val="auto"/>
        </w:rPr>
      </w:pPr>
      <w:r>
        <w:rPr>
          <w:rFonts w:ascii="Arial" w:cs="Arial" w:eastAsia="Arial" w:hAnsi="Arial"/>
          <w:sz w:val="18"/>
          <w:szCs w:val="18"/>
          <w:color w:val="auto"/>
        </w:rPr>
        <w:t>Our historical cash outflows have primarily been associated with cash used for operating activities such as the development and commercialization of our products, the expansion and support of our sales, marketing, clinical and customer support organizations, the expansion of our R&amp;D activities, the expansion of our commercial activities to select international geographies, the acquisition of intellectual property, expenditures related to increases in our manufacturing capacity and improvements to our manufacturing efficiency, overall expansion of our facilities and operations, and other working capital needs.</w:t>
      </w:r>
    </w:p>
    <w:p>
      <w:pPr>
        <w:spacing w:after="0" w:line="188" w:lineRule="exact"/>
        <w:rPr>
          <w:sz w:val="20"/>
          <w:szCs w:val="20"/>
          <w:color w:val="auto"/>
        </w:rPr>
      </w:pPr>
    </w:p>
    <w:p>
      <w:pPr>
        <w:ind w:right="400" w:firstLine="810"/>
        <w:spacing w:after="0" w:line="259" w:lineRule="auto"/>
        <w:rPr>
          <w:sz w:val="20"/>
          <w:szCs w:val="20"/>
          <w:color w:val="auto"/>
        </w:rPr>
      </w:pPr>
      <w:r>
        <w:rPr>
          <w:rFonts w:ascii="Arial" w:cs="Arial" w:eastAsia="Arial" w:hAnsi="Arial"/>
          <w:sz w:val="18"/>
          <w:szCs w:val="18"/>
          <w:color w:val="auto"/>
        </w:rPr>
        <w:t>We expect our sales performance and the resulting operating income or loss, as well as the status of each of our new product development programs, will significantly impact our cash flow from operations, liquidity position and cash management decisions. In light of the COVID-19 global pandemic, we are prudently managing our use of cash. We will continue to evaluate new information as it becomes available and make changes as are considered necessary.</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shows a summary of our cash flows for the six months ended June 30, 2021 and 2020:</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86"/>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84"/>
        </w:trPr>
        <w:tc>
          <w:tcPr>
            <w:tcW w:w="844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83"/>
              </w:rPr>
              <w:t>2020</w:t>
            </w:r>
          </w:p>
        </w:tc>
      </w:tr>
      <w:tr>
        <w:trPr>
          <w:trHeight w:val="211"/>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29"/>
        </w:trPr>
        <w:tc>
          <w:tcPr>
            <w:tcW w:w="844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57,580</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(5,132)</w:t>
            </w:r>
          </w:p>
        </w:tc>
      </w:tr>
      <w:tr>
        <w:trPr>
          <w:trHeight w:val="230"/>
        </w:trPr>
        <w:tc>
          <w:tcPr>
            <w:tcW w:w="84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(70,855)</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(98,605)</w:t>
            </w:r>
          </w:p>
        </w:tc>
      </w:tr>
      <w:tr>
        <w:trPr>
          <w:trHeight w:val="229"/>
        </w:trPr>
        <w:tc>
          <w:tcPr>
            <w:tcW w:w="8440" w:type="dxa"/>
            <w:vAlign w:val="bottom"/>
          </w:tcPr>
          <w:p>
            <w:pPr>
              <w:ind w:left="10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17,196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275,303</w:t>
            </w:r>
          </w:p>
        </w:tc>
      </w:tr>
      <w:tr>
        <w:trPr>
          <w:trHeight w:val="229"/>
        </w:trPr>
        <w:tc>
          <w:tcPr>
            <w:tcW w:w="8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foreign exchange rate changes on cash</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171,304</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Net cash provided by operating activities was $57.6 million for the six months ended June 30, 2021, compared to $5.1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net cash used by operating activities in the same period in 2020. The improvement to net cash provided by operating activities for 2021 compared to 2020 was driven by higher sales and gross profit in 2021, which resulted in a reduction in net loss when adjusted for non-cash expenses, particularly stock-based compensation expense, as well as working capital changes. Working capital changes during the first six months of 2021 primarily consisted of increases in inventories, accounts payable and accrued expenses, deferred revenue and employee related liabilities related to the growth in our business, and a decrease in accounts receivable related to the timing of sales and cash collections. Accounts receivable decreased to $80.2 million at June 30, 2021 from $82.2 million at December 31, 2020. Inventories increased to $66.7 million at June 30, 2021 from $63.7 million at December 31, 2020.</w:t>
      </w:r>
    </w:p>
    <w:p>
      <w:pPr>
        <w:spacing w:after="0" w:line="166" w:lineRule="exact"/>
        <w:rPr>
          <w:sz w:val="20"/>
          <w:szCs w:val="20"/>
          <w:color w:val="auto"/>
        </w:rPr>
      </w:pPr>
    </w:p>
    <w:p>
      <w:pPr>
        <w:ind w:right="60" w:firstLine="810"/>
        <w:spacing w:after="0" w:line="273"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Net cash used in investing activities was $70.9 million for the six months ended June 30, 2021, which was primarily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to $385.6 million of purchases of short-term investments, $9.3 million cash paid for the acquisition of intangible assets and equity investments, and $5.3 million in purchases of property and equipment, offset by $329.4 million in proceeds from maturities and sales of short-term investments. Net cash used in investing activities was $98.6 million for the six months ended June 30, 2020, which was primarily related to $167.0 million of purchases of short-term investments, $16.6 million in purchases of property and equipment, and $4.8 million cash paid for the acquisition of intangible assets, offset by $89.7 million in proceeds from maturities and sales of short-term investments.</w:t>
      </w:r>
    </w:p>
    <w:p>
      <w:pPr>
        <w:spacing w:after="0" w:line="178" w:lineRule="exact"/>
        <w:rPr>
          <w:sz w:val="20"/>
          <w:szCs w:val="20"/>
          <w:color w:val="auto"/>
        </w:rPr>
      </w:pPr>
    </w:p>
    <w:p>
      <w:pPr>
        <w:ind w:right="240" w:firstLine="810"/>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Net cash provided by financing activities was $17.2 million for the six months ended June 30, 2021, which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proceeds from the issuance of common stock under our stock plans. Net cash provided by financing activities was $275.3 million for the six months ended June 30, 2020, which primarily consisted of $278.7 million in proceeds from the issuance of the Convertible Senior Notes which was partially offset by $34.1 million in payments related to the Capped Call Transactions, and $28.6 million in proceeds from the issuance of common stock under our stock plans.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liquidity position and capital requirements are subject to fluctuation based on a number of factors, including the following:</w:t>
      </w:r>
    </w:p>
    <w:p>
      <w:pPr>
        <w:spacing w:after="0" w:line="225" w:lineRule="exact"/>
        <w:rPr>
          <w:sz w:val="20"/>
          <w:szCs w:val="20"/>
          <w:color w:val="auto"/>
        </w:rPr>
      </w:pPr>
    </w:p>
    <w:p>
      <w:pPr>
        <w:ind w:left="1960" w:right="160" w:hanging="656"/>
        <w:spacing w:after="0" w:line="277" w:lineRule="auto"/>
        <w:tabs>
          <w:tab w:leader="none" w:pos="1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generate sales, the timing of those sales, the mix of products sold and the collection of receivables from period to period;</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relative mix of sales between domestic and international markets;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any additional financings, and the net proceeds raised from such financings;</w:t>
      </w:r>
    </w:p>
    <w:p>
      <w:pPr>
        <w:spacing w:after="0" w:line="225" w:lineRule="exact"/>
        <w:rPr>
          <w:rFonts w:ascii="Arial" w:cs="Arial" w:eastAsia="Arial" w:hAnsi="Arial"/>
          <w:sz w:val="18"/>
          <w:szCs w:val="18"/>
          <w:color w:val="auto"/>
        </w:rPr>
      </w:pPr>
    </w:p>
    <w:p>
      <w:pPr>
        <w:ind w:left="1960" w:right="360" w:hanging="656"/>
        <w:spacing w:after="0" w:line="277" w:lineRule="auto"/>
        <w:tabs>
          <w:tab w:leader="none" w:pos="1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amount of the exercise of outstanding warrants, and proceeds from the issuance of equity awards pursuant to employee stock plans;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gross margins and operating margins;</w:t>
      </w:r>
    </w:p>
    <w:p>
      <w:pPr>
        <w:spacing w:after="0" w:line="225" w:lineRule="exact"/>
        <w:rPr>
          <w:rFonts w:ascii="Arial" w:cs="Arial" w:eastAsia="Arial" w:hAnsi="Arial"/>
          <w:sz w:val="18"/>
          <w:szCs w:val="18"/>
          <w:color w:val="auto"/>
        </w:rPr>
      </w:pPr>
    </w:p>
    <w:p>
      <w:pPr>
        <w:ind w:left="1960" w:right="480" w:hanging="656"/>
        <w:spacing w:after="0" w:line="277" w:lineRule="auto"/>
        <w:tabs>
          <w:tab w:leader="none" w:pos="1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working capital, including changes in accounts receivable, inventories, accounts payable, employee-related liabilities, and operating lease liabilities; and</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impacts and disruptions caused by the COVID-19 global pandemic.</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primary short-term capital needs are expected to include expenditures related to:</w:t>
      </w:r>
    </w:p>
    <w:p>
      <w:pPr>
        <w:spacing w:after="0" w:line="225" w:lineRule="exact"/>
        <w:rPr>
          <w:sz w:val="20"/>
          <w:szCs w:val="20"/>
          <w:color w:val="auto"/>
        </w:rPr>
      </w:pPr>
    </w:p>
    <w:p>
      <w:pPr>
        <w:ind w:left="1940" w:hanging="636"/>
        <w:spacing w:after="0"/>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support of our commercialization efforts related to our current and future products;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our customer support resources for our growing installed customer base;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research and product development efforts, including clinical trial costs;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leasing or licensing of equipment, technology, intellectual property and other assets;</w:t>
      </w:r>
    </w:p>
    <w:p>
      <w:pPr>
        <w:spacing w:after="0" w:line="225" w:lineRule="exact"/>
        <w:rPr>
          <w:rFonts w:ascii="Arial" w:cs="Arial" w:eastAsia="Arial" w:hAnsi="Arial"/>
          <w:sz w:val="18"/>
          <w:szCs w:val="18"/>
          <w:color w:val="auto"/>
        </w:rPr>
      </w:pPr>
    </w:p>
    <w:p>
      <w:pPr>
        <w:ind w:left="1960" w:right="480" w:hanging="656"/>
        <w:spacing w:after="0" w:line="277" w:lineRule="auto"/>
        <w:tabs>
          <w:tab w:leader="none" w:pos="1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 facilities leases and related tenant improvements, and manufacturing equipment to support business growth and increase manufacturing capacity; and</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payments under licensing, development and commercialization agreements.</w:t>
      </w:r>
    </w:p>
    <w:p>
      <w:pPr>
        <w:spacing w:after="0" w:line="225" w:lineRule="exact"/>
        <w:rPr>
          <w:sz w:val="20"/>
          <w:szCs w:val="20"/>
          <w:color w:val="auto"/>
        </w:rPr>
      </w:pPr>
    </w:p>
    <w:p>
      <w:pPr>
        <w:ind w:firstLine="810"/>
        <w:spacing w:after="0" w:line="286" w:lineRule="auto"/>
        <w:rPr>
          <w:sz w:val="20"/>
          <w:szCs w:val="20"/>
          <w:color w:val="auto"/>
        </w:rPr>
      </w:pPr>
      <w:r>
        <w:rPr>
          <w:rFonts w:ascii="Arial" w:cs="Arial" w:eastAsia="Arial" w:hAnsi="Arial"/>
          <w:sz w:val="16"/>
          <w:szCs w:val="16"/>
          <w:color w:val="auto"/>
        </w:rPr>
        <w:t>Although we believe the foregoing items reflect our most likely uses of cash in the short-term, we cannot predict with certainty all of our particular cash uses or the timing or amount of cash used. In addition, from time to time we may consider opportunities to acquire or license other products or technologies that may enhance our product platform or technology, expand the breadth of our markets or customer base, or advance our business strategies. Any such transaction may require short-term expenditures that may impact our capital needs. If for any reason our cash and cash equivalents balances, or cash generated from operations is insufficient to satisfy our working capital requirements, we may in the future be required to seek additional capital from public or private offerings of our equity or debt securities, or we may elect to borrow capital under new credit arrangements or from other sources. We may also seek to raise additional capital from such offerings or borrowings on an opportunistic basis when we believe there are suitable opportunities for doing so.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There can be no assurance that financing will be available on acceptable terms, or at all. Our ability to raise additional financing may be negatively impacted by a number of factors, including our recent and projected financial results, recent changes in and volatility of our stock price, perceptions about the dilutive impact of financing transactions, the competitive environment in our industry, uncertainties regarding the regulatory environment in which we operate and conditions impacting the capital markets more generally, including economic weakness, inflation, political instability, war and terrorism, natural disasters, incidence of illness or disease, or other events beyond our control.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firstLine="810"/>
        <w:spacing w:after="0" w:line="291"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of America (U.S. GAAP). The preparation of these consolidated financial statements requires management to make estimates and judgments that affect the reported amounts of assets, liabilities, revenues and expenses and the disclosure of contingent assets and liabilities in our consolidated financial statements and accompanying notes as of the date of the consolidated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w:t>
      </w:r>
    </w:p>
    <w:p>
      <w:pPr>
        <w:spacing w:after="0" w:line="166"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 xml:space="preserve">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 on Form 10-K for the year ended December 31, 2020, other than the adoption of ASU No. 2020-06, </w:t>
      </w:r>
      <w:r>
        <w:rPr>
          <w:rFonts w:ascii="Arial" w:cs="Arial" w:eastAsia="Arial" w:hAnsi="Arial"/>
          <w:sz w:val="16"/>
          <w:szCs w:val="16"/>
          <w:i w:val="1"/>
          <w:iCs w:val="1"/>
          <w:color w:val="auto"/>
        </w:rPr>
        <w:t xml:space="preserve">Accounting for Convertible Instruments and Contracts in an Entity’s Own Equity </w:t>
      </w:r>
      <w:r>
        <w:rPr>
          <w:rFonts w:ascii="Arial" w:cs="Arial" w:eastAsia="Arial" w:hAnsi="Arial"/>
          <w:sz w:val="16"/>
          <w:szCs w:val="16"/>
          <w:color w:val="auto"/>
        </w:rPr>
        <w:t>effective January 1, 2021 (see Note 7, “Convertible Senior Notes”).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of June 30, 2021,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80" w:firstLine="810"/>
        <w:spacing w:after="0" w:line="279" w:lineRule="auto"/>
        <w:rPr>
          <w:sz w:val="20"/>
          <w:szCs w:val="20"/>
          <w:color w:val="auto"/>
        </w:rPr>
      </w:pPr>
      <w:r>
        <w:rPr>
          <w:rFonts w:ascii="Arial" w:cs="Arial" w:eastAsia="Arial" w:hAnsi="Arial"/>
          <w:sz w:val="17"/>
          <w:szCs w:val="17"/>
          <w:color w:val="auto"/>
        </w:rPr>
        <w:t>We invest our excess cash primarily in commercial paper, corporate debt securities, U.S. Treasury securities and U.S. Government-sponsored enterprise securities. 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71" w:lineRule="exact"/>
        <w:rPr>
          <w:sz w:val="20"/>
          <w:szCs w:val="20"/>
          <w:color w:val="auto"/>
        </w:rPr>
      </w:pPr>
    </w:p>
    <w:p>
      <w:pPr>
        <w:ind w:right="100" w:firstLine="810"/>
        <w:spacing w:after="0" w:line="272" w:lineRule="auto"/>
        <w:rPr>
          <w:sz w:val="20"/>
          <w:szCs w:val="20"/>
          <w:color w:val="auto"/>
        </w:rPr>
      </w:pPr>
      <w:r>
        <w:rPr>
          <w:rFonts w:ascii="Arial" w:cs="Arial" w:eastAsia="Arial" w:hAnsi="Arial"/>
          <w:sz w:val="17"/>
          <w:szCs w:val="17"/>
          <w:color w:val="auto"/>
        </w:rPr>
        <w:t>Some of the financial instruments in which we invest subject us to market risk, in that a change in prevailing interest rates may cause the principal amount of the instrument to fluctuate. Other financial instruments in which we invest subject us to credit risk, in that the value of the instrument may fluctuate based on the issuer’s ability to pay. As a result of the COVID-19 global pandemic and the perceived increased credit risks associated with certain securities, credit rating agencies have issued downgrades or revised outlooks to negative for certain issuers of the debt securities held in our short-term investments portfolio. Unrealized losses on available-for-sale debt securities at June 30, 2021 were not significant. Based on the credit quality of the available-for-sale debt securities that are in an unrealized loss position, and our current estimates of future cash flows to be collected from those securities, we believe the unrealized losses are not credit losses (see Note 3, “Short-Term Investments”).</w:t>
      </w:r>
    </w:p>
    <w:p>
      <w:pPr>
        <w:spacing w:after="0" w:line="177" w:lineRule="exact"/>
        <w:rPr>
          <w:sz w:val="20"/>
          <w:szCs w:val="20"/>
          <w:color w:val="auto"/>
        </w:rPr>
      </w:pPr>
    </w:p>
    <w:p>
      <w:pPr>
        <w:jc w:val="both"/>
        <w:ind w:right="200" w:firstLine="810"/>
        <w:spacing w:after="0" w:line="286" w:lineRule="auto"/>
        <w:rPr>
          <w:sz w:val="20"/>
          <w:szCs w:val="20"/>
          <w:color w:val="auto"/>
        </w:rPr>
      </w:pPr>
      <w:r>
        <w:rPr>
          <w:rFonts w:ascii="Arial" w:cs="Arial" w:eastAsia="Arial" w:hAnsi="Arial"/>
          <w:sz w:val="17"/>
          <w:szCs w:val="17"/>
          <w:color w:val="auto"/>
        </w:rPr>
        <w:t>Because of the short-term maturities of our financial instruments, we do not believe that an increase or decrease in market interest rates would have a significant impact on the realized value of our investment portfolio. If a 10% change in interest rates were to have occurred on June 30, 2021, this change would not have had a material effect on the fair value of our investment portfolio as of that date.</w:t>
      </w:r>
    </w:p>
    <w:p>
      <w:pPr>
        <w:spacing w:after="0" w:line="165" w:lineRule="exact"/>
        <w:rPr>
          <w:sz w:val="20"/>
          <w:szCs w:val="20"/>
          <w:color w:val="auto"/>
        </w:rPr>
      </w:pPr>
    </w:p>
    <w:p>
      <w:pPr>
        <w:ind w:left="820"/>
        <w:spacing w:after="0"/>
        <w:rPr>
          <w:sz w:val="20"/>
          <w:szCs w:val="20"/>
          <w:color w:val="auto"/>
        </w:rPr>
      </w:pPr>
      <w:r>
        <w:rPr>
          <w:rFonts w:ascii="Arial" w:cs="Arial" w:eastAsia="Arial" w:hAnsi="Arial"/>
          <w:sz w:val="17"/>
          <w:szCs w:val="17"/>
          <w:color w:val="auto"/>
        </w:rPr>
        <w:t>In May 2020, we issued $287.5 million principal amount of Convertible Senior Notes, which bear interest at a fixed rate of 1.50% per 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are not subject to interest rate risk as a result of the Convertible Senior Notes (see Note 7, “Convertible Senior Notes”).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Our operations are primarily located in the United States, and nearly all of our sales since inception have been made in U.S. dollars. With the exception of a portion of our sales in Canada, our sales outside of the United States are currently made to independent distributors under agreements denominated in U.S. dollars. Accordingly, we believe our exposure to foreign currency rate fluctuations is currently limited to our operations in Canada, where fluctuations in the rate of exchange between the U.S. dollar and the Canadian dollar could adversely affect our financial results. We may be exposed to further foreign currency exchange risk as we expand our operations in markets outside the United States. In certain circumstances, we may seek to manage such foreign currency exchange risk by using derivative instruments such as foreign currency exchange forward contracts to hedge our risk. In general, we may hedge material foreign currency exchange exposures up to 12 months in advance. However, we may choose not to hedge some exposures for a variety of reasons, including prohibitive economic costs.</w:t>
      </w: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(Exchange Act) that are designed to ensure that information required to be disclosed in the periodic and current reports we file with the Securities and Exchange Commission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168" w:lineRule="exact"/>
        <w:rPr>
          <w:sz w:val="20"/>
          <w:szCs w:val="20"/>
          <w:color w:val="auto"/>
        </w:rPr>
      </w:pPr>
    </w:p>
    <w:p>
      <w:pPr>
        <w:ind w:right="140" w:firstLine="810"/>
        <w:spacing w:after="0" w:line="259" w:lineRule="auto"/>
        <w:rPr>
          <w:sz w:val="20"/>
          <w:szCs w:val="20"/>
          <w:color w:val="auto"/>
        </w:rPr>
      </w:pPr>
      <w:r>
        <w:rPr>
          <w:rFonts w:ascii="Arial" w:cs="Arial" w:eastAsia="Arial" w:hAnsi="Arial"/>
          <w:sz w:val="18"/>
          <w:szCs w:val="18"/>
          <w:color w:val="auto"/>
        </w:rPr>
        <w:t>As of June 30, 2021,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the reasonable assurance level as of June 30,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firstLine="81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of the Exchange Act) during the quarter ended June 30, 2021 that materially affected, or are reasonably likely to materially affect, our internal control over financial reporting.</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0" w:lineRule="exact"/>
        <w:rPr>
          <w:sz w:val="20"/>
          <w:szCs w:val="20"/>
          <w:color w:val="auto"/>
        </w:rPr>
      </w:pPr>
    </w:p>
    <w:p>
      <w:pPr>
        <w:spacing w:after="0" w:line="205"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In April 2020, we were named as a defendant in four federal class action lawsuits relating to a data breach we experienced in January 2020, each of which was subsequently dismissed.</w:t>
      </w:r>
    </w:p>
    <w:p>
      <w:pPr>
        <w:spacing w:after="0" w:line="197" w:lineRule="exact"/>
        <w:rPr>
          <w:sz w:val="20"/>
          <w:szCs w:val="20"/>
          <w:color w:val="auto"/>
        </w:rPr>
      </w:pPr>
    </w:p>
    <w:p>
      <w:pPr>
        <w:ind w:right="100" w:firstLine="810"/>
        <w:spacing w:after="0" w:line="287" w:lineRule="auto"/>
        <w:rPr>
          <w:sz w:val="20"/>
          <w:szCs w:val="20"/>
          <w:color w:val="auto"/>
        </w:rPr>
      </w:pPr>
      <w:r>
        <w:rPr>
          <w:rFonts w:ascii="Arial" w:cs="Arial" w:eastAsia="Arial" w:hAnsi="Arial"/>
          <w:sz w:val="16"/>
          <w:szCs w:val="16"/>
          <w:color w:val="auto"/>
        </w:rPr>
        <w:t xml:space="preserve">In addition, in May 2020 we were named as a defendant in three California state court class action lawsuits arising from the same data breach. Collectively, these lawsuits seek statutory, compensatory, actual, and punitive damages; equitable relief, including restitution; pre- and post-judgment interest; injunctive relief; and attorney fees, costs, and expenses from us. On July 24, 2020, these three pending lawsuits were consolidated into a single case in the Superior Court of the State of California in the County of San Bernardino entitled </w:t>
      </w:r>
      <w:r>
        <w:rPr>
          <w:rFonts w:ascii="Arial" w:cs="Arial" w:eastAsia="Arial" w:hAnsi="Arial"/>
          <w:sz w:val="16"/>
          <w:szCs w:val="16"/>
          <w:i w:val="1"/>
          <w:iCs w:val="1"/>
          <w:color w:val="auto"/>
        </w:rPr>
        <w:t>Joseph Deluna et al v. Tandem Diabetes Care, Inc.</w:t>
      </w:r>
      <w:r>
        <w:rPr>
          <w:rFonts w:ascii="Arial" w:cs="Arial" w:eastAsia="Arial" w:hAnsi="Arial"/>
          <w:sz w:val="16"/>
          <w:szCs w:val="16"/>
          <w:color w:val="auto"/>
        </w:rPr>
        <w:t xml:space="preserve"> The consolidated case alleges violations of the Confidentiality of Medical Information Act (CMIA), California Consumer Privacy Act (CCPA), California’s Unfair Competition Law (UCL), and breach of contract. We filed a demurrer seeking dismissal of all claims, which was heard by the Court on October 27, 2020, and which resulted in the following outcome: (i) the demurrer of the CMIA claim was denied; (ii) the demurrer of the CCPA claim was sustained; and (iii) the demurrer of the UCL and contract claims were sustained with leave to amend the pending complaint. A second demurrer was heard by the Court on March 29, 2021 with the following outcome: (i) the demurrer of the CMIA claim was denied; and (ii) the demurrer of the UCL and contract claims were narrowed in scope to dismiss three plaintiffs for failing to allege cognizable damages or injuries-in-fact, resulting in two remaining plaintiffs. Although we intend to vigorously defend against these claims, there is no guarantee that we will prevail. We are presently unable to determine the ultimate outcome of these lawsuits or determine the amount (or range) of possible losses associated with the lawsuits.</w:t>
      </w:r>
    </w:p>
    <w:p>
      <w:pPr>
        <w:spacing w:after="0" w:line="181" w:lineRule="exact"/>
        <w:rPr>
          <w:sz w:val="20"/>
          <w:szCs w:val="20"/>
          <w:color w:val="auto"/>
        </w:rPr>
      </w:pPr>
    </w:p>
    <w:p>
      <w:pPr>
        <w:ind w:right="20" w:firstLine="810"/>
        <w:spacing w:after="0" w:line="237" w:lineRule="auto"/>
        <w:rPr>
          <w:sz w:val="20"/>
          <w:szCs w:val="20"/>
          <w:color w:val="auto"/>
        </w:rPr>
      </w:pPr>
      <w:r>
        <w:rPr>
          <w:rFonts w:ascii="Arial" w:cs="Arial" w:eastAsia="Arial" w:hAnsi="Arial"/>
          <w:sz w:val="17"/>
          <w:szCs w:val="17"/>
          <w:color w:val="auto"/>
        </w:rPr>
        <w:t xml:space="preserve">In September 2020, we were named as a defendant in a lawsuit entitled </w:t>
      </w:r>
      <w:r>
        <w:rPr>
          <w:rFonts w:ascii="Arial" w:cs="Arial" w:eastAsia="Arial" w:hAnsi="Arial"/>
          <w:sz w:val="17"/>
          <w:szCs w:val="17"/>
          <w:i w:val="1"/>
          <w:iCs w:val="1"/>
          <w:color w:val="auto"/>
        </w:rPr>
        <w:t>Buck Walsh, individually and on behalf of others similarly situated v.</w:t>
      </w:r>
      <w:r>
        <w:rPr>
          <w:rFonts w:ascii="Arial" w:cs="Arial" w:eastAsia="Arial" w:hAnsi="Arial"/>
          <w:sz w:val="17"/>
          <w:szCs w:val="17"/>
          <w:color w:val="auto"/>
        </w:rPr>
        <w:t xml:space="preserve"> </w:t>
      </w:r>
      <w:r>
        <w:rPr>
          <w:rFonts w:ascii="Arial" w:cs="Arial" w:eastAsia="Arial" w:hAnsi="Arial"/>
          <w:sz w:val="17"/>
          <w:szCs w:val="17"/>
          <w:i w:val="1"/>
          <w:iCs w:val="1"/>
          <w:color w:val="auto"/>
        </w:rPr>
        <w:t>Tandem Diabetes Care, Inc.</w:t>
      </w:r>
      <w:r>
        <w:rPr>
          <w:rFonts w:ascii="Arial" w:cs="Arial" w:eastAsia="Arial" w:hAnsi="Arial"/>
          <w:sz w:val="17"/>
          <w:szCs w:val="17"/>
          <w:color w:val="auto"/>
        </w:rPr>
        <w:t>, which was filed in the Superior Court of the State of California in the County of San Diego. The alleged violations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and professions code and labor code violations for failure to compensate wages, unpaid meal and rest periods, and failure to reimburse for necessary business-related expenses. The class of plaintiffs includes hourly paid or non-exempt employees of the Company who were employed from April 6, 2016 through the date of adjudication. The parties recently agreed to resolve the matter on a class-wide basis. The settlement is intended to resolve the claims of the individual plaintiff, as well as the remaining members of the class, unless an individual class member submits a timely request for exclusion. The material terms of the settlement are set forth in a binding Memorandum of Agreement dated as of July 1, 2021, which is subject to the completion of a number of conditions, as well as final approval by the court. There is no guarantee that the conditions will be met or that court approval will be obtained. If the court does not approve the settlement, or if other conditions to approval of the settlement are not met, the case will continue and the Company will continue to vigorously defend against the claims.</w:t>
      </w:r>
    </w:p>
    <w:p>
      <w:pPr>
        <w:spacing w:after="0" w:line="216" w:lineRule="exact"/>
        <w:rPr>
          <w:sz w:val="20"/>
          <w:szCs w:val="20"/>
          <w:color w:val="auto"/>
        </w:rPr>
      </w:pPr>
    </w:p>
    <w:p>
      <w:pPr>
        <w:ind w:right="40" w:firstLine="810"/>
        <w:spacing w:after="0" w:line="293" w:lineRule="auto"/>
        <w:rPr>
          <w:sz w:val="20"/>
          <w:szCs w:val="20"/>
          <w:color w:val="auto"/>
        </w:rPr>
      </w:pPr>
      <w:r>
        <w:rPr>
          <w:rFonts w:ascii="Arial" w:cs="Arial" w:eastAsia="Arial" w:hAnsi="Arial"/>
          <w:sz w:val="16"/>
          <w:szCs w:val="16"/>
          <w:color w:val="auto"/>
        </w:rPr>
        <w:t>From time to time, we are involved in various other legal proceedings, regulatory matters, and other disputes or claims arising from or related to the normal course of our business activities, including actions with respect to intellectual property, data privacy, employment, regulatory, product liability and contractual matters. Although the results of legal proceedings, disputes and other claims cannot be predicted with certainty, we believe we are not currently a party to any legal proceeding(s) which, if determined adversely to us, would, individually or taken together, have a material adverse effect on our business, operating results, financial condition or cash flows. However, regardless of the merit of the claims raised or the outcome, legal proceedings may have an adverse impact on us as a result of defense and settlement costs, diversion of management time and resources, and other factors.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i w:val="1"/>
          <w:iCs w:val="1"/>
          <w:color w:val="auto"/>
        </w:rPr>
        <w:t>An investment in our common stock, or in securities convertible into or exchangeable for our common stock, involves a high degree of risk. You should carefully consider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liquidity, and future prospects. Certain statements below are forward-looking statements. For additional information, see Item 2, Management’s Discussion and Analysis of Financial Condition and Results of Operations of this Quarterly Report.</w:t>
      </w:r>
    </w:p>
    <w:p>
      <w:pPr>
        <w:spacing w:after="0" w:line="192" w:lineRule="exact"/>
        <w:rPr>
          <w:sz w:val="20"/>
          <w:szCs w:val="20"/>
          <w:color w:val="auto"/>
        </w:rPr>
      </w:pPr>
    </w:p>
    <w:p>
      <w:pPr>
        <w:ind w:right="420" w:firstLine="810"/>
        <w:spacing w:after="0" w:line="277" w:lineRule="auto"/>
        <w:rPr>
          <w:sz w:val="20"/>
          <w:szCs w:val="20"/>
          <w:color w:val="auto"/>
        </w:rPr>
      </w:pPr>
      <w:r>
        <w:rPr>
          <w:rFonts w:ascii="Arial" w:cs="Arial" w:eastAsia="Arial" w:hAnsi="Arial"/>
          <w:sz w:val="18"/>
          <w:szCs w:val="18"/>
          <w:i w:val="1"/>
          <w:iCs w:val="1"/>
          <w:color w:val="auto"/>
        </w:rPr>
        <w:t>The risk factors set forth below marked with an asterisk (*) next to the title contain changes to the description of the risk factors previously disclosed in Part I, Item 1A of our Annual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i w:val="1"/>
          <w:iCs w:val="1"/>
          <w:color w:val="auto"/>
        </w:rPr>
        <w:t>An investment in our common stock, or in securities convertible into or exchangeable for our common stock, involves a high degree of risk. 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below, after this summary.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9"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We have incurred significant operating losses since inception and may not achieve sustained profitability.</w:t>
      </w:r>
    </w:p>
    <w:p>
      <w:pPr>
        <w:spacing w:after="0" w:line="12" w:lineRule="exact"/>
        <w:rPr>
          <w:rFonts w:ascii="Arial" w:cs="Arial" w:eastAsia="Arial" w:hAnsi="Arial"/>
          <w:sz w:val="21"/>
          <w:szCs w:val="21"/>
          <w:color w:val="auto"/>
        </w:rPr>
      </w:pPr>
    </w:p>
    <w:p>
      <w:pPr>
        <w:ind w:left="660" w:right="20" w:hanging="328"/>
        <w:spacing w:after="0" w:line="238" w:lineRule="auto"/>
        <w:tabs>
          <w:tab w:leader="none" w:pos="651" w:val="left"/>
        </w:tabs>
        <w:numPr>
          <w:ilvl w:val="0"/>
          <w:numId w:val="13"/>
        </w:numPr>
        <w:rPr>
          <w:rFonts w:ascii="Arial" w:cs="Arial" w:eastAsia="Arial" w:hAnsi="Arial"/>
          <w:sz w:val="21"/>
          <w:szCs w:val="21"/>
          <w:color w:val="auto"/>
        </w:rPr>
      </w:pPr>
      <w:r>
        <w:rPr>
          <w:rFonts w:ascii="Arial" w:cs="Arial" w:eastAsia="Arial" w:hAnsi="Arial"/>
          <w:sz w:val="18"/>
          <w:szCs w:val="18"/>
          <w:color w:val="auto"/>
        </w:rPr>
        <w:t>We currently rely on sales of insulin pump products to generate a significant portion of our revenue, and any factors that negatively impact sales of these products may adversely affect us.</w:t>
      </w:r>
    </w:p>
    <w:p>
      <w:pPr>
        <w:spacing w:after="0" w:line="3" w:lineRule="exact"/>
        <w:rPr>
          <w:rFonts w:ascii="Arial" w:cs="Arial" w:eastAsia="Arial" w:hAnsi="Arial"/>
          <w:sz w:val="21"/>
          <w:szCs w:val="21"/>
          <w:color w:val="auto"/>
        </w:rPr>
      </w:pPr>
    </w:p>
    <w:p>
      <w:pPr>
        <w:ind w:left="640" w:hanging="308"/>
        <w:spacing w:after="0"/>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Public health threats, such as the COVID-19 global pandemic, have had a material adverse effect on our business.</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Our ability to maintain and grow our revenue depends on retaining a high percentage of our customer base.</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We operate in a very competitive industry.</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Competitive products or other technological developments may render our products obsolete or less desirable.</w:t>
      </w:r>
    </w:p>
    <w:p>
      <w:pPr>
        <w:spacing w:after="0" w:line="13" w:lineRule="exact"/>
        <w:rPr>
          <w:rFonts w:ascii="Arial" w:cs="Arial" w:eastAsia="Arial" w:hAnsi="Arial"/>
          <w:sz w:val="21"/>
          <w:szCs w:val="21"/>
          <w:color w:val="auto"/>
        </w:rPr>
      </w:pPr>
    </w:p>
    <w:p>
      <w:pPr>
        <w:ind w:left="660" w:right="500" w:hanging="328"/>
        <w:spacing w:after="0" w:line="238" w:lineRule="auto"/>
        <w:tabs>
          <w:tab w:leader="none" w:pos="651" w:val="left"/>
        </w:tabs>
        <w:numPr>
          <w:ilvl w:val="0"/>
          <w:numId w:val="13"/>
        </w:numPr>
        <w:rPr>
          <w:rFonts w:ascii="Arial" w:cs="Arial" w:eastAsia="Arial" w:hAnsi="Arial"/>
          <w:sz w:val="21"/>
          <w:szCs w:val="21"/>
          <w:color w:val="auto"/>
        </w:rPr>
      </w:pPr>
      <w:r>
        <w:rPr>
          <w:rFonts w:ascii="Arial" w:cs="Arial" w:eastAsia="Arial" w:hAnsi="Arial"/>
          <w:sz w:val="18"/>
          <w:szCs w:val="18"/>
          <w:color w:val="auto"/>
        </w:rPr>
        <w:t>The failure of our insulin pump and related products to achieve and maintain market acceptance could result in us achieving sales below our expectations.</w:t>
      </w:r>
    </w:p>
    <w:p>
      <w:pPr>
        <w:spacing w:after="0" w:line="14" w:lineRule="exact"/>
        <w:rPr>
          <w:rFonts w:ascii="Arial" w:cs="Arial" w:eastAsia="Arial" w:hAnsi="Arial"/>
          <w:sz w:val="21"/>
          <w:szCs w:val="21"/>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17"/>
          <w:szCs w:val="17"/>
          <w:color w:val="auto"/>
        </w:rPr>
        <w:t>Failure to secure or retain adequate coverage or reimbursement for our products by third-party payors could adversely affect our business.</w:t>
      </w:r>
    </w:p>
    <w:p>
      <w:pPr>
        <w:spacing w:after="0" w:line="8" w:lineRule="exact"/>
        <w:rPr>
          <w:rFonts w:ascii="Arial" w:cs="Arial" w:eastAsia="Arial" w:hAnsi="Arial"/>
          <w:sz w:val="20"/>
          <w:szCs w:val="20"/>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We may face unexpected challenges in marketing and selling our products, and training new customers on the use of our products.</w:t>
      </w:r>
    </w:p>
    <w:p>
      <w:pPr>
        <w:spacing w:after="0" w:line="13" w:lineRule="exact"/>
        <w:rPr>
          <w:rFonts w:ascii="Arial" w:cs="Arial" w:eastAsia="Arial" w:hAnsi="Arial"/>
          <w:sz w:val="21"/>
          <w:szCs w:val="21"/>
          <w:color w:val="auto"/>
        </w:rPr>
      </w:pPr>
    </w:p>
    <w:p>
      <w:pPr>
        <w:ind w:left="640" w:hanging="308"/>
        <w:spacing w:after="0"/>
        <w:tabs>
          <w:tab w:leader="none" w:pos="640" w:val="left"/>
        </w:tabs>
        <w:numPr>
          <w:ilvl w:val="0"/>
          <w:numId w:val="13"/>
        </w:numPr>
        <w:rPr>
          <w:rFonts w:ascii="Arial" w:cs="Arial" w:eastAsia="Arial" w:hAnsi="Arial"/>
          <w:sz w:val="19"/>
          <w:szCs w:val="19"/>
          <w:color w:val="auto"/>
        </w:rPr>
      </w:pPr>
      <w:r>
        <w:rPr>
          <w:rFonts w:ascii="Arial" w:cs="Arial" w:eastAsia="Arial" w:hAnsi="Arial"/>
          <w:sz w:val="16"/>
          <w:szCs w:val="16"/>
          <w:color w:val="auto"/>
        </w:rPr>
        <w:t>We may fail to meet our sales forecasts if we are unable to maintain our existing sales, marketing, clinical and customer service infrastructure.</w:t>
      </w:r>
    </w:p>
    <w:p>
      <w:pPr>
        <w:spacing w:after="0" w:line="19" w:lineRule="exact"/>
        <w:rPr>
          <w:rFonts w:ascii="Arial" w:cs="Arial" w:eastAsia="Arial" w:hAnsi="Arial"/>
          <w:sz w:val="19"/>
          <w:szCs w:val="19"/>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If we are unable to maintain or expand our network of independent distributors, our sales may be negatively affected.</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The third parties on which we rely to assist us with our pre-clinical development or clinical trials may not perform as expected.</w:t>
      </w:r>
    </w:p>
    <w:p>
      <w:pPr>
        <w:spacing w:after="0" w:line="13" w:lineRule="exact"/>
        <w:rPr>
          <w:rFonts w:ascii="Arial" w:cs="Arial" w:eastAsia="Arial" w:hAnsi="Arial"/>
          <w:sz w:val="21"/>
          <w:szCs w:val="21"/>
          <w:color w:val="auto"/>
        </w:rPr>
      </w:pPr>
    </w:p>
    <w:p>
      <w:pPr>
        <w:ind w:left="660" w:right="440" w:hanging="328"/>
        <w:spacing w:after="0" w:line="238" w:lineRule="auto"/>
        <w:tabs>
          <w:tab w:leader="none" w:pos="651" w:val="left"/>
        </w:tabs>
        <w:numPr>
          <w:ilvl w:val="0"/>
          <w:numId w:val="13"/>
        </w:numPr>
        <w:rPr>
          <w:rFonts w:ascii="Arial" w:cs="Arial" w:eastAsia="Arial" w:hAnsi="Arial"/>
          <w:sz w:val="21"/>
          <w:szCs w:val="21"/>
          <w:color w:val="auto"/>
        </w:rPr>
      </w:pPr>
      <w:r>
        <w:rPr>
          <w:rFonts w:ascii="Arial" w:cs="Arial" w:eastAsia="Arial" w:hAnsi="Arial"/>
          <w:sz w:val="18"/>
          <w:szCs w:val="18"/>
          <w:color w:val="auto"/>
        </w:rPr>
        <w:t>Our failure to successfully complete clinical trials and development-stage testing could prevent us from obtaining regulatory approvals for or commercializing our products.</w:t>
      </w:r>
    </w:p>
    <w:p>
      <w:pPr>
        <w:spacing w:after="0" w:line="3" w:lineRule="exact"/>
        <w:rPr>
          <w:rFonts w:ascii="Arial" w:cs="Arial" w:eastAsia="Arial" w:hAnsi="Arial"/>
          <w:sz w:val="21"/>
          <w:szCs w:val="21"/>
          <w:color w:val="auto"/>
        </w:rPr>
      </w:pPr>
    </w:p>
    <w:p>
      <w:pPr>
        <w:ind w:left="640" w:hanging="308"/>
        <w:spacing w:after="0"/>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If assumptions about the potential market for our products are inaccurate our business may be adversely affected.</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Our ability to achieve profitability has dependencies on our ability to reduce the per-unit cost of our products.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Manufacturing risks may adversely affect our ability to manufacture products.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We depend on a limited number of third-party suppliers for certain components and products.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Any disruption at one of our facilities could adversely affect our business and operating results.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We may not experience the anticipated operating efficiencies from the transition of our manufacturing and warehousing operations.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If we do not enhance our product portfolio to meet the demands of our market, we may fail to effectively compete.</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Concerns regarding the safety and efficacy of our products could limit sales and cause negative effects to our business.</w:t>
      </w:r>
    </w:p>
    <w:p>
      <w:pPr>
        <w:spacing w:after="0" w:line="13" w:lineRule="exact"/>
        <w:rPr>
          <w:rFonts w:ascii="Arial" w:cs="Arial" w:eastAsia="Arial" w:hAnsi="Arial"/>
          <w:sz w:val="21"/>
          <w:szCs w:val="21"/>
          <w:color w:val="auto"/>
        </w:rPr>
      </w:pPr>
    </w:p>
    <w:p>
      <w:pPr>
        <w:ind w:left="660" w:right="600" w:hanging="328"/>
        <w:spacing w:after="0" w:line="238" w:lineRule="auto"/>
        <w:tabs>
          <w:tab w:leader="none" w:pos="651" w:val="left"/>
        </w:tabs>
        <w:numPr>
          <w:ilvl w:val="0"/>
          <w:numId w:val="13"/>
        </w:numPr>
        <w:rPr>
          <w:rFonts w:ascii="Arial" w:cs="Arial" w:eastAsia="Arial" w:hAnsi="Arial"/>
          <w:sz w:val="21"/>
          <w:szCs w:val="21"/>
          <w:color w:val="auto"/>
        </w:rPr>
      </w:pPr>
      <w:r>
        <w:rPr>
          <w:rFonts w:ascii="Arial" w:cs="Arial" w:eastAsia="Arial" w:hAnsi="Arial"/>
          <w:sz w:val="18"/>
          <w:szCs w:val="18"/>
          <w:color w:val="auto"/>
        </w:rPr>
        <w:t>We may enter into collaborations or partnerships with third parties that may not result in commercially viable products or the generation of significant revenues.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1"/>
          <w:szCs w:val="21"/>
          <w:color w:val="auto"/>
        </w:rPr>
      </w:pPr>
      <w:r>
        <w:rPr>
          <w:rFonts w:ascii="Arial" w:cs="Arial" w:eastAsia="Arial" w:hAnsi="Arial"/>
          <w:sz w:val="18"/>
          <w:szCs w:val="18"/>
          <w:color w:val="auto"/>
        </w:rPr>
        <w:t>We operate our business in regions subject to natural disasters and other catastrophic events.</w:t>
      </w:r>
    </w:p>
    <w:p>
      <w:pPr>
        <w:spacing w:after="0" w:line="12" w:lineRule="exact"/>
        <w:rPr>
          <w:rFonts w:ascii="Arial" w:cs="Arial" w:eastAsia="Arial" w:hAnsi="Arial"/>
          <w:sz w:val="21"/>
          <w:szCs w:val="21"/>
          <w:color w:val="auto"/>
        </w:rPr>
      </w:pPr>
    </w:p>
    <w:p>
      <w:pPr>
        <w:ind w:left="660" w:right="280" w:hanging="328"/>
        <w:spacing w:after="0" w:line="238" w:lineRule="auto"/>
        <w:tabs>
          <w:tab w:leader="none" w:pos="651" w:val="left"/>
        </w:tabs>
        <w:numPr>
          <w:ilvl w:val="0"/>
          <w:numId w:val="14"/>
        </w:numPr>
        <w:rPr>
          <w:rFonts w:ascii="Arial" w:cs="Arial" w:eastAsia="Arial" w:hAnsi="Arial"/>
          <w:sz w:val="21"/>
          <w:szCs w:val="21"/>
          <w:color w:val="auto"/>
        </w:rPr>
      </w:pPr>
      <w:r>
        <w:rPr>
          <w:rFonts w:ascii="Arial" w:cs="Arial" w:eastAsia="Arial" w:hAnsi="Arial"/>
          <w:sz w:val="18"/>
          <w:szCs w:val="18"/>
          <w:color w:val="auto"/>
        </w:rPr>
        <w:t>A security breach or other significant disruption to our information technology systems could materially disrupt our operations or result in the unauthorized disclosure of sensitive information.”</w:t>
      </w:r>
    </w:p>
    <w:p>
      <w:pPr>
        <w:spacing w:after="0" w:line="14" w:lineRule="exact"/>
        <w:rPr>
          <w:rFonts w:ascii="Arial" w:cs="Arial" w:eastAsia="Arial" w:hAnsi="Arial"/>
          <w:sz w:val="21"/>
          <w:szCs w:val="21"/>
          <w:color w:val="auto"/>
        </w:rPr>
      </w:pPr>
    </w:p>
    <w:p>
      <w:pPr>
        <w:ind w:left="660" w:right="340" w:hanging="328"/>
        <w:spacing w:after="0" w:line="238" w:lineRule="auto"/>
        <w:tabs>
          <w:tab w:leader="none" w:pos="651" w:val="left"/>
        </w:tabs>
        <w:numPr>
          <w:ilvl w:val="0"/>
          <w:numId w:val="14"/>
        </w:numPr>
        <w:rPr>
          <w:rFonts w:ascii="Arial" w:cs="Arial" w:eastAsia="Arial" w:hAnsi="Arial"/>
          <w:sz w:val="21"/>
          <w:szCs w:val="21"/>
          <w:color w:val="auto"/>
        </w:rPr>
      </w:pPr>
      <w:r>
        <w:rPr>
          <w:rFonts w:ascii="Arial" w:cs="Arial" w:eastAsia="Arial" w:hAnsi="Arial"/>
          <w:sz w:val="18"/>
          <w:szCs w:val="18"/>
          <w:color w:val="auto"/>
        </w:rPr>
        <w:t>If we are found to have violated laws concerning the privacy and security of patient health information or other personal information, civil or criminal penalties could increase our liabilities and harm our business.</w:t>
      </w:r>
    </w:p>
    <w:p>
      <w:pPr>
        <w:spacing w:after="0" w:line="1" w:lineRule="exact"/>
        <w:rPr>
          <w:rFonts w:ascii="Arial" w:cs="Arial" w:eastAsia="Arial" w:hAnsi="Arial"/>
          <w:sz w:val="21"/>
          <w:szCs w:val="21"/>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retain and motivate our senior management or recruit additional qualified personnel.</w:t>
      </w:r>
    </w:p>
    <w:p>
      <w:pPr>
        <w:spacing w:after="0" w:line="10" w:lineRule="exact"/>
        <w:rPr>
          <w:rFonts w:ascii="Arial" w:cs="Arial" w:eastAsia="Arial" w:hAnsi="Arial"/>
          <w:sz w:val="18"/>
          <w:szCs w:val="18"/>
          <w:color w:val="auto"/>
        </w:rPr>
      </w:pPr>
    </w:p>
    <w:p>
      <w:pPr>
        <w:ind w:left="640" w:hanging="308"/>
        <w:spacing w:after="0"/>
        <w:tabs>
          <w:tab w:leader="none" w:pos="640" w:val="left"/>
        </w:tabs>
        <w:numPr>
          <w:ilvl w:val="0"/>
          <w:numId w:val="14"/>
        </w:numPr>
        <w:rPr>
          <w:rFonts w:ascii="Arial" w:cs="Arial" w:eastAsia="Arial" w:hAnsi="Arial"/>
          <w:sz w:val="21"/>
          <w:szCs w:val="21"/>
          <w:color w:val="auto"/>
        </w:rPr>
      </w:pPr>
      <w:r>
        <w:rPr>
          <w:rFonts w:ascii="Arial" w:cs="Arial" w:eastAsia="Arial" w:hAnsi="Arial"/>
          <w:sz w:val="18"/>
          <w:szCs w:val="18"/>
          <w:color w:val="auto"/>
        </w:rPr>
        <w:t>We may experience a variety of risks associated with international operations.</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4"/>
        </w:numPr>
        <w:rPr>
          <w:rFonts w:ascii="Arial" w:cs="Arial" w:eastAsia="Arial" w:hAnsi="Arial"/>
          <w:sz w:val="21"/>
          <w:szCs w:val="21"/>
          <w:color w:val="auto"/>
        </w:rPr>
      </w:pPr>
      <w:r>
        <w:rPr>
          <w:rFonts w:ascii="Arial" w:cs="Arial" w:eastAsia="Arial" w:hAnsi="Arial"/>
          <w:sz w:val="18"/>
          <w:szCs w:val="18"/>
          <w:color w:val="auto"/>
        </w:rPr>
        <w:t>Our failure to successfully manage the integration of acquisitions could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Future Financings and Financial Results</w:t>
      </w:r>
    </w:p>
    <w:p>
      <w:pPr>
        <w:spacing w:after="0" w:line="29"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21"/>
          <w:szCs w:val="21"/>
          <w:color w:val="auto"/>
        </w:rPr>
      </w:pPr>
      <w:r>
        <w:rPr>
          <w:rFonts w:ascii="Arial" w:cs="Arial" w:eastAsia="Arial" w:hAnsi="Arial"/>
          <w:sz w:val="18"/>
          <w:szCs w:val="18"/>
          <w:color w:val="auto"/>
        </w:rPr>
        <w:t>We may need to raise additional funds in the future and funds may not be available on commercially reasonable terms.</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5"/>
        </w:numPr>
        <w:rPr>
          <w:rFonts w:ascii="Arial" w:cs="Arial" w:eastAsia="Arial" w:hAnsi="Arial"/>
          <w:sz w:val="21"/>
          <w:szCs w:val="21"/>
          <w:color w:val="auto"/>
        </w:rPr>
      </w:pPr>
      <w:r>
        <w:rPr>
          <w:rFonts w:ascii="Arial" w:cs="Arial" w:eastAsia="Arial" w:hAnsi="Arial"/>
          <w:sz w:val="18"/>
          <w:szCs w:val="18"/>
          <w:color w:val="auto"/>
        </w:rPr>
        <w:t>Our operating results may fluctuate significantly from quarter to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9"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1"/>
          <w:szCs w:val="21"/>
          <w:color w:val="auto"/>
        </w:rPr>
      </w:pPr>
      <w:r>
        <w:rPr>
          <w:rFonts w:ascii="Arial" w:cs="Arial" w:eastAsia="Arial" w:hAnsi="Arial"/>
          <w:sz w:val="18"/>
          <w:szCs w:val="18"/>
          <w:color w:val="auto"/>
        </w:rPr>
        <w:t>Our ability to comprehensively protect our intellectual property and proprietary technology is uncertain.</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6"/>
        </w:numPr>
        <w:rPr>
          <w:rFonts w:ascii="Arial" w:cs="Arial" w:eastAsia="Arial" w:hAnsi="Arial"/>
          <w:sz w:val="21"/>
          <w:szCs w:val="21"/>
          <w:color w:val="auto"/>
        </w:rPr>
      </w:pPr>
      <w:r>
        <w:rPr>
          <w:rFonts w:ascii="Arial" w:cs="Arial" w:eastAsia="Arial" w:hAnsi="Arial"/>
          <w:sz w:val="18"/>
          <w:szCs w:val="18"/>
          <w:color w:val="auto"/>
        </w:rPr>
        <w:t>Patent litigation is not uncommon in the medical device industry, and we may be subject to such litigation.</w:t>
      </w:r>
    </w:p>
    <w:p>
      <w:pPr>
        <w:spacing w:after="0" w:line="13" w:lineRule="exact"/>
        <w:rPr>
          <w:rFonts w:ascii="Arial" w:cs="Arial" w:eastAsia="Arial" w:hAnsi="Arial"/>
          <w:sz w:val="21"/>
          <w:szCs w:val="21"/>
          <w:color w:val="auto"/>
        </w:rPr>
      </w:pPr>
    </w:p>
    <w:p>
      <w:pPr>
        <w:ind w:left="660" w:right="60" w:hanging="328"/>
        <w:spacing w:after="0" w:line="238" w:lineRule="auto"/>
        <w:tabs>
          <w:tab w:leader="none" w:pos="651" w:val="left"/>
        </w:tabs>
        <w:numPr>
          <w:ilvl w:val="0"/>
          <w:numId w:val="16"/>
        </w:numPr>
        <w:rPr>
          <w:rFonts w:ascii="Arial" w:cs="Arial" w:eastAsia="Arial" w:hAnsi="Arial"/>
          <w:sz w:val="21"/>
          <w:szCs w:val="21"/>
          <w:color w:val="auto"/>
        </w:rPr>
      </w:pPr>
      <w:r>
        <w:rPr>
          <w:rFonts w:ascii="Arial" w:cs="Arial" w:eastAsia="Arial" w:hAnsi="Arial"/>
          <w:sz w:val="18"/>
          <w:szCs w:val="18"/>
          <w:color w:val="auto"/>
        </w:rPr>
        <w:t>We may be subject to damages resulting from claims that we have wrongfully used or disclosed patient health information or trade secrets, or are in breach of non-competition or non-solicitation agreements.</w:t>
      </w:r>
    </w:p>
    <w:p>
      <w:pPr>
        <w:spacing w:after="0" w:line="3" w:lineRule="exact"/>
        <w:rPr>
          <w:rFonts w:ascii="Arial" w:cs="Arial" w:eastAsia="Arial" w:hAnsi="Arial"/>
          <w:sz w:val="21"/>
          <w:szCs w:val="21"/>
          <w:color w:val="auto"/>
        </w:rPr>
      </w:pPr>
    </w:p>
    <w:p>
      <w:pPr>
        <w:ind w:left="640" w:hanging="308"/>
        <w:spacing w:after="0"/>
        <w:tabs>
          <w:tab w:leader="none" w:pos="640" w:val="left"/>
        </w:tabs>
        <w:numPr>
          <w:ilvl w:val="0"/>
          <w:numId w:val="16"/>
        </w:numPr>
        <w:rPr>
          <w:rFonts w:ascii="Arial" w:cs="Arial" w:eastAsia="Arial" w:hAnsi="Arial"/>
          <w:sz w:val="21"/>
          <w:szCs w:val="21"/>
          <w:color w:val="auto"/>
        </w:rPr>
      </w:pPr>
      <w:r>
        <w:rPr>
          <w:rFonts w:ascii="Arial" w:cs="Arial" w:eastAsia="Arial" w:hAnsi="Arial"/>
          <w:sz w:val="18"/>
          <w:szCs w:val="18"/>
          <w:color w:val="auto"/>
        </w:rPr>
        <w:t>We may incur product liability losses, and insurance coverage may be inadequate or unavailable to cover these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40"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17"/>
          <w:szCs w:val="17"/>
          <w:color w:val="auto"/>
        </w:rPr>
        <w:t>Our products and operations are subject to extensive governmental regulation, and regulatory approvals could be denied or delayed.</w:t>
      </w:r>
    </w:p>
    <w:p>
      <w:pPr>
        <w:spacing w:after="0" w:line="13" w:lineRule="exact"/>
        <w:rPr>
          <w:rFonts w:ascii="Arial" w:cs="Arial" w:eastAsia="Arial" w:hAnsi="Arial"/>
          <w:sz w:val="20"/>
          <w:szCs w:val="20"/>
          <w:color w:val="auto"/>
        </w:rPr>
      </w:pPr>
    </w:p>
    <w:p>
      <w:pPr>
        <w:ind w:left="660" w:hanging="328"/>
        <w:spacing w:after="0" w:line="238" w:lineRule="auto"/>
        <w:tabs>
          <w:tab w:leader="none" w:pos="651" w:val="left"/>
        </w:tabs>
        <w:numPr>
          <w:ilvl w:val="0"/>
          <w:numId w:val="17"/>
        </w:numPr>
        <w:rPr>
          <w:rFonts w:ascii="Arial" w:cs="Arial" w:eastAsia="Arial" w:hAnsi="Arial"/>
          <w:sz w:val="21"/>
          <w:szCs w:val="21"/>
          <w:color w:val="auto"/>
        </w:rPr>
      </w:pPr>
      <w:r>
        <w:rPr>
          <w:rFonts w:ascii="Arial" w:cs="Arial" w:eastAsia="Arial" w:hAnsi="Arial"/>
          <w:sz w:val="18"/>
          <w:szCs w:val="18"/>
          <w:color w:val="auto"/>
        </w:rPr>
        <w:t>New products or modifications to our existing products may require new regulatory approvals, or require us to cease marketing or recall modified products.</w:t>
      </w:r>
    </w:p>
    <w:p>
      <w:pPr>
        <w:spacing w:after="0" w:line="27" w:lineRule="exact"/>
        <w:rPr>
          <w:rFonts w:ascii="Arial" w:cs="Arial" w:eastAsia="Arial" w:hAnsi="Arial"/>
          <w:sz w:val="21"/>
          <w:szCs w:val="21"/>
          <w:color w:val="auto"/>
        </w:rPr>
      </w:pPr>
    </w:p>
    <w:p>
      <w:pPr>
        <w:ind w:left="660" w:right="120" w:hanging="328"/>
        <w:spacing w:after="0" w:line="232"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If we or our third-party suppliers, contract manufacturers or service providers fail to comply with manufacturing regulations, it could impair our ability to market our products.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recall of our products, or the discovery of safety issues with our products, could have a negative impact on us.</w:t>
      </w:r>
    </w:p>
    <w:p>
      <w:pPr>
        <w:spacing w:after="0" w:line="10" w:lineRule="exact"/>
        <w:rPr>
          <w:rFonts w:ascii="Arial" w:cs="Arial" w:eastAsia="Arial" w:hAnsi="Arial"/>
          <w:sz w:val="18"/>
          <w:szCs w:val="18"/>
          <w:color w:val="auto"/>
        </w:rPr>
      </w:pPr>
    </w:p>
    <w:p>
      <w:pPr>
        <w:ind w:left="640" w:hanging="308"/>
        <w:spacing w:after="0"/>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Our failure to comply with foreign, U.S. federal and state fraud and abuse laws could have an adverse impact on us.</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We may be liable if we engage in the promotion of the off-label use of our products.</w:t>
      </w:r>
    </w:p>
    <w:p>
      <w:pPr>
        <w:spacing w:after="0" w:line="13" w:lineRule="exact"/>
        <w:rPr>
          <w:rFonts w:ascii="Arial" w:cs="Arial" w:eastAsia="Arial" w:hAnsi="Arial"/>
          <w:sz w:val="21"/>
          <w:szCs w:val="21"/>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17"/>
          <w:szCs w:val="17"/>
          <w:color w:val="auto"/>
        </w:rPr>
        <w:t>Legislative or regulatory healthcare reforms may result in downward pressure on the price of and decrease reimbursement for 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9"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21"/>
          <w:szCs w:val="21"/>
          <w:color w:val="auto"/>
        </w:rPr>
      </w:pPr>
      <w:r>
        <w:rPr>
          <w:rFonts w:ascii="Arial" w:cs="Arial" w:eastAsia="Arial" w:hAnsi="Arial"/>
          <w:sz w:val="18"/>
          <w:szCs w:val="18"/>
          <w:color w:val="auto"/>
        </w:rPr>
        <w:t>The price of our common stock may continue to fluctuate significantly.</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8"/>
        </w:numPr>
        <w:rPr>
          <w:rFonts w:ascii="Arial" w:cs="Arial" w:eastAsia="Arial" w:hAnsi="Arial"/>
          <w:sz w:val="21"/>
          <w:szCs w:val="21"/>
          <w:color w:val="auto"/>
        </w:rPr>
      </w:pPr>
      <w:r>
        <w:rPr>
          <w:rFonts w:ascii="Arial" w:cs="Arial" w:eastAsia="Arial" w:hAnsi="Arial"/>
          <w:sz w:val="18"/>
          <w:szCs w:val="18"/>
          <w:color w:val="auto"/>
        </w:rPr>
        <w:t>Our ability to use our net operating loss carryforwards and certain other tax attributes may be limited.</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8"/>
        </w:numPr>
        <w:rPr>
          <w:rFonts w:ascii="Arial" w:cs="Arial" w:eastAsia="Arial" w:hAnsi="Arial"/>
          <w:sz w:val="21"/>
          <w:szCs w:val="21"/>
          <w:color w:val="auto"/>
        </w:rPr>
      </w:pPr>
      <w:r>
        <w:rPr>
          <w:rFonts w:ascii="Arial" w:cs="Arial" w:eastAsia="Arial" w:hAnsi="Arial"/>
          <w:sz w:val="18"/>
          <w:szCs w:val="18"/>
          <w:color w:val="auto"/>
        </w:rPr>
        <w:t>We may fail to maintain an effective system of internal control over financial reporting.</w:t>
      </w:r>
    </w:p>
    <w:p>
      <w:pPr>
        <w:spacing w:after="0" w:line="2" w:lineRule="exact"/>
        <w:rPr>
          <w:rFonts w:ascii="Arial" w:cs="Arial" w:eastAsia="Arial" w:hAnsi="Arial"/>
          <w:sz w:val="21"/>
          <w:szCs w:val="21"/>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at increased risk of securities class action litigation.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Convertible Senior Notes</w:t>
      </w:r>
    </w:p>
    <w:p>
      <w:pPr>
        <w:spacing w:after="0" w:line="29"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21"/>
          <w:szCs w:val="21"/>
          <w:color w:val="auto"/>
        </w:rPr>
      </w:pPr>
      <w:r>
        <w:rPr>
          <w:rFonts w:ascii="Arial" w:cs="Arial" w:eastAsia="Arial" w:hAnsi="Arial"/>
          <w:sz w:val="18"/>
          <w:szCs w:val="18"/>
          <w:color w:val="auto"/>
        </w:rPr>
        <w:t>The Notes could adversely affect our financial condition.</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9"/>
        </w:numPr>
        <w:rPr>
          <w:rFonts w:ascii="Arial" w:cs="Arial" w:eastAsia="Arial" w:hAnsi="Arial"/>
          <w:sz w:val="21"/>
          <w:szCs w:val="21"/>
          <w:color w:val="auto"/>
        </w:rPr>
      </w:pPr>
      <w:r>
        <w:rPr>
          <w:rFonts w:ascii="Arial" w:cs="Arial" w:eastAsia="Arial" w:hAnsi="Arial"/>
          <w:sz w:val="18"/>
          <w:szCs w:val="18"/>
          <w:color w:val="auto"/>
        </w:rPr>
        <w:t>We may not have sufficient cash flow from our business to service the Notes.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9"/>
        </w:numPr>
        <w:rPr>
          <w:rFonts w:ascii="Arial" w:cs="Arial" w:eastAsia="Arial" w:hAnsi="Arial"/>
          <w:sz w:val="21"/>
          <w:szCs w:val="21"/>
          <w:color w:val="auto"/>
        </w:rPr>
      </w:pPr>
      <w:r>
        <w:rPr>
          <w:rFonts w:ascii="Arial" w:cs="Arial" w:eastAsia="Arial" w:hAnsi="Arial"/>
          <w:sz w:val="18"/>
          <w:szCs w:val="18"/>
          <w:color w:val="auto"/>
        </w:rPr>
        <w:t>We may take actions which could limit our ability to make payments on the Notes.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9"/>
        </w:numPr>
        <w:rPr>
          <w:rFonts w:ascii="Arial" w:cs="Arial" w:eastAsia="Arial" w:hAnsi="Arial"/>
          <w:sz w:val="21"/>
          <w:szCs w:val="21"/>
          <w:color w:val="auto"/>
        </w:rPr>
      </w:pPr>
      <w:r>
        <w:rPr>
          <w:rFonts w:ascii="Arial" w:cs="Arial" w:eastAsia="Arial" w:hAnsi="Arial"/>
          <w:sz w:val="18"/>
          <w:szCs w:val="18"/>
          <w:color w:val="231F20"/>
        </w:rPr>
        <w:t>We may not be able to raise the funds necessary to repurchase or settle conversions of the Notes.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9"/>
        </w:numPr>
        <w:rPr>
          <w:rFonts w:ascii="Arial" w:cs="Arial" w:eastAsia="Arial" w:hAnsi="Arial"/>
          <w:sz w:val="21"/>
          <w:szCs w:val="21"/>
          <w:color w:val="auto"/>
        </w:rPr>
      </w:pPr>
      <w:r>
        <w:rPr>
          <w:rFonts w:ascii="Arial" w:cs="Arial" w:eastAsia="Arial" w:hAnsi="Arial"/>
          <w:sz w:val="18"/>
          <w:szCs w:val="18"/>
          <w:color w:val="231F20"/>
        </w:rPr>
        <w:t>Conversion of the Notes may dilute the ownership interest of existing stockholders.</w:t>
      </w:r>
    </w:p>
    <w:p>
      <w:pPr>
        <w:spacing w:after="0" w:line="2" w:lineRule="exact"/>
        <w:rPr>
          <w:rFonts w:ascii="Arial" w:cs="Arial" w:eastAsia="Arial" w:hAnsi="Arial"/>
          <w:sz w:val="21"/>
          <w:szCs w:val="21"/>
          <w:color w:val="auto"/>
        </w:rPr>
      </w:pPr>
    </w:p>
    <w:p>
      <w:pPr>
        <w:ind w:left="660" w:hanging="328"/>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Capped Call Transactions may affect the value of the Notes and our common stock.</w:t>
      </w:r>
    </w:p>
    <w:p>
      <w:pPr>
        <w:spacing w:after="0" w:line="7" w:lineRule="exact"/>
        <w:rPr>
          <w:rFonts w:ascii="Arial" w:cs="Arial" w:eastAsia="Arial" w:hAnsi="Arial"/>
          <w:sz w:val="18"/>
          <w:szCs w:val="18"/>
          <w:color w:val="231F20"/>
        </w:rPr>
      </w:pPr>
    </w:p>
    <w:p>
      <w:pPr>
        <w:ind w:left="660" w:hanging="328"/>
        <w:spacing w:after="0"/>
        <w:tabs>
          <w:tab w:leader="none" w:pos="66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We are subject to counterparty risk with respect to the Capped Call Transactions.</w:t>
      </w: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operating losses since inception and cannot assure you that we will achieve sustained profitability.*</w:t>
      </w:r>
    </w:p>
    <w:p>
      <w:pPr>
        <w:spacing w:after="0" w:line="225" w:lineRule="exact"/>
        <w:rPr>
          <w:sz w:val="20"/>
          <w:szCs w:val="20"/>
          <w:color w:val="auto"/>
        </w:rPr>
      </w:pPr>
    </w:p>
    <w:p>
      <w:pPr>
        <w:ind w:right="20" w:firstLine="810"/>
        <w:spacing w:after="0" w:line="301" w:lineRule="auto"/>
        <w:rPr>
          <w:sz w:val="20"/>
          <w:szCs w:val="20"/>
          <w:color w:val="auto"/>
        </w:rPr>
      </w:pPr>
      <w:r>
        <w:rPr>
          <w:rFonts w:ascii="Arial" w:cs="Arial" w:eastAsia="Arial" w:hAnsi="Arial"/>
          <w:sz w:val="16"/>
          <w:szCs w:val="16"/>
          <w:color w:val="auto"/>
        </w:rPr>
        <w:t>Since our inception in January 2006, we have incurred a significant net loss. As of June 30, 2021, we had an accumulated deficit of $651.2 million. To date, we have funded our operations primarily through cash collected from product sales, private and public offerings of our equity securities, and debt financing. We have devoted substantially all of our resources to the design, development and commercialization of our products, the scaling of our manufacturing and business operations, and the research and development of our current products and products under development.</w:t>
      </w:r>
    </w:p>
    <w:p>
      <w:pPr>
        <w:spacing w:after="0" w:line="157" w:lineRule="exact"/>
        <w:rPr>
          <w:sz w:val="20"/>
          <w:szCs w:val="20"/>
          <w:color w:val="auto"/>
        </w:rPr>
      </w:pPr>
    </w:p>
    <w:p>
      <w:pPr>
        <w:ind w:right="40" w:firstLine="810"/>
        <w:spacing w:after="0" w:line="263" w:lineRule="auto"/>
        <w:rPr>
          <w:sz w:val="20"/>
          <w:szCs w:val="20"/>
          <w:color w:val="auto"/>
        </w:rPr>
      </w:pPr>
      <w:r>
        <w:rPr>
          <w:rFonts w:ascii="Arial" w:cs="Arial" w:eastAsia="Arial" w:hAnsi="Arial"/>
          <w:sz w:val="18"/>
          <w:szCs w:val="18"/>
          <w:color w:val="auto"/>
        </w:rPr>
        <w:t>We began commercial sales of our first product, t:slim, in August 2012 and our current flagship pump platform, t:slim X2, in October 2016. The t:slim X2 insulin pump now represents 100% of new pump shipments. Until the third quarter of 2018 we were selling our products only in the United States and have since launched our products in select international geographies.</w:t>
      </w:r>
    </w:p>
    <w:p>
      <w:pPr>
        <w:spacing w:after="0" w:line="184" w:lineRule="exact"/>
        <w:rPr>
          <w:sz w:val="20"/>
          <w:szCs w:val="20"/>
          <w:color w:val="auto"/>
        </w:rPr>
      </w:pPr>
    </w:p>
    <w:p>
      <w:pPr>
        <w:ind w:right="60" w:firstLine="810"/>
        <w:spacing w:after="0" w:line="259" w:lineRule="auto"/>
        <w:rPr>
          <w:sz w:val="20"/>
          <w:szCs w:val="20"/>
          <w:color w:val="auto"/>
        </w:rPr>
      </w:pPr>
      <w:r>
        <w:rPr>
          <w:rFonts w:ascii="Arial" w:cs="Arial" w:eastAsia="Arial" w:hAnsi="Arial"/>
          <w:sz w:val="18"/>
          <w:szCs w:val="18"/>
          <w:color w:val="auto"/>
        </w:rPr>
        <w:t>Since the first quarter of 2013, we have been able to manufacture and sell our insulin pump products at a cost and in volumes sufficient to allow us to achieve a positive overall gross margin. For the years ended December 31, 2020 and 2019, our gross profit was $194.2 million and $89.8 million, respectively. Although we have achieved a positive overall gross margin and have substantially reduced our operating loss, we still operate at a net loss on an annual basis and expect that we may continue to do so for the foreseeable future.</w:t>
      </w:r>
    </w:p>
    <w:p>
      <w:pPr>
        <w:spacing w:after="0" w:line="187" w:lineRule="exact"/>
        <w:rPr>
          <w:sz w:val="20"/>
          <w:szCs w:val="20"/>
          <w:color w:val="auto"/>
        </w:rPr>
      </w:pPr>
    </w:p>
    <w:p>
      <w:pPr>
        <w:jc w:val="both"/>
        <w:ind w:right="120" w:firstLine="810"/>
        <w:spacing w:after="0" w:line="287" w:lineRule="auto"/>
        <w:rPr>
          <w:sz w:val="20"/>
          <w:szCs w:val="20"/>
          <w:color w:val="auto"/>
        </w:rPr>
      </w:pPr>
      <w:r>
        <w:rPr>
          <w:rFonts w:ascii="Arial" w:cs="Arial" w:eastAsia="Arial" w:hAnsi="Arial"/>
          <w:sz w:val="16"/>
          <w:szCs w:val="16"/>
          <w:color w:val="auto"/>
        </w:rPr>
        <w:t>To implement our business strategy and achieve consistent profitability, we need to, among other things, increase sales of our products and the gross profit associated with those sales, maintain an appropriate customer service, training and support infrastructure, fund ongoing R&amp;D activities, create additional efficiencies in our manufacturing processes while adding to our capacity, and obtain regulatory clearance or approval to commercialize</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products currently under development both domestically and internationally. We expect our expenses will continue to increase as we pursue these objectives and make investments in our business. Additional increases in our expenses without commensurate increases in sales could significantly increase our operating losses.</w:t>
      </w:r>
    </w:p>
    <w:p>
      <w:pPr>
        <w:spacing w:after="0" w:line="190"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The extent of our future operating losses and the timing of our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the timing of regulatory approval of our products and the products of our competitors, the actual efficiencies gained in our manufacturing processes, and the scope and duration of the impacts caused by the COVID-19 global pandemic. Any additional operating losses will have an adverse effect on our stockholders’ equity, and we cannot assure you that we will be able to sustain profitability.</w:t>
      </w:r>
    </w:p>
    <w:p>
      <w:pPr>
        <w:spacing w:after="0" w:line="16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70"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We generate nearly all of our revenue from the sale of t:slim X2 insulin pumps and the related insulin cartridges and infusion sets. Sales of these products may be negatively impacted by many factors, including:</w:t>
      </w:r>
    </w:p>
    <w:p>
      <w:pPr>
        <w:spacing w:after="0" w:line="170" w:lineRule="exact"/>
        <w:rPr>
          <w:sz w:val="20"/>
          <w:szCs w:val="20"/>
          <w:color w:val="auto"/>
        </w:rPr>
      </w:pPr>
    </w:p>
    <w:p>
      <w:pPr>
        <w:ind w:left="1960" w:right="780" w:hanging="656"/>
        <w:spacing w:after="0" w:line="277" w:lineRule="auto"/>
        <w:tabs>
          <w:tab w:leader="none" w:pos="19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acceptance of the insulin pumps and related products manufactured and sold by our key competitors, including Medtronic;</w:t>
      </w:r>
    </w:p>
    <w:p>
      <w:pPr>
        <w:spacing w:after="0" w:line="170" w:lineRule="exact"/>
        <w:rPr>
          <w:rFonts w:ascii="Arial" w:cs="Arial" w:eastAsia="Arial" w:hAnsi="Arial"/>
          <w:sz w:val="18"/>
          <w:szCs w:val="18"/>
          <w:color w:val="auto"/>
        </w:rPr>
      </w:pPr>
    </w:p>
    <w:p>
      <w:pPr>
        <w:ind w:left="1960" w:right="180" w:hanging="656"/>
        <w:spacing w:after="0" w:line="277" w:lineRule="auto"/>
        <w:tabs>
          <w:tab w:leader="none" w:pos="19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that breakthroughs for the monitoring, treatment or prevention of diabetes may render our insulin pumps obsolete or less desirable;</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products, or similar products or technologies of our competitors;</w:t>
      </w:r>
    </w:p>
    <w:p>
      <w:pPr>
        <w:spacing w:after="0" w:line="225" w:lineRule="exact"/>
        <w:rPr>
          <w:rFonts w:ascii="Arial" w:cs="Arial" w:eastAsia="Arial" w:hAnsi="Arial"/>
          <w:sz w:val="18"/>
          <w:szCs w:val="18"/>
          <w:color w:val="auto"/>
        </w:rPr>
      </w:pPr>
    </w:p>
    <w:p>
      <w:pPr>
        <w:ind w:left="1960" w:right="240" w:hanging="656"/>
        <w:spacing w:after="0" w:line="277" w:lineRule="auto"/>
        <w:tabs>
          <w:tab w:leader="none" w:pos="19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reimbursement rates or policies relating to insulin pumps or similar products or technologies by third-party payors;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40" w:hanging="636"/>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enter into contracts with third-party payors on a timely basis and on acceptable terms;</w:t>
      </w:r>
    </w:p>
    <w:p>
      <w:pPr>
        <w:spacing w:after="0" w:line="225" w:lineRule="exact"/>
        <w:rPr>
          <w:rFonts w:ascii="Arial" w:cs="Arial" w:eastAsia="Arial" w:hAnsi="Arial"/>
          <w:sz w:val="18"/>
          <w:szCs w:val="18"/>
          <w:color w:val="auto"/>
        </w:rPr>
      </w:pPr>
    </w:p>
    <w:p>
      <w:pPr>
        <w:ind w:left="1960" w:right="480" w:hanging="656"/>
        <w:spacing w:after="0" w:line="277" w:lineRule="auto"/>
        <w:tabs>
          <w:tab w:leader="none" w:pos="19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problems arising from the expansion of our manufacturing capabilities and commercial operations, or destruction, loss, or temporary shutdown of our manufacturing facilities;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concerns regarding the perceived safety or reliability of any of our products, or any component thereof; and</w:t>
      </w:r>
    </w:p>
    <w:p>
      <w:pPr>
        <w:spacing w:after="0" w:line="225" w:lineRule="exact"/>
        <w:rPr>
          <w:rFonts w:ascii="Arial" w:cs="Arial" w:eastAsia="Arial" w:hAnsi="Arial"/>
          <w:sz w:val="18"/>
          <w:szCs w:val="18"/>
          <w:color w:val="auto"/>
        </w:rPr>
      </w:pPr>
    </w:p>
    <w:p>
      <w:pPr>
        <w:ind w:left="1960" w:right="40" w:hanging="656"/>
        <w:spacing w:after="0" w:line="277" w:lineRule="auto"/>
        <w:tabs>
          <w:tab w:leader="none" w:pos="19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claims that any of our products, or any component thereof, infringes on patent rights or other intellectual property rights of third parties.</w:t>
      </w:r>
    </w:p>
    <w:p>
      <w:pPr>
        <w:spacing w:after="0" w:line="170" w:lineRule="exact"/>
        <w:rPr>
          <w:sz w:val="20"/>
          <w:szCs w:val="20"/>
          <w:color w:val="auto"/>
        </w:rPr>
      </w:pPr>
    </w:p>
    <w:p>
      <w:pPr>
        <w:ind w:right="180" w:firstLine="810"/>
        <w:spacing w:after="0" w:line="272" w:lineRule="auto"/>
        <w:rPr>
          <w:sz w:val="20"/>
          <w:szCs w:val="20"/>
          <w:color w:val="auto"/>
        </w:rPr>
      </w:pPr>
      <w:r>
        <w:rPr>
          <w:rFonts w:ascii="Arial" w:cs="Arial" w:eastAsia="Arial" w:hAnsi="Arial"/>
          <w:sz w:val="17"/>
          <w:szCs w:val="17"/>
          <w:color w:val="auto"/>
        </w:rPr>
        <w:t>In addition, sales of any of our current or future insulin pump products with CGM integration are subject to the continuation of our applicable agreements with Dexcom, Abbott, or other third parties which, under some circumstances, may be subject to termination, with or without cause, on relatively short notice. Sales of our current or future products may also be negatively impacted in the event of any regulatory or legal actions relating to CGM products that are compatible with our pumps, or in the event of any disruption to the availability of the applicable CGM-related supplies, such as sensors or transmitters, in a given market in which our products are sold. Sales of our products may also be adversely impacted if the CGM products that are compatible with our pumps are not viewed as superior to competing CGM products in markets where our products are sold, or if the price of these products is not competitive with similar products available in the market.</w:t>
      </w:r>
    </w:p>
    <w:p>
      <w:pPr>
        <w:spacing w:after="0" w:line="177"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Because we currently rely on sales of our t:slim X2 insulin pump and related products to generate a significant majority of our revenue, any factors that negatively impact sales of these products (or negatively impact the products or components integrated with these products), or result in sales of these products increasing at a lower rate than expected, could adversely affect our business, financial condition and operating results. We believe the COVID-19 global pandemic has had, and that it may continue to have, an adverse impact on sales of our products. For instance, we have seen examples of customers delaying their purchasing decisions or physicians pausing prescriptions for our products. It could also have the effect of magnifying the negative impact of any of the factors described above.</w:t>
      </w:r>
    </w:p>
    <w:p>
      <w:pPr>
        <w:spacing w:after="0" w:line="1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Public health threats, such as the COVID-19 global pandemic, have had and could continue to have a material adverse effect on our operations, the operations of our business partners, and the global economy as a whole.*</w:t>
      </w:r>
    </w:p>
    <w:p>
      <w:pPr>
        <w:spacing w:after="0" w:line="130"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Public health threats and other highly communicable diseases and outbreaks could adversely impact our operations, the operations of our customers, suppliers, distributors and other business partners, as well as the healthcare system in general. For example, the COVID-19 global pandemic, which is currently affecting numerous countries throughout the world, resulted in a rapid and sustained rise in unemployment rates and decreases in global economic activity. While economic activity in the United States began to increase during the second quarter of 2021, the overall scope of the COVID-19 global pandemic and its impacts continue to fluctuate, and in some instances worsen, in various regions worldwide. The overall negative impact from the COVID-19 global pandemic is difficult to estimate; however, we anticipate that our sales and operating results will continue to be adversely impacted in future periods and subject to unpredictable variability even if travel and social distancing restrictions are lifted. In addition, the rise in unemployment and decreases in economic activity in various regions worldwide due to the COVID-19 global pandemic may negatively impact the affordability of our products for certain customers, which could reduce demand for our products. Further, certain development activities originally planned to occur during 2020, such as human factors studies associated with our product development efforts and activities to support the manufacturing scale-up for new products, were modified or delayed due to impacts of the COVID-19 global pandemic, which has impacted our development timelines and regulatory strategies and also could have a negative impact on our product commercialization efforts and the future demand for our products.</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810"/>
        <w:spacing w:after="0" w:line="286" w:lineRule="auto"/>
        <w:rPr>
          <w:sz w:val="20"/>
          <w:szCs w:val="20"/>
          <w:color w:val="auto"/>
        </w:rPr>
      </w:pPr>
      <w:r>
        <w:rPr>
          <w:rFonts w:ascii="Arial" w:cs="Arial" w:eastAsia="Arial" w:hAnsi="Arial"/>
          <w:sz w:val="16"/>
          <w:szCs w:val="16"/>
          <w:color w:val="auto"/>
        </w:rPr>
        <w:t>The COVID-19 global pandemic, or other similar outbreaks or epidemics, may have an adverse effect on the overall productivity of our workforce, and we expect to continue to take appropriate measures to protect the health and safety of our employees and our business partners and reduce the risk of disruptions to our operations. For example, we continue to restrict employee travel and limit visitors to our facilities, and many of our employees who are able to perform their job function outside of our facilities remain in a remote work environment. For our field-based sales and clinical employees, we initially discontinued all in-person activities and began utilizing technology to remotely engage healthcare providers and customers. Where permitted, in-person activities for our field-based sales and clinical employees have resumed on a limited basis and are gradually increasing, though the scope and scale vary by geography and we still rely heavily on remote engagement. For our employees in manufacturing and warehousing positions involved in production and fulfillment operations, we have implemented health and safety protocols in compliance with applicable government orders and expert agency guidance. We temporarily increased our staffing in certain operations in order to mitigate potential risks associated with increases in unplanned employee absences or illness. Our adoption of these preventive measures has resulted in incremental costs that have negatively impacted our gross margin, and could impact future periods. In addition, for the duration of the COVID-19 global pandemic, some of our employees may be required to continue to operate within a remote work environment for extended periods of time due to illness, travel restrictions, government-imposed orders, school closures or for other reasons, any of which could result in reduced productivity of our workforce. As the COVID-19 global pandemic improves, we anticipate that more of our employees will return to working in our facilities under modified conditions. We are implementing protocols and safety measures and for the time being are continuing to limit the number of employees allowed in our facilities while planning for increased occupancy at a later date.</w:t>
      </w:r>
    </w:p>
    <w:p>
      <w:pPr>
        <w:spacing w:after="0" w:line="167" w:lineRule="exact"/>
        <w:rPr>
          <w:sz w:val="20"/>
          <w:szCs w:val="20"/>
          <w:color w:val="auto"/>
        </w:rPr>
      </w:pPr>
    </w:p>
    <w:p>
      <w:pPr>
        <w:ind w:right="40" w:firstLine="810"/>
        <w:spacing w:after="0" w:line="287" w:lineRule="auto"/>
        <w:rPr>
          <w:sz w:val="20"/>
          <w:szCs w:val="20"/>
          <w:color w:val="auto"/>
        </w:rPr>
      </w:pPr>
      <w:r>
        <w:rPr>
          <w:rFonts w:ascii="Arial" w:cs="Arial" w:eastAsia="Arial" w:hAnsi="Arial"/>
          <w:sz w:val="16"/>
          <w:szCs w:val="16"/>
          <w:color w:val="auto"/>
        </w:rPr>
        <w:t>In addition to the foregoing impacts, disruptions from the COVID-19 global pandemic, or other similar outbreaks or epidemics, could result in delays in or the suspension of our manufacturing operations, research and product development activities, regulatory work streams, clinical development programs and other important commercial functions. In particular, if we or our third-party manufacturers are required to delay or suspend our manufacturing operations, we may encounter severe product shortages, which would adversely affect our results of operations and harm our reputation. We are also dependent upon our third-party suppliers for many of our product components and for our manufacturing-related equipment, and the COVID-19 global pandemic could have a material adverse impact on the operations of one or more of our suppliers, which could prevent them from delivering products to us or supporting our requirements for manufacturing-related equipment on a timely basis, or at all. For example, we continue to focus on increasing our cartridge inventory to targeted levels, but there can be no assurance that we or our third-party cartridge manufacturer will be able to manufacture cartridges in the quantities we require to meet product demand. In addition, at various times since 2020 our primary infusion set manufacturer experienced certain inventory constraints. There can be no assurance our supplier will be able to provide infusion sets in the quantities we require to meet customer demand. Additionally, global shortages of semiconductors and copper could limit our insulin pump manufacturing capacity in the future. If we experience these or similar manufacturing challenges in the future, it could have a negative impact on product sales and harm our reputation.</w:t>
      </w:r>
    </w:p>
    <w:p>
      <w:pPr>
        <w:spacing w:after="0" w:line="141" w:lineRule="exact"/>
        <w:rPr>
          <w:sz w:val="20"/>
          <w:szCs w:val="20"/>
          <w:color w:val="auto"/>
        </w:rPr>
      </w:pPr>
    </w:p>
    <w:p>
      <w:pPr>
        <w:ind w:right="100" w:firstLine="810"/>
        <w:spacing w:after="0" w:line="257" w:lineRule="auto"/>
        <w:rPr>
          <w:sz w:val="20"/>
          <w:szCs w:val="20"/>
          <w:color w:val="auto"/>
        </w:rPr>
      </w:pPr>
      <w:r>
        <w:rPr>
          <w:rFonts w:ascii="Arial" w:cs="Arial" w:eastAsia="Arial" w:hAnsi="Arial"/>
          <w:sz w:val="18"/>
          <w:szCs w:val="18"/>
          <w:color w:val="auto"/>
        </w:rPr>
        <w:t>The full extent of the impact of the COVID-19 global pandemic on our business and operations is highly uncertain and subject to change, and will continue to depend on a number of factors, including the scope and duration of the pandemic. Further spread or escalation of the COVID-19 global pandemic, a resurgence of the pandemic in the United States, or even the threat or perception that this could occur, or any protracted duration of decreased economic activity, could have a material adverse impact on our business, operations and financial results and could negatively impact or disrupt our plans to have employees return to our facilities.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and grow our revenue depends in part on retaining a high percentage of our customer base.*</w:t>
      </w:r>
    </w:p>
    <w:p>
      <w:pPr>
        <w:spacing w:after="0" w:line="225" w:lineRule="exact"/>
        <w:rPr>
          <w:sz w:val="20"/>
          <w:szCs w:val="20"/>
          <w:color w:val="auto"/>
        </w:rPr>
      </w:pPr>
    </w:p>
    <w:p>
      <w:pPr>
        <w:ind w:right="160" w:firstLine="810"/>
        <w:spacing w:after="0" w:line="269" w:lineRule="auto"/>
        <w:rPr>
          <w:sz w:val="20"/>
          <w:szCs w:val="20"/>
          <w:color w:val="auto"/>
        </w:rPr>
      </w:pPr>
      <w:r>
        <w:rPr>
          <w:rFonts w:ascii="Arial" w:cs="Arial" w:eastAsia="Arial" w:hAnsi="Arial"/>
          <w:sz w:val="17"/>
          <w:szCs w:val="17"/>
          <w:color w:val="auto"/>
        </w:rPr>
        <w:t>A key to maintaining and growing our revenue is the retention of a high percentage of our customers due to the potentially significant revenue generated from ongoing purchases of disposable infusion sets, insulin cartridges and other supplies. In addition, our pumps are designed and tested to remain effective for at least four years and a customer may consider purchasing another product from us when the time comes to replace the pump. We have developed retention programs aimed at our customers, their caregivers and healthcare providers, which include training specific to our products, ongoing support by our sales and clinical employees, and technical support and customer service. Demand for our products from our existing customers could decline or could fail to increase as anticipated or projected as a result of a number of factors, including the introduction of competitive products, breakthroughs for the monitoring, treatment or prevention of diabetes, changes in reimbursement rates or policies, manufacturing problems, perceived safety or reliability issues with our products or components or the products of our competitors, the failure to secure regulatory clearance or approvals for products or product features in a timely manner or at all, product development or commercialization delays, the impacts and disruptions caused by the COVID-19 global pandemic, or for other reasons.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Further, the COVID-19 global pandemic has resulted in substantial restrictions on our engagement efforts with customers and healthcare providers, including the cancellation or postponement of company-sponsored educational events, as well as third-party conferences, trade shows and similar events. The impact continues even as some third-party conferences, trade shows and events are being held remotely from time to time, which restricts our engagement with customers and healthcare providers. These restrictions have negatively impacted, and are likely to continue negatively impacting, our ability to promote our new products and features to customers and healthcare providers, which could adversely impact our product sales and customer retention rates, as well as the strength of our brand.</w:t>
      </w:r>
    </w:p>
    <w:p>
      <w:pPr>
        <w:spacing w:after="0" w:line="192" w:lineRule="exact"/>
        <w:rPr>
          <w:sz w:val="20"/>
          <w:szCs w:val="20"/>
          <w:color w:val="auto"/>
        </w:rPr>
      </w:pPr>
    </w:p>
    <w:p>
      <w:pPr>
        <w:ind w:right="580" w:firstLine="810"/>
        <w:spacing w:after="0" w:line="277" w:lineRule="auto"/>
        <w:rPr>
          <w:sz w:val="20"/>
          <w:szCs w:val="20"/>
          <w:color w:val="auto"/>
        </w:rPr>
      </w:pPr>
      <w:r>
        <w:rPr>
          <w:rFonts w:ascii="Arial" w:cs="Arial" w:eastAsia="Arial" w:hAnsi="Arial"/>
          <w:sz w:val="18"/>
          <w:szCs w:val="18"/>
          <w:color w:val="auto"/>
        </w:rPr>
        <w:t>The failure to retain a high percentage of our customers and increase sales to these customers consistent with our forecasts would have a material adverse effect on our business, financial condition and operating results.</w:t>
      </w:r>
    </w:p>
    <w:p>
      <w:pPr>
        <w:spacing w:after="0" w:line="130"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b w:val="1"/>
          <w:bCs w:val="1"/>
          <w:i w:val="1"/>
          <w:iCs w:val="1"/>
          <w:color w:val="auto"/>
        </w:rPr>
        <w:t>We operate in a very competitive industry and if we fail to compete successfully against our existing or potential competitors, or if the competitive environment harms our business partners, our financial condition and operating results may be negatively affected.*</w:t>
      </w:r>
    </w:p>
    <w:p>
      <w:pPr>
        <w:spacing w:after="0" w:line="124" w:lineRule="exact"/>
        <w:rPr>
          <w:sz w:val="20"/>
          <w:szCs w:val="20"/>
          <w:color w:val="auto"/>
        </w:rPr>
      </w:pPr>
    </w:p>
    <w:p>
      <w:pPr>
        <w:jc w:val="both"/>
        <w:ind w:firstLine="810"/>
        <w:spacing w:after="0" w:line="311" w:lineRule="auto"/>
        <w:rPr>
          <w:sz w:val="20"/>
          <w:szCs w:val="20"/>
          <w:color w:val="auto"/>
        </w:rPr>
      </w:pPr>
      <w:r>
        <w:rPr>
          <w:rFonts w:ascii="Arial" w:cs="Arial" w:eastAsia="Arial" w:hAnsi="Arial"/>
          <w:sz w:val="16"/>
          <w:szCs w:val="16"/>
          <w:color w:val="auto"/>
        </w:rPr>
        <w:t>The medical device industry is intensely competitive, subject to rapid change and highly sensitive to the introduction of new products, treatment techniques or technologies, as well as other activities of industry participants. We believe our products compete, and will continue to compete, directly with a number of traditional insulin pumps, as well as other methods for the treatment of diabetes, including multiple daily injection (MDI) therapy.</w:t>
      </w:r>
    </w:p>
    <w:p>
      <w:pPr>
        <w:spacing w:after="0" w:line="149"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Our primary competitors are major medical device companies that are publicly traded companies or divisions or subsidiaries of publicly traded companies, including Insulet and Medtronic. In addition, Eli Lilly has announced a collaboration to commercialize an insulin pump currently under development by a third party. There are also a number of other companies developing and marketing their own insulin delivery systems and/or related software applications, including insulin pumps and Bluetooth-enabled insulin pens to support MDI therapy. While these industry changes are significant, it is difficult to know how they will impact our business or the competitive landscape in which we operate. Our key competitors, most notably Medtronic, enjoy several competitive advantages over us, including:</w:t>
      </w:r>
    </w:p>
    <w:p>
      <w:pPr>
        <w:spacing w:after="0" w:line="192" w:lineRule="exact"/>
        <w:rPr>
          <w:sz w:val="20"/>
          <w:szCs w:val="20"/>
          <w:color w:val="auto"/>
        </w:rPr>
      </w:pPr>
    </w:p>
    <w:p>
      <w:pPr>
        <w:ind w:left="1940" w:hanging="636"/>
        <w:spacing w:after="0"/>
        <w:tabs>
          <w:tab w:leader="none" w:pos="19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greater financial and human resources for sales and marketing, product development, customer service and clinical resources;</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ability to respond to competitive pressures, regulatory uncertainty, or challenges within the financial markets;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established relationships with healthcare providers, third-party payors and regulatory agencies;</w:t>
      </w:r>
    </w:p>
    <w:p>
      <w:pPr>
        <w:spacing w:after="0" w:line="225" w:lineRule="exact"/>
        <w:rPr>
          <w:rFonts w:ascii="Arial" w:cs="Arial" w:eastAsia="Arial" w:hAnsi="Arial"/>
          <w:sz w:val="18"/>
          <w:szCs w:val="18"/>
          <w:color w:val="auto"/>
        </w:rPr>
      </w:pPr>
    </w:p>
    <w:p>
      <w:pPr>
        <w:ind w:left="1960" w:right="180" w:hanging="656"/>
        <w:spacing w:after="0" w:line="277" w:lineRule="auto"/>
        <w:tabs>
          <w:tab w:leader="none" w:pos="1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established reputation and name recognition among healthcare providers and other key opinion leaders in the medical industry generally and the diabetes industry in particular;</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larger and more established distribution networks;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ability to cross-sell products or provide incentives to healthcare providers to use their products;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more experience in conducting R&amp;D, manufacturing, clinical trials, and obtaining regulatory approval or clearance.</w:t>
      </w:r>
    </w:p>
    <w:p>
      <w:pPr>
        <w:spacing w:after="0" w:line="225" w:lineRule="exact"/>
        <w:rPr>
          <w:sz w:val="20"/>
          <w:szCs w:val="20"/>
          <w:color w:val="auto"/>
        </w:rPr>
      </w:pPr>
    </w:p>
    <w:p>
      <w:pPr>
        <w:jc w:val="both"/>
        <w:ind w:right="320" w:firstLine="810"/>
        <w:spacing w:after="0" w:line="259" w:lineRule="auto"/>
        <w:rPr>
          <w:sz w:val="20"/>
          <w:szCs w:val="20"/>
          <w:color w:val="auto"/>
        </w:rPr>
      </w:pPr>
      <w:r>
        <w:rPr>
          <w:rFonts w:ascii="Arial" w:cs="Arial" w:eastAsia="Arial" w:hAnsi="Arial"/>
          <w:sz w:val="18"/>
          <w:szCs w:val="18"/>
          <w:color w:val="auto"/>
        </w:rPr>
        <w:t>In some instances, our competitors offer products that include features that we do not currently offer. For instance, Insulet offers an insulin pump with a tubeless delivery system that does not utilize an infusion set and Medtronic recently completed the acquisition of a connected insulin pen delivery device. Additionally, Medtronic recently announced the launch in select European countries of an infusion set that can be worn for up to seven days.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Abbott also offers glucose sensors which compete with Dexcom CGMs. In June 2020, we entered into an agreement with Abbott to develop and commercialize integrated diabetes solutions using Abbott’s glucose sensor. There can be no assurance that our collaborations with Dexcom and Abbott will be successful or that we will not experience delays, business disputes, or other unanticipated challenges. Competitive pressures within our industry, as well as the impacts and disruptions associated with the COVID-19 global pandemic, could negatively impact the financial condition of our business partners and impact their ability to fulfill contractual obligations to us, which could negatively impact our product sales, result in delays in obtaining regulatory approvals for new products, harm our reputation, and result in harm to our financial condition and operating results.</w:t>
      </w:r>
    </w:p>
    <w:p>
      <w:pPr>
        <w:spacing w:after="0" w:line="166"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color w:val="auto"/>
        </w:rPr>
        <w:t>For these and other reasons, we may not be able to compete successfully against our current or potential future competitors, which could have a material adverse impact on our financial condition and operating results.</w:t>
      </w:r>
    </w:p>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Competitive products or other technological developments and breakthroughs for the monitoring, treatment or prevention of diabetes may render our products obsolete or less desirable.</w:t>
      </w:r>
    </w:p>
    <w:p>
      <w:pPr>
        <w:spacing w:after="0" w:line="170" w:lineRule="exact"/>
        <w:rPr>
          <w:sz w:val="20"/>
          <w:szCs w:val="20"/>
          <w:color w:val="auto"/>
        </w:rPr>
      </w:pPr>
    </w:p>
    <w:p>
      <w:pPr>
        <w:ind w:right="200" w:firstLine="810"/>
        <w:spacing w:after="0" w:line="290" w:lineRule="auto"/>
        <w:rPr>
          <w:sz w:val="20"/>
          <w:szCs w:val="20"/>
          <w:color w:val="auto"/>
        </w:rPr>
      </w:pPr>
      <w:r>
        <w:rPr>
          <w:rFonts w:ascii="Arial" w:cs="Arial" w:eastAsia="Arial" w:hAnsi="Arial"/>
          <w:sz w:val="16"/>
          <w:szCs w:val="16"/>
          <w:color w:val="auto"/>
        </w:rPr>
        <w:t>Our ability to grow our business and achieve our strategic objectives will depend, among other things, on our ability to develop and commercialize products for the treatment of diabetes that offer distinct features and functionality, are easy-to-use, provide superior treatment outcomes, receive adequate coverage and reimbursement from third-party payors, and are otherwise more appealing than available alternatives. Our primary competitors, as well as a number of other companies and medical researchers are pursuing new delivery devices, delivery technologies,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65" w:lineRule="exact"/>
        <w:rPr>
          <w:sz w:val="20"/>
          <w:szCs w:val="20"/>
          <w:color w:val="auto"/>
        </w:rPr>
      </w:pPr>
    </w:p>
    <w:p>
      <w:pPr>
        <w:ind w:right="100" w:firstLine="810"/>
        <w:spacing w:after="0" w:line="291" w:lineRule="auto"/>
        <w:rPr>
          <w:sz w:val="20"/>
          <w:szCs w:val="20"/>
          <w:color w:val="auto"/>
        </w:rPr>
      </w:pPr>
      <w:r>
        <w:rPr>
          <w:rFonts w:ascii="Arial" w:cs="Arial" w:eastAsia="Arial" w:hAnsi="Arial"/>
          <w:sz w:val="16"/>
          <w:szCs w:val="16"/>
          <w:color w:val="auto"/>
        </w:rPr>
        <w:t>Because the insulin-dependent diabetes market is large and growing, we anticipate companies will continue to dedicate significant resources to developing competitive products and technologies. The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 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166"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Moreover, we have designed our hardware products to resemble modern consumer electronic devices to address certain embarrassment and functionality concerns consumers have raised with respect to traditional pumps. Similarly, our newer mobile software applications are being designed to incorporate features and functions that are common to other consumer-oriented applications. These consumer industries are themselves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technology, our products may become less desirable.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The failure of our insulin pump and related products to achieve and maintain market acceptance could result in us achieving sales below our expectations, which would cause our business, financial condition and operating results to be materially and adversely affected.*</w:t>
      </w:r>
    </w:p>
    <w:p>
      <w:pPr>
        <w:spacing w:after="0" w:line="124"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Our current business and growth strategy is highly dependent on our insulin pump and related products achieving and maintaining market acceptance. In order for us to sell our products to people with insulin-dependent diabetes, we must convince them, their caregivers and healthcare providers that our products are an attractive alternative to competitive products for the treatment of diabetes, including traditional insulin pump products and MDI therapies, as well as alternative diabetes monitoring, treatment or prevention methodologies. Market acceptance and adoption of our products depends on educating people with diabetes, as well as their caregivers and healthcare providers, about the distinct features, ease-of-use, beneficial treatment outcomes, and other perceived benefits of our products as compared to competitive products. If we are not successful in convincing existing and potential customers of the benefits of our products, or if we are not able to achieve the support of caregivers and healthcare providers for our products, our sales may decline or we may achieve sales below our expectations.</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Market acceptance of our products could be negatively impacted by many factors, including:</w:t>
      </w:r>
    </w:p>
    <w:p>
      <w:pPr>
        <w:spacing w:after="0" w:line="225" w:lineRule="exact"/>
        <w:rPr>
          <w:sz w:val="20"/>
          <w:szCs w:val="20"/>
          <w:color w:val="auto"/>
        </w:rPr>
      </w:pPr>
    </w:p>
    <w:p>
      <w:pPr>
        <w:ind w:left="1960" w:right="600" w:hanging="656"/>
        <w:spacing w:after="0" w:line="342" w:lineRule="auto"/>
        <w:tabs>
          <w:tab w:leader="none" w:pos="19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123" w:lineRule="exact"/>
        <w:rPr>
          <w:rFonts w:ascii="Arial" w:cs="Arial" w:eastAsia="Arial" w:hAnsi="Arial"/>
          <w:sz w:val="16"/>
          <w:szCs w:val="16"/>
          <w:color w:val="auto"/>
        </w:rPr>
      </w:pPr>
    </w:p>
    <w:p>
      <w:pPr>
        <w:ind w:left="1960" w:hanging="656"/>
        <w:spacing w:after="0" w:line="277" w:lineRule="auto"/>
        <w:tabs>
          <w:tab w:leader="none" w:pos="19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evidence supporting the safety, ease-of-use or other perceived benefits of our products over competitive products or other currently available insulin treatment methodologies;</w:t>
      </w:r>
    </w:p>
    <w:p>
      <w:pPr>
        <w:spacing w:after="0" w:line="170" w:lineRule="exact"/>
        <w:rPr>
          <w:rFonts w:ascii="Arial" w:cs="Arial" w:eastAsia="Arial" w:hAnsi="Arial"/>
          <w:sz w:val="18"/>
          <w:szCs w:val="18"/>
          <w:color w:val="auto"/>
        </w:rPr>
      </w:pPr>
    </w:p>
    <w:p>
      <w:pPr>
        <w:ind w:left="1960" w:right="640" w:hanging="656"/>
        <w:spacing w:after="0" w:line="277" w:lineRule="auto"/>
        <w:tabs>
          <w:tab w:leader="none" w:pos="19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perceived risks or uncertainties associated with the use of our products, or components thereof, or of similar products or technologies of our competitors;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results of clinical studies relating to our existing products or products under development or similar competitive products.</w:t>
      </w:r>
    </w:p>
    <w:p>
      <w:pPr>
        <w:spacing w:after="0" w:line="237" w:lineRule="exact"/>
        <w:rPr>
          <w:sz w:val="20"/>
          <w:szCs w:val="20"/>
          <w:color w:val="auto"/>
        </w:rPr>
      </w:pPr>
    </w:p>
    <w:p>
      <w:pPr>
        <w:ind w:firstLine="810"/>
        <w:spacing w:after="0" w:line="275" w:lineRule="auto"/>
        <w:rPr>
          <w:sz w:val="20"/>
          <w:szCs w:val="20"/>
          <w:color w:val="auto"/>
        </w:rPr>
      </w:pPr>
      <w:r>
        <w:rPr>
          <w:rFonts w:ascii="Arial" w:cs="Arial" w:eastAsia="Arial" w:hAnsi="Arial"/>
          <w:sz w:val="17"/>
          <w:szCs w:val="17"/>
          <w:color w:val="auto"/>
        </w:rPr>
        <w:t>In addition, the rapid evolution of technology and treatment options within our industry may cause consumers to delay the purchase of our products in anticipation of advancements or breakthroughs, or the perception that advancements or breakthroughs could occur, in our products or the products offered by our competitors. It is also possible that consumers interested in purchasing any of our future products currently under development may delay the purchase of one of our current products. We anticipate that customers may continue to delay their purchasing decisions, or physicians may continue to pause prescriptions of our products, as a result of the COVID-19 global pandemic.</w:t>
      </w:r>
    </w:p>
    <w:p>
      <w:pPr>
        <w:spacing w:after="0" w:line="176" w:lineRule="exact"/>
        <w:rPr>
          <w:sz w:val="20"/>
          <w:szCs w:val="20"/>
          <w:color w:val="auto"/>
        </w:rPr>
      </w:pPr>
    </w:p>
    <w:p>
      <w:pPr>
        <w:ind w:right="500" w:firstLine="810"/>
        <w:spacing w:after="0" w:line="308" w:lineRule="auto"/>
        <w:rPr>
          <w:sz w:val="20"/>
          <w:szCs w:val="20"/>
          <w:color w:val="auto"/>
        </w:rPr>
      </w:pPr>
      <w:r>
        <w:rPr>
          <w:rFonts w:ascii="Arial" w:cs="Arial" w:eastAsia="Arial" w:hAnsi="Arial"/>
          <w:sz w:val="17"/>
          <w:szCs w:val="17"/>
          <w:color w:val="auto"/>
        </w:rPr>
        <w:t>If our insulin pump products do not achieve and maintain widespread market acceptance, we may fail to achieve sales consistent with our projections, in which case our business, financial condition and operating results could be materially and adversely affected.</w:t>
      </w:r>
    </w:p>
    <w:p>
      <w:pPr>
        <w:spacing w:after="0" w:line="1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70" w:lineRule="exact"/>
        <w:rPr>
          <w:sz w:val="20"/>
          <w:szCs w:val="20"/>
          <w:color w:val="auto"/>
        </w:rPr>
      </w:pPr>
    </w:p>
    <w:p>
      <w:pPr>
        <w:ind w:right="20" w:firstLine="810"/>
        <w:spacing w:after="0" w:line="301" w:lineRule="auto"/>
        <w:rPr>
          <w:sz w:val="20"/>
          <w:szCs w:val="20"/>
          <w:color w:val="auto"/>
        </w:rPr>
      </w:pPr>
      <w:r>
        <w:rPr>
          <w:rFonts w:ascii="Arial" w:cs="Arial" w:eastAsia="Arial" w:hAnsi="Arial"/>
          <w:sz w:val="16"/>
          <w:szCs w:val="16"/>
          <w:color w:val="auto"/>
        </w:rPr>
        <w:t>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both domestically and internationally, is essential to the acceptance of our products by customers.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810"/>
        <w:spacing w:after="0" w:line="287" w:lineRule="auto"/>
        <w:rPr>
          <w:sz w:val="20"/>
          <w:szCs w:val="20"/>
          <w:color w:val="auto"/>
        </w:rPr>
      </w:pPr>
      <w:r>
        <w:rPr>
          <w:rFonts w:ascii="Arial" w:cs="Arial" w:eastAsia="Arial" w:hAnsi="Arial"/>
          <w:sz w:val="16"/>
          <w:szCs w:val="16"/>
          <w:color w:val="auto"/>
        </w:rPr>
        <w:t>As guidelines in setting their coverage and reimbursement policies, many third-party payors in the United States use coverage decisions and payment amounts determined by the Centers for Medicare and Medicaid Services (CMS), which administers the U.S. Medicare program. Medicare periodically reviews its reimbursement practices for diabetes-related products, and there is uncertainty as to the future Medicare reimbursement rate for our products. Effective January 1, 2020, in addition to the existing reimbursement code for insulin pumps, CMS established additional reimbursement codes for insulin pumps with AID and CGM integration and associated supplies. In light of complexities surrounding use and payment of the codes, CMS subsequently determined the new codes will not be valid for Medicare submission at this time. It is also possible that CMS may continue to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Further, it is possible that some third-party payors will not offer any coverage for our current or future products. For instance, it is possible that third-party payors may adopt policies in the future that designate one or more of our competitors as their preferred, in-network durable medical equipment provider of insulin pumps and that such policies would discourage or prohibit the payors’ members from purchasing our products, which would adversely impact our ability to sell our products.</w:t>
      </w:r>
    </w:p>
    <w:p>
      <w:pPr>
        <w:spacing w:after="0" w:line="168"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We currently have contracts establishing reimbursement for our insulin pump products with a number of national and regional third-party payors in the United States. While we may enter into additional contracts both domestically and internationally with third-party payors and add coverage for future products under our current agreements, we cannot guarantee that we will succeed in doing so or that the reimbursement contracts that we are able to negotiate will enable us to sell our products on a profitable basis. In particular, we have limited experience securing reimbursement in international markets. Government involvement in funding healthcare may limit access to or reimbursement for the Company’s products. In addition, existing contracts with third-party payors generally include numerous quality and compliance related requirements, including audit rights, and can be modified or terminated by the third-party payor without cause and with little or no notice to us. Our compliance with the administrative procedures or requirements may result in increased costs for us and delays in processing approvals by those third-party payors for customers to obtain coverage for our products, and any payor audits of our compliance obligations may result in requests for refunds or other costs.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72" w:lineRule="exact"/>
        <w:rPr>
          <w:sz w:val="20"/>
          <w:szCs w:val="20"/>
          <w:color w:val="auto"/>
        </w:rPr>
      </w:pPr>
    </w:p>
    <w:p>
      <w:pPr>
        <w:ind w:right="220" w:firstLine="810"/>
        <w:spacing w:after="0" w:line="259" w:lineRule="auto"/>
        <w:rPr>
          <w:sz w:val="20"/>
          <w:szCs w:val="20"/>
          <w:color w:val="auto"/>
        </w:rPr>
      </w:pPr>
      <w:r>
        <w:rPr>
          <w:rFonts w:ascii="Arial" w:cs="Arial" w:eastAsia="Arial" w:hAnsi="Arial"/>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face unexpected challenges in marketing and selling our products, and training new customers on the use of our products, which could harm our ability to achieve our sales forecasts.*</w:t>
      </w:r>
    </w:p>
    <w:p>
      <w:pPr>
        <w:spacing w:after="0" w:line="170" w:lineRule="exact"/>
        <w:rPr>
          <w:sz w:val="20"/>
          <w:szCs w:val="20"/>
          <w:color w:val="auto"/>
        </w:rPr>
      </w:pPr>
    </w:p>
    <w:p>
      <w:pPr>
        <w:ind w:right="700" w:firstLine="810"/>
        <w:spacing w:after="0" w:line="263" w:lineRule="auto"/>
        <w:rPr>
          <w:sz w:val="20"/>
          <w:szCs w:val="20"/>
          <w:color w:val="auto"/>
        </w:rPr>
      </w:pPr>
      <w:r>
        <w:rPr>
          <w:rFonts w:ascii="Arial" w:cs="Arial" w:eastAsia="Arial" w:hAnsi="Arial"/>
          <w:sz w:val="18"/>
          <w:szCs w:val="18"/>
          <w:color w:val="auto"/>
        </w:rPr>
        <w:t>We have limited experience marketing and selling our newer products as well as training new customers on their use, particularly in international markets. In addition, the vast majority of our existing customers are individuals with type 1 diabetes, and we have limited experience marketing and selling our products to customers with type 2 diabetes.</w:t>
      </w:r>
    </w:p>
    <w:p>
      <w:pPr>
        <w:spacing w:after="0" w:line="184" w:lineRule="exact"/>
        <w:rPr>
          <w:sz w:val="20"/>
          <w:szCs w:val="20"/>
          <w:color w:val="auto"/>
        </w:rPr>
      </w:pPr>
    </w:p>
    <w:p>
      <w:pPr>
        <w:ind w:right="240" w:firstLine="810"/>
        <w:spacing w:after="0" w:line="255" w:lineRule="auto"/>
        <w:rPr>
          <w:sz w:val="20"/>
          <w:szCs w:val="20"/>
          <w:color w:val="auto"/>
        </w:rPr>
      </w:pPr>
      <w:r>
        <w:rPr>
          <w:rFonts w:ascii="Arial" w:cs="Arial" w:eastAsia="Arial" w:hAnsi="Arial"/>
          <w:sz w:val="18"/>
          <w:szCs w:val="18"/>
          <w:color w:val="auto"/>
        </w:rPr>
        <w:t>In addition, due to the current COVID-19 global pandemic, starting in March 2020 we temporarily discontinued in-person activities for our field-based sales and clinical employees and are utilizing technology to remotely engage healthcare providers and customers. While we have authorized limited in-person activities to resume, many restrictions persist that have been imposed by state and local governmental authorities or expert agencies, as well as by the health systems and professional organizations with which we interact. The scope and duration of these restrictions on our field-based employees remains highly uncertain, and it is difficult to predict the extent of any adverse impacts on the demand for our products resulting from these restrictions.</w:t>
      </w:r>
    </w:p>
    <w:p>
      <w:pPr>
        <w:spacing w:after="0" w:line="192" w:lineRule="exact"/>
        <w:rPr>
          <w:sz w:val="20"/>
          <w:szCs w:val="20"/>
          <w:color w:val="auto"/>
        </w:rPr>
      </w:pPr>
    </w:p>
    <w:p>
      <w:pPr>
        <w:ind w:right="80" w:firstLine="810"/>
        <w:spacing w:after="0" w:line="259" w:lineRule="auto"/>
        <w:rPr>
          <w:sz w:val="20"/>
          <w:szCs w:val="20"/>
          <w:color w:val="auto"/>
        </w:rPr>
      </w:pPr>
      <w:r>
        <w:rPr>
          <w:rFonts w:ascii="Arial" w:cs="Arial" w:eastAsia="Arial" w:hAnsi="Arial"/>
          <w:sz w:val="18"/>
          <w:szCs w:val="18"/>
          <w:color w:val="auto"/>
        </w:rPr>
        <w:t>Our financial condition and operating results are and will continue to be highly dependent on our ability to adequately promote, market and sell our insulin pump and related products, and the ability of our diabetes educators to train new customers on the use of our products. If our sales and marketing representatives or diabetes educators continue to be restricted in their ability to interact with healthcare providers and customers, our sales could decrease or may not increase at levels that are in line with our forecasts.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70" w:lineRule="exact"/>
        <w:rPr>
          <w:sz w:val="20"/>
          <w:szCs w:val="20"/>
          <w:color w:val="auto"/>
        </w:rPr>
      </w:pPr>
    </w:p>
    <w:p>
      <w:pPr>
        <w:ind w:firstLine="810"/>
        <w:spacing w:after="0" w:line="268" w:lineRule="auto"/>
        <w:rPr>
          <w:sz w:val="20"/>
          <w:szCs w:val="20"/>
          <w:color w:val="auto"/>
        </w:rPr>
      </w:pPr>
      <w:r>
        <w:rPr>
          <w:rFonts w:ascii="Arial" w:cs="Arial" w:eastAsia="Arial" w:hAnsi="Arial"/>
          <w:sz w:val="17"/>
          <w:szCs w:val="17"/>
          <w:color w:val="auto"/>
        </w:rPr>
        <w:t>A key element of our business strategy involves our sales, marketing, clinical and customer service personnel driving adoption of our products. We have significantly increased the number of sales, marketing, clinical and customer service personnel employed by us since we commenced commercial sales. However, we have faced considerable challenges in growing and managing these resources, including with respect to recruiting, training and assimilation of sales territories. We expect to continue to face significant challenges as we seek to further increase the number of our sales, clinical and customer service personnel in order to optimize the coverage of our existing sales territories, as well as expand the number and scope of our existing sales territories. These challenges may be even greater in connection with our commercial expansion outside of the United States, where we have limited experience. Unexpected turnover among our sales, marketing, clinical and customer service personnel, or unanticipated challenges in recruiting additional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 These risks may be greater now than in the past due to current general labor shortages in the United States, and in particular in our office locations in San Diego, California and Boise, Idaho.</w:t>
      </w:r>
    </w:p>
    <w:p>
      <w:pPr>
        <w:spacing w:after="0" w:line="186"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color w:val="auto"/>
        </w:rPr>
        <w:t>We expect the oversight of our sales, marketing, clinical and customer service personnel will continue to place significant burdens on our management team, which may be compounded as we manage remote employees during the COVID-19 global pandemic and as we work towards returning personnel to our facilities.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spacing w:after="0" w:line="18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19"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We believe a majority of our sales will continue to be to independent distributors for the foreseeable future, and it is possible that the percentage of our sales to independent distributors could increase, particularly in light of our reliance on independent distributors outside of the United States. For example, our dependence upon independent distributors domestically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None of our independent distributors domestically has been required to sell our products exclusively and each of them may freely sell the products of our competitors. If we are unable to maintain or expand our network of independent distributors, our sales may be negatively affected.</w:t>
      </w:r>
    </w:p>
    <w:p>
      <w:pPr>
        <w:spacing w:after="0" w:line="192" w:lineRule="exact"/>
        <w:rPr>
          <w:sz w:val="20"/>
          <w:szCs w:val="20"/>
          <w:color w:val="auto"/>
        </w:rPr>
      </w:pPr>
    </w:p>
    <w:p>
      <w:pPr>
        <w:ind w:right="20" w:firstLine="810"/>
        <w:spacing w:after="0" w:line="272" w:lineRule="auto"/>
        <w:rPr>
          <w:sz w:val="20"/>
          <w:szCs w:val="20"/>
          <w:color w:val="auto"/>
        </w:rPr>
      </w:pPr>
      <w:r>
        <w:rPr>
          <w:rFonts w:ascii="Arial" w:cs="Arial" w:eastAsia="Arial" w:hAnsi="Arial"/>
          <w:sz w:val="17"/>
          <w:szCs w:val="17"/>
          <w:color w:val="auto"/>
        </w:rPr>
        <w:t>For the year ended December 31, 2020, our two largest independent distributors in the United States collectively comprised approximately 29% of our worldwide sales, and our three largest independent international distributors collectively comprised approximately 53% of our international sales.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the terms of the arrangements could result in our product margins being lower than if we directly marketed and sold our products.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70" w:lineRule="exact"/>
        <w:rPr>
          <w:sz w:val="20"/>
          <w:szCs w:val="20"/>
          <w:color w:val="auto"/>
        </w:rPr>
      </w:pPr>
    </w:p>
    <w:p>
      <w:pPr>
        <w:ind w:right="180" w:firstLine="810"/>
        <w:spacing w:after="0" w:line="291" w:lineRule="auto"/>
        <w:rPr>
          <w:sz w:val="20"/>
          <w:szCs w:val="20"/>
          <w:color w:val="auto"/>
        </w:rPr>
      </w:pPr>
      <w:r>
        <w:rPr>
          <w:rFonts w:ascii="Arial" w:cs="Arial" w:eastAsia="Arial" w:hAnsi="Arial"/>
          <w:sz w:val="16"/>
          <w:szCs w:val="16"/>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these third parties do not successfully carry out their commitments or regulatory obligations or meet expected deadlines, or the quality or accuracy of the data they obtain is compromised due to the failure to adhere to agreed-upon clinical protocols or regulatory requirements or for other reasons, our pre-clinical development activities or clinical trials may be extended, delayed, suspended or terminated, and we may not be able to obtain regulatory clearance or approval for, or successfully commercialize, our products on a timely basis, if at all, and our business, operating results and prospects may be adversely affected.</w:t>
      </w:r>
    </w:p>
    <w:p>
      <w:pPr>
        <w:spacing w:after="0" w:line="13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are increasingly dependent on clinical investigators and clinical sites to enroll participants in our current and anticipated clinical trials and human factors studies, and the failure to successfully complete those trials and studies could prevent us from obtaining regulatory approvals for or commercializing our products.*</w:t>
      </w:r>
    </w:p>
    <w:p>
      <w:pPr>
        <w:spacing w:after="0" w:line="184" w:lineRule="exact"/>
        <w:rPr>
          <w:sz w:val="20"/>
          <w:szCs w:val="20"/>
          <w:color w:val="auto"/>
        </w:rPr>
      </w:pPr>
    </w:p>
    <w:p>
      <w:pPr>
        <w:ind w:right="60" w:firstLine="810"/>
        <w:spacing w:after="0" w:line="293" w:lineRule="auto"/>
        <w:rPr>
          <w:sz w:val="20"/>
          <w:szCs w:val="20"/>
          <w:color w:val="auto"/>
        </w:rPr>
      </w:pPr>
      <w:r>
        <w:rPr>
          <w:rFonts w:ascii="Arial" w:cs="Arial" w:eastAsia="Arial" w:hAnsi="Arial"/>
          <w:sz w:val="16"/>
          <w:szCs w:val="16"/>
          <w:color w:val="auto"/>
        </w:rPr>
        <w:t>As part of our product development efforts, we expect to increasingly rely on clinical investigators and clinical sites to enroll participants in our clinical trials or users in our human factors testing and other third parties to manage such trials and testing and to perform related data collection and analysis. However, we may not be able to control the amount and timing of resources that clinical sites may devote to our clinical trials or other studies. If these clinical investigators and clinical sites fail to enroll a sufficient number of patients, fail to ensure compliance by patients with clinical protocols, or fail to comply with regulatory requirements, we may be unable to successfully complete our clinical trials or other studies, which could prevent us from obtaining regulatory approvals for our products and commercializing our products, which would have an adverse impact on our business.</w:t>
      </w:r>
    </w:p>
    <w:p>
      <w:pPr>
        <w:spacing w:after="0" w:line="12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46"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Further, our view is that diabetes management can vary greatly from person to person, creating multiple market segments based on clinical needs and personal preferences.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65"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Another key element of our business strategy is utilizing market research to understand what people with diabetes are seeking to improve in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which represent only a small percentage of the overall insulin-dependent diabetes market. As a result, the responses we receive may not be reflective of the broader market and may not provide us accurate insight into the desires of people with insulin-dependent diabetes. In addition, understanding the meaning and significance of such market research responses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expect to face complexities frequently encountered by companies in competitive and rapidly evolving markets, which may make it difficult to evaluate our business and forecast our future sales and operating results.*</w:t>
      </w:r>
    </w:p>
    <w:p>
      <w:pPr>
        <w:spacing w:after="0" w:line="170"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color w:val="auto"/>
        </w:rPr>
        <w:t>We operate in a competitive and rapidly evolving market. Important industry changes, such as the FDA approval and launch of new products by our competitors, as well as changes specific to our business, such as the timing of our launch of new products currently in development, increasing reliance on digital health products and connected devices, and our potential expansion of commercial sales in international markets, combine to make it more difficult for us to predict our future sales and operating results, as well as our expected timeframe to achieve profitability. The significant uncertainty resulting from the COVID-19 global pandemic has made, and may continue to make, it more difficult for us to accurately forecast our financial results and achieve sustained profitability. In assessing our business prospects, you should consider these factors as well as the various risks and difficulties frequently encountered by companies in competitive and rapidly evolving markets, particularly those companies that manufacture and sell medical devices.</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These risks include our ability to:</w:t>
      </w:r>
    </w:p>
    <w:p>
      <w:pPr>
        <w:spacing w:after="0" w:line="225" w:lineRule="exact"/>
        <w:rPr>
          <w:sz w:val="20"/>
          <w:szCs w:val="20"/>
          <w:color w:val="auto"/>
        </w:rPr>
      </w:pPr>
    </w:p>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implement and execute our business strategy;</w:t>
      </w:r>
    </w:p>
    <w:p>
      <w:pPr>
        <w:spacing w:after="0" w:line="225" w:lineRule="exact"/>
        <w:rPr>
          <w:rFonts w:ascii="Arial" w:cs="Arial" w:eastAsia="Arial" w:hAnsi="Arial"/>
          <w:sz w:val="18"/>
          <w:szCs w:val="18"/>
          <w:color w:val="auto"/>
        </w:rPr>
      </w:pPr>
    </w:p>
    <w:p>
      <w:pPr>
        <w:ind w:left="1960" w:right="160" w:hanging="656"/>
        <w:spacing w:after="0" w:line="308" w:lineRule="auto"/>
        <w:tabs>
          <w:tab w:leader="none" w:pos="19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manage and improve the productivity of our sales, marketing, clinical and customer service infrastructure to grow sales of our existing and proposed products, and enhance our ability to provide service and support to our customers;</w:t>
      </w:r>
    </w:p>
    <w:p>
      <w:pPr>
        <w:spacing w:after="0" w:line="146" w:lineRule="exact"/>
        <w:rPr>
          <w:rFonts w:ascii="Arial" w:cs="Arial" w:eastAsia="Arial" w:hAnsi="Arial"/>
          <w:sz w:val="17"/>
          <w:szCs w:val="17"/>
          <w:color w:val="auto"/>
        </w:rPr>
      </w:pPr>
    </w:p>
    <w:p>
      <w:pPr>
        <w:ind w:left="1960" w:right="500" w:hanging="656"/>
        <w:spacing w:after="0" w:line="277" w:lineRule="auto"/>
        <w:tabs>
          <w:tab w:leader="none" w:pos="1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achieve and maintain market acceptance of our products and increase awareness of our brand among people with insulin-dependent diabetes, their caregivers and healthcare providers;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 with a broad range of regulatory requirements within a highly regulated industry;</w:t>
      </w:r>
    </w:p>
    <w:p>
      <w:pPr>
        <w:spacing w:after="0" w:line="225" w:lineRule="exact"/>
        <w:rPr>
          <w:rFonts w:ascii="Arial" w:cs="Arial" w:eastAsia="Arial" w:hAnsi="Arial"/>
          <w:sz w:val="18"/>
          <w:szCs w:val="18"/>
          <w:color w:val="auto"/>
        </w:rPr>
      </w:pPr>
    </w:p>
    <w:p>
      <w:pPr>
        <w:ind w:left="1960" w:right="280" w:hanging="656"/>
        <w:spacing w:after="0" w:line="277" w:lineRule="auto"/>
        <w:tabs>
          <w:tab w:leader="none" w:pos="1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enhance our manufacturing capabilities, increase production of products efficiently while maintaining quality standards, and adapt our manufacturing facilities to the production of new products;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enhance our existing products and develop proposed products;</w:t>
      </w:r>
    </w:p>
    <w:p>
      <w:pPr>
        <w:spacing w:after="0" w:line="225" w:lineRule="exact"/>
        <w:rPr>
          <w:rFonts w:ascii="Arial" w:cs="Arial" w:eastAsia="Arial" w:hAnsi="Arial"/>
          <w:sz w:val="18"/>
          <w:szCs w:val="18"/>
          <w:color w:val="auto"/>
        </w:rPr>
      </w:pPr>
    </w:p>
    <w:p>
      <w:pPr>
        <w:ind w:left="1960" w:right="40" w:hanging="656"/>
        <w:spacing w:after="0" w:line="277" w:lineRule="auto"/>
        <w:tabs>
          <w:tab w:leader="none" w:pos="1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 cybersecurity and other technological risks associated with our expanding portfolio of digital health products, and align these products to a dynamic threat landscape.</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obtain and maintain regulatory clearance or approval to enhance our existing products and commercialize proposed products;</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 clinical trials and other studies with respect to our existing products and proposed products;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 retain and motivate qualified personnel in various areas of our business.</w:t>
      </w:r>
    </w:p>
    <w:p>
      <w:pPr>
        <w:spacing w:after="0" w:line="225"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As a result of these or other risks, we may not be able to execute key components of our business strategy, and our business, financial condition and operating results may suffer.</w:t>
      </w:r>
    </w:p>
    <w:p>
      <w:pPr>
        <w:spacing w:after="0" w:line="14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ability to achieve profitability will depend, in part, on our ability to reduce the per-unit cost of our products while also increasing production volume.*</w:t>
      </w:r>
    </w:p>
    <w:p>
      <w:pPr>
        <w:spacing w:after="0" w:line="170"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color w:val="auto"/>
        </w:rPr>
        <w:t>We believe our ability to reduce the per-unit cost of our insulin pumps and related products will have a significant impact on our ability to achieve profitability. Our cost of sales includes raw materials and component parts, labor costs, product training expenses, freight, reserves for expected warranty costs, royalties, scrap and charges for excess and obsolete inventories. It also includes manufacturing overhead costs, including expenses relating to quality assurance, manufacturing engineering, material procurement and inventory control, facilities, equipment, information technology and operations supervision and management. Our warranty reserve requires a significant amount of judgment and is primarily estimated based on historical experience. Recently released versions of our pump may not incur warranty costs in a manner similar to previously released pumps and the launch of our mobile app also may result in unanticipated changes in historical trends.</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10"/>
        <w:spacing w:after="0" w:line="253" w:lineRule="auto"/>
        <w:rPr>
          <w:sz w:val="20"/>
          <w:szCs w:val="20"/>
          <w:color w:val="auto"/>
        </w:rPr>
      </w:pPr>
      <w:r>
        <w:rPr>
          <w:rFonts w:ascii="Arial" w:cs="Arial" w:eastAsia="Arial" w:hAnsi="Arial"/>
          <w:sz w:val="18"/>
          <w:szCs w:val="18"/>
          <w:color w:val="auto"/>
        </w:rPr>
        <w:t>In response to the COVID-19 global pandemic, we have taken steps to prioritize the health and safety of our employees and customers, while working to maintain a continuous supply of products, training and customer support. For example, we have implemented preventative safety measures for our employees involved in production and fulfillment operations as well as for any field-based employees. For employees in other functions, we have adopted measures designed to help employees remain effective in a work-from-home environment and we are implementing safety measures and protocols as employees transition back into our facilities. We also temporarily increased our staffing in certain operations in order to mitigate potential risks associated with increases in unplanned employee absences or illness. Each of these measures has resulted in unanticipated expenses that will negatively impact our gross margin and may adversely impact our ability to achieve profitability. We may also incur additional incremental expenses to help us support our ongoing operations during a period of unpredictable variability in the demand for our products, including throughout the duration of the COVID-19 pandemic.</w:t>
      </w:r>
    </w:p>
    <w:p>
      <w:pPr>
        <w:spacing w:after="0" w:line="196"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If we are unable to increase our production volumes while sustaining or reducing our overall cost of sales, including through arrangements such as volume purchase discounts, negotiation of pricing and cost reductions with our suppliers, more efficient training programs for customers, improved warranty performance or fluctuations in warranty estimates, it will be difficult to reduce our per-unit costs and our ability to achieve profitability will be constrained.</w:t>
      </w:r>
    </w:p>
    <w:p>
      <w:pPr>
        <w:spacing w:after="0" w:line="187" w:lineRule="exact"/>
        <w:rPr>
          <w:sz w:val="20"/>
          <w:szCs w:val="20"/>
          <w:color w:val="auto"/>
        </w:rPr>
      </w:pPr>
    </w:p>
    <w:p>
      <w:pPr>
        <w:ind w:right="80" w:firstLine="810"/>
        <w:spacing w:after="0" w:line="293" w:lineRule="auto"/>
        <w:rPr>
          <w:sz w:val="20"/>
          <w:szCs w:val="20"/>
          <w:color w:val="auto"/>
        </w:rPr>
      </w:pPr>
      <w:r>
        <w:rPr>
          <w:rFonts w:ascii="Arial" w:cs="Arial" w:eastAsia="Arial" w:hAnsi="Arial"/>
          <w:sz w:val="16"/>
          <w:szCs w:val="16"/>
          <w:color w:val="auto"/>
        </w:rPr>
        <w:t>In addition, the per-unit cost of our products is significantly impacted by our overall production volumes, and any factors that prevent our products from achieving market acceptance, cause our production volumes to decline, alter our product mix, result in our sales growing at a slower rate than we expect, or result in the closure of our manufacturing facilities, would significantly impact our expected per-unit costs, which would adversely impact our gross margins. Further, we may not achieve anticipated improvements in manufacturing efficiency as we undertake actions to expand our manufacturing capacity. If we are unable to effectively manage our overall costs while increasing our production volumes and lowering our per-unit costs, we may not be able to achieve or sustain profitability, which would have an adverse impact on our business, financial condition and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risks may adversely affect our ability to manufacture products, which could negatively impact our sales and operating margins.*</w:t>
      </w:r>
    </w:p>
    <w:p>
      <w:pPr>
        <w:spacing w:after="0" w:line="248" w:lineRule="exact"/>
        <w:rPr>
          <w:sz w:val="20"/>
          <w:szCs w:val="20"/>
          <w:color w:val="auto"/>
        </w:rPr>
      </w:pPr>
    </w:p>
    <w:p>
      <w:pPr>
        <w:jc w:val="both"/>
        <w:ind w:right="120" w:firstLine="810"/>
        <w:spacing w:after="0" w:line="263" w:lineRule="auto"/>
        <w:rPr>
          <w:sz w:val="20"/>
          <w:szCs w:val="20"/>
          <w:color w:val="auto"/>
        </w:rPr>
      </w:pPr>
      <w:r>
        <w:rPr>
          <w:rFonts w:ascii="Arial" w:cs="Arial" w:eastAsia="Arial" w:hAnsi="Arial"/>
          <w:sz w:val="18"/>
          <w:szCs w:val="18"/>
          <w:color w:val="auto"/>
        </w:rPr>
        <w:t>Our business strategy depends on our ability to manufacture our current and proposed products in sufficient quantities and on a timely basis to meet consumer demand, while adhering to product quality standards, complying with regulatory requirements and managing manufacturing costs. We are subject to numerous risks related to our manufacturing capabilities, including:</w:t>
      </w:r>
    </w:p>
    <w:p>
      <w:pPr>
        <w:spacing w:after="0" w:line="184" w:lineRule="exact"/>
        <w:rPr>
          <w:sz w:val="20"/>
          <w:szCs w:val="20"/>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quality or reliability defects in product components that we source from third-party suppliers;</w:t>
      </w:r>
    </w:p>
    <w:p>
      <w:pPr>
        <w:spacing w:after="0" w:line="225" w:lineRule="exact"/>
        <w:rPr>
          <w:rFonts w:ascii="Arial" w:cs="Arial" w:eastAsia="Arial" w:hAnsi="Arial"/>
          <w:sz w:val="18"/>
          <w:szCs w:val="18"/>
          <w:color w:val="auto"/>
        </w:rPr>
      </w:pPr>
    </w:p>
    <w:p>
      <w:pPr>
        <w:ind w:left="1960" w:right="80" w:hanging="656"/>
        <w:spacing w:after="0" w:line="308" w:lineRule="auto"/>
        <w:tabs>
          <w:tab w:leader="none" w:pos="19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inability to secure product components in a timely manner due to shipping delays at ports of entry or exit, the impact of the COVID-19 global pandemic, or other issues, in sufficient quantities and on commercially reasonable terms;</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identifying and qualifying alternative suppliers for components in a timely manner;</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implementing and maintaining acceptable quality systems while experiencing rapid growth;</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failure to increase production of products to meet demand;</w:t>
      </w:r>
    </w:p>
    <w:p>
      <w:pPr>
        <w:spacing w:after="0" w:line="225" w:lineRule="exact"/>
        <w:rPr>
          <w:rFonts w:ascii="Arial" w:cs="Arial" w:eastAsia="Arial" w:hAnsi="Arial"/>
          <w:sz w:val="18"/>
          <w:szCs w:val="18"/>
          <w:color w:val="auto"/>
        </w:rPr>
      </w:pPr>
    </w:p>
    <w:p>
      <w:pPr>
        <w:ind w:left="1960" w:right="120" w:hanging="656"/>
        <w:spacing w:after="0" w:line="308" w:lineRule="auto"/>
        <w:tabs>
          <w:tab w:leader="none" w:pos="19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manufacture multiple products simultaneously while utilizing common manufacturing equipment;</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government-mandated or voluntary closures of, or operational limitations impacting, our manufacturing facilities;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damage to or destruction of our manufacturing equipment or manufacturing facilities.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810"/>
        <w:spacing w:after="0" w:line="271" w:lineRule="auto"/>
        <w:rPr>
          <w:sz w:val="20"/>
          <w:szCs w:val="20"/>
          <w:color w:val="auto"/>
        </w:rPr>
      </w:pPr>
      <w:r>
        <w:rPr>
          <w:rFonts w:ascii="Arial" w:cs="Arial" w:eastAsia="Arial" w:hAnsi="Arial"/>
          <w:sz w:val="17"/>
          <w:szCs w:val="17"/>
          <w:color w:val="auto"/>
        </w:rPr>
        <w:t>As demand for our products increases, and as the number of our commercial products expands, we will have to invest additional resources to purchase components, hire and train employees, and enhance our manufacturing processes and quality systems. We may also increase our utilization of third parties to perform contracted manufacturing services for us, and we may need to acquire additional custom designed equipment to support the expansion of our manufacturing capacity.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qualifying and implementing additional equipment and procedures, obtaining new regulatory approvals, or developing new manufacturing technologies. Ultimately, it may not be possible for us to manufacture these products at a cost or in quantities sufficient to make these products commercially viable.</w:t>
      </w:r>
    </w:p>
    <w:p>
      <w:pPr>
        <w:spacing w:after="0" w:line="178"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In response to the COVID-19 global pandemic, in early 2020 we initiated discussions with our key suppliers regarding their abilities to fulfill existing orders and we have continued to regularly assess their capacity. At various times, our primary infusion set manufacturer experienced certain inventory constraints which resulted in us requesting some customers to accept substitutions of similar products to prevent delays in order fulfillment. Additionally, at various times our cartridge inventory was below our targeted stocking levels. We have acquired finished goods and raw material inventory for our products in order to meet targeted stocking levels in the near-term. Currently, we do not anticipate a significant disruption in our ability to manufacture insulin pumps and cartridges, nor do we anticipate our third-party manufacturers will be unable to provide sufficient quantities to meet product demand, however we continue to monitor factors that could negatively impact our longer-term supply chain, such as global shortages of semiconductors and copper that are needed to manufacture our insulin pumps and accessories. If we experience these or similar manufacturing challenges in the future, it could have a negative impact on product sales and harm our reputation.</w:t>
      </w:r>
    </w:p>
    <w:p>
      <w:pPr>
        <w:spacing w:after="0" w:line="181" w:lineRule="exact"/>
        <w:rPr>
          <w:sz w:val="20"/>
          <w:szCs w:val="20"/>
          <w:color w:val="auto"/>
        </w:rPr>
      </w:pPr>
    </w:p>
    <w:p>
      <w:pPr>
        <w:jc w:val="both"/>
        <w:ind w:right="380" w:firstLine="810"/>
        <w:spacing w:after="0" w:line="248" w:lineRule="auto"/>
        <w:rPr>
          <w:sz w:val="20"/>
          <w:szCs w:val="20"/>
          <w:color w:val="auto"/>
        </w:rPr>
      </w:pPr>
      <w:r>
        <w:rPr>
          <w:rFonts w:ascii="Arial" w:cs="Arial" w:eastAsia="Arial" w:hAnsi="Arial"/>
          <w:sz w:val="18"/>
          <w:szCs w:val="18"/>
          <w:color w:val="auto"/>
        </w:rPr>
        <w:t>If we and our suppliers fail to increase our production capacity to meet consumer demand while also maintaining product quality standards, obtaining and maintaining regulatory approvals, and efficiently managing costs, our sales and operating margins could be negatively impacted, which would have an adverse impact on our financial condition and operating results.</w:t>
      </w:r>
    </w:p>
    <w:p>
      <w:pPr>
        <w:spacing w:after="0" w:line="141" w:lineRule="exact"/>
        <w:rPr>
          <w:sz w:val="20"/>
          <w:szCs w:val="20"/>
          <w:color w:val="auto"/>
        </w:rPr>
      </w:pPr>
    </w:p>
    <w:p>
      <w:pPr>
        <w:ind w:right="260"/>
        <w:spacing w:after="0" w:line="381" w:lineRule="auto"/>
        <w:rPr>
          <w:sz w:val="20"/>
          <w:szCs w:val="20"/>
          <w:color w:val="auto"/>
        </w:rPr>
      </w:pPr>
      <w:r>
        <w:rPr>
          <w:rFonts w:ascii="Arial" w:cs="Arial" w:eastAsia="Arial" w:hAnsi="Arial"/>
          <w:sz w:val="15"/>
          <w:szCs w:val="15"/>
          <w:b w:val="1"/>
          <w:bCs w:val="1"/>
          <w:i w:val="1"/>
          <w:iCs w:val="1"/>
          <w:color w:val="auto"/>
        </w:rPr>
        <w:t>We depend on a limited number of third-party suppliers for certain components and products, and the loss of any of these suppliers, their inability to provide us with an adequate supply of components or products, or our ability to adequately forecast customer demand, could harm our business.*</w:t>
      </w:r>
    </w:p>
    <w:p>
      <w:pPr>
        <w:spacing w:after="0" w:line="100" w:lineRule="exact"/>
        <w:rPr>
          <w:sz w:val="20"/>
          <w:szCs w:val="20"/>
          <w:color w:val="auto"/>
        </w:rPr>
      </w:pPr>
    </w:p>
    <w:p>
      <w:pPr>
        <w:ind w:right="120" w:firstLine="810"/>
        <w:spacing w:after="0" w:line="273" w:lineRule="auto"/>
        <w:rPr>
          <w:sz w:val="20"/>
          <w:szCs w:val="20"/>
          <w:color w:val="auto"/>
        </w:rPr>
      </w:pPr>
      <w:r>
        <w:rPr>
          <w:rFonts w:ascii="Arial" w:cs="Arial" w:eastAsia="Arial" w:hAnsi="Arial"/>
          <w:sz w:val="17"/>
          <w:szCs w:val="17"/>
          <w:color w:val="auto"/>
        </w:rPr>
        <w:t>We currently rely, and expect to continue to rely, on third-party suppliers to supply components of our current products and our potential future products, including our disposable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w:t>
      </w:r>
    </w:p>
    <w:p>
      <w:pPr>
        <w:spacing w:after="0" w:line="178"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damage to their manufacturing equipment or facilities, inability to obtain raw materials or other components, or problems with their own suppliers. As a result, our ability to purchase adequate quantities of our components or products may be limited. If we fail to obtain sufficient quantities of high-quality components to meet demand on a timely basis, we could lose customer orders, our reputation may be harmed, and our business could suffer.</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810"/>
        <w:spacing w:after="0" w:line="287" w:lineRule="auto"/>
        <w:rPr>
          <w:sz w:val="20"/>
          <w:szCs w:val="20"/>
          <w:color w:val="auto"/>
        </w:rPr>
      </w:pPr>
      <w:r>
        <w:rPr>
          <w:rFonts w:ascii="Arial" w:cs="Arial" w:eastAsia="Arial" w:hAnsi="Arial"/>
          <w:sz w:val="16"/>
          <w:szCs w:val="16"/>
          <w:color w:val="auto"/>
        </w:rPr>
        <w:t>We generally use a small number of suppliers for our components and products, some of which are located outside the United States, including in China, Mexico and Costa Rica. Depending on a limited number of suppliers exposes us to risks, including limited control over costs such as tariffs,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We have in the past been, and we may in the future be, required to make significant “last time” purchases of component inventories that are being discontinued by the manufacturer to ensure supply continuity. If any one or more of our suppliers cease to provide us with sufficient quantities of components in a timely manner or on terms acceptable to us, we would have to seek alternative sources of supply. Because of factors such as the proprietary nature of our products, our quality control standards and applicable regulatory requirements, we cannot quickly engage additional or replacement suppliers for some of our critical components. These risks associated with the procurement of critical components from a limited number of suppliers may be increased as a result of the COVID-19 global pandemic. Failure of any of our suppliers to deliver products at the level our business requires could harm our reputation and limit our ability to meet our sales projections, which could have a material adverse effect on our business, financial condition and operating results.</w:t>
      </w:r>
    </w:p>
    <w:p>
      <w:pPr>
        <w:spacing w:after="0" w:line="168"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We place orders with our suppliers using our forecasts of customer demand, which are based on a number of assumptions and estimates, in advance of purchase commitments from our customers. As a result, we incur inventory and manufacturing costs in advance of anticipated sales, which sales ultimately may not materialize or may be lower than expected. If we overestimate customer demand, we may experience higher inventory carrying costs and increased excess or obsolete inventory, which would negatively impact our results of operations. By the same token, if we underestimate future demand we may be unable to meet future production requirements or our inventory of critical materials may be below our targeted stocking levels. We expect it will be particularly difficult to accurately forecast demand during the global pandemic and even for some time while travel and social-distancing restrictions are lifted.</w:t>
      </w:r>
    </w:p>
    <w:p>
      <w:pPr>
        <w:spacing w:after="0" w:line="195"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We may also have difficulty obtaining components from other suppliers that are acceptable to the FDA or other regulatory agencies, and the failure of our suppliers to comply with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disruption at one of our facilities could adversely affect our business and operating results.*</w:t>
      </w:r>
    </w:p>
    <w:p>
      <w:pPr>
        <w:spacing w:after="0" w:line="225" w:lineRule="exact"/>
        <w:rPr>
          <w:sz w:val="20"/>
          <w:szCs w:val="20"/>
          <w:color w:val="auto"/>
        </w:rPr>
      </w:pPr>
    </w:p>
    <w:p>
      <w:pPr>
        <w:ind w:right="40" w:firstLine="810"/>
        <w:spacing w:after="0" w:line="288" w:lineRule="auto"/>
        <w:rPr>
          <w:sz w:val="20"/>
          <w:szCs w:val="20"/>
          <w:color w:val="auto"/>
        </w:rPr>
      </w:pPr>
      <w:r>
        <w:rPr>
          <w:rFonts w:ascii="Arial" w:cs="Arial" w:eastAsia="Arial" w:hAnsi="Arial"/>
          <w:sz w:val="16"/>
          <w:szCs w:val="16"/>
          <w:color w:val="auto"/>
        </w:rPr>
        <w:t>Although we operate in multiple locations, most of our current operations are still conducted in San Diego, California, including our final pump assembly, some manufacturing processes, and the majority of our research and development, management and administrative functions. In addition, the majority of our inventories of component supplies and finished goods is stored at two facilities in San Diego. Over the past year we substantially expanded various quality and customer and technical support activities in Boise, Idaho. We take precautions to safeguard our facilities, including by acquiring insurance, employing back-up generators, adopting health and safety protocols and utilizing off-site storage of computer data. However, vandalism, terrorism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experience the anticipated operating efficiencies from the transition of our manufacturing and warehousing operations.*</w:t>
      </w:r>
    </w:p>
    <w:p>
      <w:pPr>
        <w:spacing w:after="0" w:line="237" w:lineRule="exact"/>
        <w:rPr>
          <w:sz w:val="20"/>
          <w:szCs w:val="20"/>
          <w:color w:val="auto"/>
        </w:rPr>
      </w:pPr>
    </w:p>
    <w:p>
      <w:pPr>
        <w:ind w:right="80" w:firstLine="810"/>
        <w:spacing w:after="0" w:line="268" w:lineRule="auto"/>
        <w:rPr>
          <w:sz w:val="20"/>
          <w:szCs w:val="20"/>
          <w:color w:val="auto"/>
        </w:rPr>
      </w:pPr>
      <w:r>
        <w:rPr>
          <w:rFonts w:ascii="Arial" w:cs="Arial" w:eastAsia="Arial" w:hAnsi="Arial"/>
          <w:sz w:val="17"/>
          <w:szCs w:val="17"/>
          <w:color w:val="auto"/>
        </w:rPr>
        <w:t>At the beginning of 2018 we completed the transition of our manufacturing operations to a facility located on Barnes Canyon Road in San Diego, and during the fourth quarter of 2019 we commenced operations at a logistics warehouse in San Diego. We expect that both of these actions will allow for future capacity for product manufacturing and warehousing expansion. However, we may not experience the anticipated operating efficiencies at either facility as we continue to scale our business operations and add manufacturing requirements for products currently under development. In addition, beginning in 2020 we outsourced a portion of our cartridge manufacturing demand to an experienced third-party contract manufacturer and we expect to increase our reliance on this third party cartridge manufacturer over the next 24 months while reducing our own internal t:slim cartridge manufacturing capacity in our existing facility. We may consider outsourcing other aspects of our operations in the future. If we fail to achieve the operating efficiencies that we anticipate, our manufacturing and operating costs may be greater than expected, which would have a material adverse impact on our operating results. In addition, we or our third-party contract manufacturers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our ability to meet customer demand and have a material adverse impact on our business, financial condition and operating results. Further, because of the custom nature of our cartridge manufacturing process and product components, and the highly regulated nature of our products overall, in the event of any problems with a contract manufacturer, we may not be able to quickly establish additional or alternative arrangements.</w:t>
      </w:r>
    </w:p>
    <w:p>
      <w:pPr>
        <w:spacing w:after="0" w:line="184" w:lineRule="exact"/>
        <w:rPr>
          <w:sz w:val="20"/>
          <w:szCs w:val="20"/>
          <w:color w:val="auto"/>
        </w:rPr>
      </w:pPr>
    </w:p>
    <w:p>
      <w:pPr>
        <w:ind w:right="20" w:firstLine="810"/>
        <w:spacing w:after="0" w:line="273" w:lineRule="auto"/>
        <w:rPr>
          <w:sz w:val="20"/>
          <w:szCs w:val="20"/>
          <w:color w:val="auto"/>
        </w:rPr>
      </w:pPr>
      <w:r>
        <w:rPr>
          <w:rFonts w:ascii="Arial" w:cs="Arial" w:eastAsia="Arial" w:hAnsi="Arial"/>
          <w:sz w:val="17"/>
          <w:szCs w:val="17"/>
          <w:color w:val="auto"/>
        </w:rPr>
        <w:t>We expect that the management and support of our facilities, increasing reliance on third-party contract manufacturers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either from our own facilities or from our use of contract manufacturing. Further, additional increases in demand for our products may require that we further expand our business operations, which may require that we obtain additional facilities, make additional investments in capital equipment or increase our utilization of third-party contract manufacturing.</w:t>
      </w:r>
    </w:p>
    <w:p>
      <w:pPr>
        <w:spacing w:after="0" w:line="15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do not enhance our product portfolio to meet the demands of our market, we may fail to effectively compete, which may impede our ability to become profitable.*</w:t>
      </w:r>
    </w:p>
    <w:p>
      <w:pPr>
        <w:spacing w:after="0" w:line="170"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color w:val="auto"/>
        </w:rPr>
        <w:t>In order to increase our sales and market share in the insulin-dependent diabetes market, we must enhance and broaden our product portfolio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pacing w:after="0" w:line="161" w:lineRule="exact"/>
        <w:rPr>
          <w:sz w:val="20"/>
          <w:szCs w:val="20"/>
          <w:color w:val="auto"/>
        </w:rPr>
      </w:pPr>
    </w:p>
    <w:p>
      <w:pPr>
        <w:ind w:left="1960" w:right="500" w:hanging="656"/>
        <w:spacing w:after="0" w:line="308" w:lineRule="auto"/>
        <w:tabs>
          <w:tab w:leader="none" w:pos="19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and introduce products in sufficient quantities and in a timely manner;</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offer products at a price that is competitive with other products then available;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 with third-party payors to obtain reimbursement for our products;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demonstrate the safety and efficacy of proposed products;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 on a timely basis.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810"/>
        <w:spacing w:after="0" w:line="269" w:lineRule="auto"/>
        <w:rPr>
          <w:sz w:val="20"/>
          <w:szCs w:val="20"/>
          <w:color w:val="auto"/>
        </w:rPr>
      </w:pPr>
      <w:r>
        <w:rPr>
          <w:rFonts w:ascii="Arial" w:cs="Arial" w:eastAsia="Arial" w:hAnsi="Arial"/>
          <w:sz w:val="17"/>
          <w:szCs w:val="17"/>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may in the future experience, delays in various phases of product development and commercialization, including during research and development, manufacturing, limited release testing, marketing and customer education efforts. We have also recently experienced delays in the regulatory review and approval process, including due to the impacts of the current global pandemic.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14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concerns regarding the safety and efficacy of our products could limit sales and cause unforeseen negative effects to our business prospects and financial results.*</w:t>
      </w:r>
    </w:p>
    <w:p>
      <w:pPr>
        <w:spacing w:after="0" w:line="170" w:lineRule="exact"/>
        <w:rPr>
          <w:sz w:val="20"/>
          <w:szCs w:val="20"/>
          <w:color w:val="auto"/>
        </w:rPr>
      </w:pPr>
    </w:p>
    <w:p>
      <w:pPr>
        <w:ind w:right="120" w:firstLine="810"/>
        <w:spacing w:after="0" w:line="272" w:lineRule="auto"/>
        <w:rPr>
          <w:sz w:val="20"/>
          <w:szCs w:val="20"/>
          <w:color w:val="auto"/>
        </w:rPr>
      </w:pPr>
      <w:r>
        <w:rPr>
          <w:rFonts w:ascii="Arial" w:cs="Arial" w:eastAsia="Arial" w:hAnsi="Arial"/>
          <w:sz w:val="17"/>
          <w:szCs w:val="17"/>
          <w:color w:val="auto"/>
        </w:rPr>
        <w:t>Studies to evaluate the safety or effectiveness of our latest products in a controlled setting are only recently available. As a result, people with insulin-dependent diabetes and healthcare providers may not be familiar with our studies and may be slower to adopt or recommend our products. Further, even with data from controlled studies third-party payors may not be willing to provide coverage or reimbursement for our products. We remain subject to regulatory and product liability risks, and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77" w:lineRule="exact"/>
        <w:rPr>
          <w:sz w:val="20"/>
          <w:szCs w:val="20"/>
          <w:color w:val="auto"/>
        </w:rPr>
      </w:pPr>
    </w:p>
    <w:p>
      <w:pPr>
        <w:ind w:right="60" w:firstLine="810"/>
        <w:spacing w:after="0" w:line="301" w:lineRule="auto"/>
        <w:rPr>
          <w:sz w:val="20"/>
          <w:szCs w:val="20"/>
          <w:color w:val="auto"/>
        </w:rPr>
      </w:pPr>
      <w:r>
        <w:rPr>
          <w:rFonts w:ascii="Arial" w:cs="Arial" w:eastAsia="Arial" w:hAnsi="Arial"/>
          <w:sz w:val="16"/>
          <w:szCs w:val="16"/>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FDA clearance or approval, which could result in significant legal liability, harm to our reputation, and a decline in our product sales.</w:t>
      </w:r>
    </w:p>
    <w:p>
      <w:pPr>
        <w:spacing w:after="0" w:line="157"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caused illness, injury or death could adversely affect our reputation with customers, healthcare professionals, third-party payors, and existing and potential collaborators, and could adversely affect our operating results and cause a decline in our stock price. Furthermore, general concerns regarding the perceived safety or reliability of any of our products, or any component thereof, may have a similar adverse effect on us.</w:t>
      </w:r>
    </w:p>
    <w:p>
      <w:pPr>
        <w:spacing w:after="0" w:line="15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licensing arrangements, joint ventures, strategic alliances or partnerships with third parties that may not result in the development of commercially viable products or the generation of significant future revenues.</w:t>
      </w:r>
    </w:p>
    <w:p>
      <w:pPr>
        <w:spacing w:after="0" w:line="170" w:lineRule="exact"/>
        <w:rPr>
          <w:sz w:val="20"/>
          <w:szCs w:val="20"/>
          <w:color w:val="auto"/>
        </w:rPr>
      </w:pPr>
    </w:p>
    <w:p>
      <w:pPr>
        <w:ind w:right="20" w:firstLine="810"/>
        <w:spacing w:after="0" w:line="270" w:lineRule="auto"/>
        <w:rPr>
          <w:sz w:val="20"/>
          <w:szCs w:val="20"/>
          <w:color w:val="auto"/>
        </w:rPr>
      </w:pPr>
      <w:r>
        <w:rPr>
          <w:rFonts w:ascii="Arial" w:cs="Arial" w:eastAsia="Arial" w:hAnsi="Arial"/>
          <w:sz w:val="17"/>
          <w:szCs w:val="17"/>
          <w:color w:val="auto"/>
        </w:rPr>
        <w:t>In the ordinary course of our business, we may enter into collaborations, licensing arrangements, joint ventures, strategic alliances or partnerships to develop proposed products or technologies, pursue new markets, or protect our intellectual property assets. We may also elect to amend or modify similar agreements that we already have in place. Proposing, negotiating and implementing collaborations, licensing arrangements, joint ventures, strategic alliances or partnerships may be a lengthy and complex process, and may subject us to business risks. For example, other companies, including those with substantially greater financial, marketing, sales, technology or other business resources, may compete with us for these opportunities, or may be the counterparty in any such arrangements. We may not be able to identify or complete any such collaboration in a timely manner, on a cost-effective basis, on acceptable terms or at all. In addition, we may not realize the anticipated benefits of any such collaborations that we do identify and complete. In particular, these collaborations may not result in the development of products or technologies that achieve commercial success or result in positive financial results, or may otherwise fail to have the intended impact on our business.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Additionally, we may not be in a position to exercise sole decision-making authority regarding a collaboration, licensing or other similar arrangement, which could create the potential risk of creating impasses on decisions. Further, our collaborators and business partners may have economic or business interests or goals that are, or that may become, inconsistent with our business interests or goals. It is possible that conflicts may arise with our collaborators and other business partners, such as conflicts concerning the achievement of performance milestones, or the interpretation of significant terms under any agreement, such as those related to financial obligations, termination rights or the ownership or control or other licenses of intellectual property rights.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Abbott, or any future collaborators devote to our arrangement with them or our future products. Disputes between us and our current, future or potential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72" w:lineRule="exact"/>
        <w:rPr>
          <w:sz w:val="20"/>
          <w:szCs w:val="20"/>
          <w:color w:val="auto"/>
        </w:rPr>
      </w:pPr>
    </w:p>
    <w:p>
      <w:pPr>
        <w:ind w:right="100" w:firstLine="810"/>
        <w:spacing w:after="0" w:line="289" w:lineRule="auto"/>
        <w:rPr>
          <w:sz w:val="20"/>
          <w:szCs w:val="20"/>
          <w:color w:val="auto"/>
        </w:rPr>
      </w:pPr>
      <w:r>
        <w:rPr>
          <w:rFonts w:ascii="Arial" w:cs="Arial" w:eastAsia="Arial" w:hAnsi="Arial"/>
          <w:sz w:val="16"/>
          <w:szCs w:val="16"/>
          <w:color w:val="auto"/>
        </w:rPr>
        <w:t>For example, we have entered into multiple development and commercialization agreements with Dexcom, which provide us non-exclusive licenses to integrate various currently available and future generations of Dexcom’s CGM technology with our insulin pump products. Under certain circumstances, these agreements may be terminated by either party without cause or on short notice. Our current agreements with Dexcom do not grant us rights to integrate future generations of Dexcom CGM technology, other than G7 CGM devices,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existing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spacing w:after="0" w:line="12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operate our business in regions subject to natural disasters and other catastrophic events, and any disruption to our business resulting from natural disasters will adversely affect our revenue and results of operations.*</w:t>
      </w:r>
    </w:p>
    <w:p>
      <w:pPr>
        <w:spacing w:after="0" w:line="170" w:lineRule="exact"/>
        <w:rPr>
          <w:sz w:val="20"/>
          <w:szCs w:val="20"/>
          <w:color w:val="auto"/>
        </w:rPr>
      </w:pPr>
    </w:p>
    <w:p>
      <w:pPr>
        <w:ind w:right="80" w:firstLine="810"/>
        <w:spacing w:after="0" w:line="273" w:lineRule="auto"/>
        <w:rPr>
          <w:sz w:val="20"/>
          <w:szCs w:val="20"/>
          <w:color w:val="auto"/>
        </w:rPr>
      </w:pPr>
      <w:r>
        <w:rPr>
          <w:rFonts w:ascii="Arial" w:cs="Arial" w:eastAsia="Arial" w:hAnsi="Arial"/>
          <w:sz w:val="17"/>
          <w:szCs w:val="17"/>
          <w:color w:val="auto"/>
        </w:rPr>
        <w:t>We operate our business, and our third-party contract manufactures are located, in regions subject to natural disasters, including earthquakes, hurricanes, floods, fires and other catastrophic events. For example, a portion of our office facilities located in San Diego are in an area that is prone to flooding, which has occasionally temporarily disrupted our business operations. Any natural disaster could adversely affect our ability to conduct business and provide products and services to our customers, and the insurance we maintain may not be adequate to cover our losses resulting from any business interruption resulting from a natural disaster or other catastrophic events. Any future disruptions to our operations could have a material adverse impact on our financial condition and results of operations in future periods.</w:t>
      </w:r>
    </w:p>
    <w:p>
      <w:pPr>
        <w:spacing w:after="0" w:line="15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A security breach or other significant disruption to our information technology systems, or failures of our pumps’ software to perform as we anticipate, could materially disrupt our operations or result in the loss, theft, misuse, unauthorized disclosure, or unauthorized access to sensitive information relating to our customers, suppliers, employees or other individuals, which could damage our relationships, expose us to litigation or regulatory proceedings, or harm our reputation, any of which could have an adverse and material effect on our business, financial condition and operating results.*</w:t>
      </w:r>
    </w:p>
    <w:p>
      <w:pPr>
        <w:spacing w:after="0" w:line="188" w:lineRule="exact"/>
        <w:rPr>
          <w:sz w:val="20"/>
          <w:szCs w:val="20"/>
          <w:color w:val="auto"/>
        </w:rPr>
      </w:pPr>
    </w:p>
    <w:p>
      <w:pPr>
        <w:ind w:right="20" w:firstLine="810"/>
        <w:spacing w:after="0" w:line="270" w:lineRule="auto"/>
        <w:rPr>
          <w:sz w:val="20"/>
          <w:szCs w:val="20"/>
          <w:color w:val="auto"/>
        </w:rPr>
      </w:pPr>
      <w:r>
        <w:rPr>
          <w:rFonts w:ascii="Arial" w:cs="Arial" w:eastAsia="Arial" w:hAnsi="Arial"/>
          <w:sz w:val="17"/>
          <w:szCs w:val="17"/>
          <w:color w:val="auto"/>
        </w:rPr>
        <w:t>The efficient operation of our business depends on our information technology and communication systems, as well as those of our third-party business partners. We rely on such systems to effectively store, process and transit proprietary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our t:connect uploader software and cloud-based web application, our current and future mobile applications, our Tandem Source data management platform, as well as those involved in the operation of our Tandem Device Updater, are vulnerable to damage or interruption from a number of causes, including earthquakes, fires, floods and other natural disasters, terrorist attacks, attacks by computer viruses or hackers, malware, ransomware or other destructive software, cyber-attacks, power losses, and computer system or data network failures. Should any of those risks occur, it could adversely impact the availability, confidentiality and integrity of information assets contained in those systems.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810"/>
        <w:spacing w:after="0" w:line="287" w:lineRule="auto"/>
        <w:rPr>
          <w:sz w:val="20"/>
          <w:szCs w:val="20"/>
          <w:color w:val="auto"/>
        </w:rPr>
      </w:pPr>
      <w:r>
        <w:rPr>
          <w:rFonts w:ascii="Arial" w:cs="Arial" w:eastAsia="Arial" w:hAnsi="Arial"/>
          <w:sz w:val="16"/>
          <w:szCs w:val="16"/>
          <w:color w:val="auto"/>
        </w:rPr>
        <w:t>Our business also involves the storage and transmission of a substantial amount of confidential, personal, or other sensitive information, including health information and other personal information relating to our customers, the personal information of our employees and other individuals, and our proprietary, financial, operational or strategic information. Should any of the foregoing risks occur, it could also result in the loss, theft, misuse, unauthorized disclosure, or unauthorized access of such sensitive information, which could lead to significant reputational or competitive harm, litigation involving us or our business partners, regulatory proceedings, or substantial liabilities, fines, penalties or expenses. As a result, we strive to maintain and regularly update reasonable security measures, and to respond quickly and effectively if and when data security incidents do occur. Like many businesses, we are subject to numerous data privacy and security risks, including threats arising from computer viruses or hackers, cyber-attacks and ransomware attacks, as well as the risk that one or more of our employees may fail to comply, whether knowingly or accidentally, with established security measures, or with internal policies relating to the use, storage or transmission of confidential or sensitive information. We are unable to predict the direct or indirect impact of any such incidents to our business. Further, many of our third-party service providers are subject to similar risks. Whether or not our security measures and those of our third-party service providers are ultimately successful, our expenditures on those measures could have an adverse impact on our financial condition and results of operations, and divert management’s attention from pursuing our strategic objectives.</w:t>
      </w:r>
    </w:p>
    <w:p>
      <w:pPr>
        <w:spacing w:after="0" w:line="168"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In addition to the risks regarding information technology systems and processing of sensitive information, our insulin pumps and other products rely on software, some of which is developed by third-party service providers, that could contain unanticipated vulnerabilities, which could make our products subject to computer viruses, cyber-attacks, or failures. These risks significantly increased when we received FDA clearance of our Tandem Device Updater, which enables customers to remotely update software on their insulin pumps and may be higher following the launch of our new mobile application in the second half of 2020. We may also face new risks relating to our information technology systems as we continue to commercialize our products outside of the United States and are subject to additional regulations relating to the use and protection of personal information and as we launch new mobile applications or new features to our existing applications.</w:t>
      </w:r>
    </w:p>
    <w:p>
      <w:pPr>
        <w:spacing w:after="0" w:line="177" w:lineRule="exact"/>
        <w:rPr>
          <w:sz w:val="20"/>
          <w:szCs w:val="20"/>
          <w:color w:val="auto"/>
        </w:rPr>
      </w:pPr>
    </w:p>
    <w:p>
      <w:pPr>
        <w:ind w:right="160" w:firstLine="810"/>
        <w:spacing w:after="0" w:line="290" w:lineRule="auto"/>
        <w:rPr>
          <w:sz w:val="20"/>
          <w:szCs w:val="20"/>
          <w:color w:val="auto"/>
        </w:rPr>
      </w:pPr>
      <w:r>
        <w:rPr>
          <w:rFonts w:ascii="Arial" w:cs="Arial" w:eastAsia="Arial" w:hAnsi="Arial"/>
          <w:sz w:val="16"/>
          <w:szCs w:val="16"/>
          <w:color w:val="auto"/>
        </w:rPr>
        <w:t>The failure of our or our service providers’ information technology systems or our pumps’ software or other mobile applications to perform as we anticipate, or our failure to effectively implement new information technology systems and privacy policies and controls, could disrupt our entire operation or adversely affect our software products. For example, we market our Tandem Device Updater as having the unique capability to deploy software updates to our pumps, which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any of which could have a material adverse effect on our business, financial condition and operating results.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experienced a breach of our information technology systems in January 2020.*</w:t>
      </w:r>
    </w:p>
    <w:p>
      <w:pPr>
        <w:spacing w:after="0" w:line="225"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 xml:space="preserve">On January 17, 2020, we learned that an unauthorized person gained access to an employee’s email account through a cyber-attack commonly known as “phishing.” We investigated the incident, and learned that a limited number of our employee email accounts may have been accessed by an unauthorized user in a similar manner between January 17, 2020 and January 20, 2020. Our investigation indicated that customer information, as well as proprietary Company information, may have been contained in one or more of the employee email accounts affected by the incident. Our investigation has not determined whether an unauthorized person viewed any such information. As a result of this incident, we are presently defending a class action lawsuit entitled </w:t>
      </w:r>
      <w:r>
        <w:rPr>
          <w:rFonts w:ascii="Arial" w:cs="Arial" w:eastAsia="Arial" w:hAnsi="Arial"/>
          <w:sz w:val="18"/>
          <w:szCs w:val="18"/>
          <w:i w:val="1"/>
          <w:iCs w:val="1"/>
          <w:color w:val="auto"/>
        </w:rPr>
        <w:t>Joseph Deluna et al. v. Tandem Diabetes Care, Inc.</w:t>
      </w:r>
      <w:r>
        <w:rPr>
          <w:rFonts w:ascii="Arial" w:cs="Arial" w:eastAsia="Arial" w:hAnsi="Arial"/>
          <w:sz w:val="18"/>
          <w:szCs w:val="18"/>
          <w:color w:val="auto"/>
        </w:rPr>
        <w:t>, which is pending in the Superior Court of the State of California in the County of San Bernardino.</w:t>
      </w:r>
    </w:p>
    <w:p>
      <w:pPr>
        <w:spacing w:after="0" w:line="195" w:lineRule="exact"/>
        <w:rPr>
          <w:sz w:val="20"/>
          <w:szCs w:val="20"/>
          <w:color w:val="auto"/>
        </w:rPr>
      </w:pPr>
    </w:p>
    <w:p>
      <w:pPr>
        <w:ind w:right="340" w:firstLine="810"/>
        <w:spacing w:after="0" w:line="277" w:lineRule="auto"/>
        <w:rPr>
          <w:sz w:val="20"/>
          <w:szCs w:val="20"/>
          <w:color w:val="auto"/>
        </w:rPr>
      </w:pPr>
      <w:r>
        <w:rPr>
          <w:rFonts w:ascii="Arial" w:cs="Arial" w:eastAsia="Arial" w:hAnsi="Arial"/>
          <w:sz w:val="18"/>
          <w:szCs w:val="18"/>
          <w:color w:val="auto"/>
        </w:rPr>
        <w:t>The risks posed by this lawsuit and any future related matters include civil monetary damages, attorney fees and costs, other legal penalties, reputational damage, loss of goodwill, and competitive harm.</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If we are found to have violated laws concerning the privacy and security of patient health information or other personal information, we could be subject to civil or criminal penalties, which could increase our liabilities and harm our reputation or our business.*</w:t>
      </w:r>
    </w:p>
    <w:p>
      <w:pPr>
        <w:spacing w:after="0" w:line="146" w:lineRule="exact"/>
        <w:rPr>
          <w:sz w:val="20"/>
          <w:szCs w:val="20"/>
          <w:color w:val="auto"/>
        </w:rPr>
      </w:pPr>
    </w:p>
    <w:p>
      <w:pPr>
        <w:ind w:right="100" w:firstLine="810"/>
        <w:spacing w:after="0" w:line="273" w:lineRule="auto"/>
        <w:rPr>
          <w:sz w:val="20"/>
          <w:szCs w:val="20"/>
          <w:color w:val="auto"/>
        </w:rPr>
      </w:pPr>
      <w:r>
        <w:rPr>
          <w:rFonts w:ascii="Arial" w:cs="Arial" w:eastAsia="Arial" w:hAnsi="Arial"/>
          <w:sz w:val="17"/>
          <w:szCs w:val="17"/>
          <w:color w:val="auto"/>
        </w:rPr>
        <w:t>There are a number of domestic and international laws protecting the privacy and security of personal information. These laws include the U.S. Health Insurance Portability and Accountability Act of 1996 (HIPAA) and related regulations, U.S. state laws (such as the California Consumer Privacy Act (CCPA)), Canada’s Personal Information and Electronic Documents Act (PIPEDA) or the applicable provincial alternatives, the EU’s General Data Protection Regulation (GDPR), EU member states directives, or similar applicable laws. These laws place limits on how we may collect, use, share and store medical information and other personal information, and they impose obligations to protect that information against unauthorized access, use, loss, and disclosure. The putative class action lawsuit described above alleges violations of some of these laws.</w:t>
      </w:r>
    </w:p>
    <w:p>
      <w:pPr>
        <w:spacing w:after="0" w:line="178"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If we, or any of our service providers who have access to the personal data for which we are responsible, are found to be in violation of the privacy or security requirements of HIPAA, PIPEDA, GDPR, or applicable foreign, U.S. state and Canadian provincial laws, we could be subject to civil or criminal penalties, which could increase our liabilities, harm our reputation and have a material adverse effect on our business, financial condition and operating results. In addition, entities operating in the healthcare industry have increasingly become targets for hackers. Although we utilize a variety of measures to secure the data that we control, even compliant entities can experience security breaches or have inadvertent failures despite employing reasonable practices and safeguards.</w:t>
      </w:r>
    </w:p>
    <w:p>
      <w:pPr>
        <w:spacing w:after="0" w:line="192"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We may also face new risks relating to data privacy and security as the United States, individual U.S. states or Canadian provinces, E.U. member states, and other international jurisdictions adopt or implement new data privacy and security laws and regulations as we continue to commercialize our products worldwide. For example, amendments to privacy and security laws (such as the CCPA) may impose additional requirements on us and increase our regulatory and litigation risk. As we continue to expand, our business will need to adapt to meet these and other similar legal requirements.</w:t>
      </w:r>
    </w:p>
    <w:p>
      <w:pPr>
        <w:spacing w:after="0" w:line="1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70" w:lineRule="exact"/>
        <w:rPr>
          <w:sz w:val="20"/>
          <w:szCs w:val="20"/>
          <w:color w:val="auto"/>
        </w:rPr>
      </w:pPr>
    </w:p>
    <w:p>
      <w:pPr>
        <w:ind w:right="20" w:firstLine="810"/>
        <w:spacing w:after="0" w:line="270" w:lineRule="auto"/>
        <w:rPr>
          <w:sz w:val="20"/>
          <w:szCs w:val="20"/>
          <w:color w:val="auto"/>
        </w:rPr>
      </w:pPr>
      <w:r>
        <w:rPr>
          <w:rFonts w:ascii="Arial" w:cs="Arial" w:eastAsia="Arial" w:hAnsi="Arial"/>
          <w:sz w:val="17"/>
          <w:szCs w:val="17"/>
          <w:color w:val="auto"/>
        </w:rPr>
        <w:t>We have benefited substantially from the leadership and performance of our senior management, as well as certain key employees. For example, key members of our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The loss of the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4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depend upon key employees in a competitive market, and if we are unable to provide meaningful equity incentives to retain key personnel, it could adversely affect our ability to execute our business strategy.</w:t>
      </w:r>
    </w:p>
    <w:p>
      <w:pPr>
        <w:spacing w:after="0" w:line="170"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color w:val="auto"/>
        </w:rPr>
        <w:t>We are highly dependent upon the members of our management team, as well as other key employees. In our industry, it is common to attract and retain executive talent and other employees with compensation packages that include a significant equity component. We have issued, and may continue to issue, additional equity incentives that we believe will enhance our ability to retain our current key employees and attract the necessary additional executive talent. It may be more difficult to continue to incentivize employees during a period of rapid growth in our overall headcount while limiting the utilization of the share reserve under our current stock incentive plans. However, even if we issue significant additional equity incentives, there can be no assurance that we will be able to attract and retain key executive talent. A loss of any of our key personnel, or our inability to hire new personnel, may have a material adverse effect on our ability to execute our business strategy.</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began commercialization of our products outside of the United States, which may result in a variety of risks associated with international operations that could materially adversely affect our business.*</w:t>
      </w:r>
    </w:p>
    <w:p>
      <w:pPr>
        <w:spacing w:after="0" w:line="170"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During 2018, we began commercialization of the t:slim X2 insulin pump in select geographies outside of the United States. We have limited experience commercializing our products outside of the United States and expect that we will be subject to additional risks related to international business markets, including:</w:t>
      </w:r>
    </w:p>
    <w:p>
      <w:pPr>
        <w:spacing w:after="0" w:line="184" w:lineRule="exact"/>
        <w:rPr>
          <w:sz w:val="20"/>
          <w:szCs w:val="20"/>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regulatory requirements for product approvals in foreign countries;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differing U.S. and foreign medical device import and export rules;</w:t>
      </w:r>
    </w:p>
    <w:p>
      <w:pPr>
        <w:spacing w:after="0" w:line="225" w:lineRule="exact"/>
        <w:rPr>
          <w:rFonts w:ascii="Arial" w:cs="Arial" w:eastAsia="Arial" w:hAnsi="Arial"/>
          <w:sz w:val="18"/>
          <w:szCs w:val="18"/>
          <w:color w:val="auto"/>
        </w:rPr>
      </w:pPr>
    </w:p>
    <w:p>
      <w:pPr>
        <w:ind w:left="1960" w:right="460" w:hanging="656"/>
        <w:spacing w:after="0" w:line="277" w:lineRule="auto"/>
        <w:tabs>
          <w:tab w:leader="none" w:pos="1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more restrictive privacy laws relating to personal information of end-users and employees, including GDPR and other EU member state directives;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protection for our intellectual property rights in foreign countries;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1960" w:hanging="656"/>
        <w:spacing w:after="0" w:line="277" w:lineRule="auto"/>
        <w:tabs>
          <w:tab w:leader="none" w:pos="1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or with U.S. regulations that would apply to activities in such foreign jurisdictions, such as the Foreign Corrupt Practices Act;</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1960" w:right="180" w:hanging="656"/>
        <w:spacing w:after="0" w:line="277" w:lineRule="auto"/>
        <w:tabs>
          <w:tab w:leader="none" w:pos="1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 and</w:t>
      </w:r>
    </w:p>
    <w:p>
      <w:pPr>
        <w:spacing w:after="0" w:line="170" w:lineRule="exact"/>
        <w:rPr>
          <w:rFonts w:ascii="Arial" w:cs="Arial" w:eastAsia="Arial" w:hAnsi="Arial"/>
          <w:sz w:val="18"/>
          <w:szCs w:val="18"/>
          <w:color w:val="auto"/>
        </w:rPr>
      </w:pPr>
    </w:p>
    <w:p>
      <w:pPr>
        <w:ind w:left="1960" w:right="20" w:hanging="656"/>
        <w:spacing w:after="0" w:line="277" w:lineRule="auto"/>
        <w:tabs>
          <w:tab w:leader="none" w:pos="1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natural disasters, or incidence of disease, including as a result of the COVID-19 global pandemic.</w:t>
      </w:r>
    </w:p>
    <w:p>
      <w:pPr>
        <w:spacing w:after="0" w:line="170"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pacing w:after="0" w:line="165"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b w:val="1"/>
          <w:bCs w:val="1"/>
          <w:i w:val="1"/>
          <w:iCs w:val="1"/>
          <w:color w:val="auto"/>
        </w:rPr>
        <w:t>We may seek to grow our business through acquisitions of products or technologies, or investments in businesses, and the failure to successfully manage these acquisitions or investments, or the failure to integrate them with our existing business, could have a material adverse effect on our business, financial condition and operating results.*</w:t>
      </w:r>
    </w:p>
    <w:p>
      <w:pPr>
        <w:spacing w:after="0" w:line="184"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From time to time, we may consider opportunities to acquire or invest in other companies, products or technologies that may enhance our product platform or technology, expand the breadth of our markets or customer base, or otherwise advance our business strategies. Potential and completed acquisitions and investments involve numerous risks, including:</w:t>
      </w:r>
    </w:p>
    <w:p>
      <w:pPr>
        <w:spacing w:after="0" w:line="184" w:lineRule="exact"/>
        <w:rPr>
          <w:sz w:val="20"/>
          <w:szCs w:val="20"/>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unanticipated costs, impairment charges or write-offs associated with acquisitions or investments;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40" w:hanging="636"/>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225" w:lineRule="exact"/>
        <w:rPr>
          <w:rFonts w:ascii="Arial" w:cs="Arial" w:eastAsia="Arial" w:hAnsi="Arial"/>
          <w:sz w:val="18"/>
          <w:szCs w:val="18"/>
          <w:color w:val="auto"/>
        </w:rPr>
      </w:pPr>
    </w:p>
    <w:p>
      <w:pPr>
        <w:ind w:left="1960" w:right="120" w:hanging="656"/>
        <w:spacing w:after="0" w:line="277" w:lineRule="auto"/>
        <w:tabs>
          <w:tab w:leader="none" w:pos="19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to comply with regulatory requirements or other compliance matters.</w:t>
      </w:r>
    </w:p>
    <w:p>
      <w:pPr>
        <w:spacing w:after="0" w:line="170"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We may experience one or more of these risks in connection with our acquisition of Sugarmate, which was completed in 2020. We do not know if we will be able to identify future acquisitions or investments we deem suitable, whether we will be able to successfully complete any such acquisitions or investments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Future Financings and Financial Results</w:t>
      </w:r>
    </w:p>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need or otherwise determine to raise additional funds in the future and if we are unable to raise additional funds when necessary or desirable, we may not be able to achieve our strategic objectives.*</w:t>
      </w:r>
    </w:p>
    <w:p>
      <w:pPr>
        <w:spacing w:after="0" w:line="170"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At June 30, 2021, we had $545.3 million in cash, cash equivalents and short-term investments. Our management expects the continued growth of our business, including the expansion of our customer service infrastructure to support our growing base of customers, our plans to expand commercial sales of our products outside of the United States, the growth of our manufacturing and warehousing operations, increasing the size of our facility footprint due to increases in headcount and additional R&amp;D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spacing w:after="0" w:line="192" w:lineRule="exact"/>
        <w:rPr>
          <w:sz w:val="20"/>
          <w:szCs w:val="20"/>
          <w:color w:val="auto"/>
        </w:rPr>
      </w:pPr>
    </w:p>
    <w:p>
      <w:pPr>
        <w:ind w:left="1960" w:right="180" w:hanging="656"/>
        <w:spacing w:after="0" w:line="277" w:lineRule="auto"/>
        <w:tabs>
          <w:tab w:leader="none" w:pos="19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revenue generated by sales of our insulin pump products, and the related insulin cartridges and infusion sets, and any other future products that we may develop and commercialize;</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gross profits and gross margin we realize from the sales we generate;</w:t>
      </w:r>
    </w:p>
    <w:p>
      <w:pPr>
        <w:spacing w:after="0" w:line="225" w:lineRule="exact"/>
        <w:rPr>
          <w:rFonts w:ascii="Arial" w:cs="Arial" w:eastAsia="Arial" w:hAnsi="Arial"/>
          <w:sz w:val="18"/>
          <w:szCs w:val="18"/>
          <w:color w:val="auto"/>
        </w:rPr>
      </w:pPr>
    </w:p>
    <w:p>
      <w:pPr>
        <w:ind w:left="1960" w:right="1020" w:hanging="656"/>
        <w:spacing w:after="0" w:line="277" w:lineRule="auto"/>
        <w:tabs>
          <w:tab w:leader="none" w:pos="19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an appropriate sales, marketing, clinical and customer service infrastructure;</w:t>
      </w:r>
    </w:p>
    <w:p>
      <w:pPr>
        <w:spacing w:after="0" w:line="170" w:lineRule="exact"/>
        <w:rPr>
          <w:rFonts w:ascii="Arial" w:cs="Arial" w:eastAsia="Arial" w:hAnsi="Arial"/>
          <w:sz w:val="18"/>
          <w:szCs w:val="18"/>
          <w:color w:val="auto"/>
        </w:rPr>
      </w:pPr>
    </w:p>
    <w:p>
      <w:pPr>
        <w:ind w:left="1960" w:right="20" w:hanging="656"/>
        <w:spacing w:after="0" w:line="342" w:lineRule="auto"/>
        <w:tabs>
          <w:tab w:leader="none" w:pos="19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expenses we incur or other capital expenditures we make to maintain or enhance our manufacturing operations and distribution capabilities, including leasing additional property, hiring additional personnel, and purchasing additional equipment;</w:t>
      </w:r>
    </w:p>
    <w:p>
      <w:pPr>
        <w:spacing w:after="0" w:line="123" w:lineRule="exact"/>
        <w:rPr>
          <w:rFonts w:ascii="Arial" w:cs="Arial" w:eastAsia="Arial" w:hAnsi="Arial"/>
          <w:sz w:val="16"/>
          <w:szCs w:val="16"/>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expenses associated with developing and commercializing our proposed products or technologies;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cost of obtaining and maintaining regulatory clearance or approval for our products and our manufacturing facilities;</w:t>
      </w:r>
    </w:p>
    <w:p>
      <w:pPr>
        <w:spacing w:after="0" w:line="236" w:lineRule="exact"/>
        <w:rPr>
          <w:rFonts w:ascii="Arial" w:cs="Arial" w:eastAsia="Arial" w:hAnsi="Arial"/>
          <w:sz w:val="17"/>
          <w:szCs w:val="17"/>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ongoing compliance with legal and regulatory requirements;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expenses we incur in connection with potential litigation or governmental investigations;</w:t>
      </w:r>
    </w:p>
    <w:p>
      <w:pPr>
        <w:spacing w:after="0" w:line="225" w:lineRule="exact"/>
        <w:rPr>
          <w:rFonts w:ascii="Arial" w:cs="Arial" w:eastAsia="Arial" w:hAnsi="Arial"/>
          <w:sz w:val="18"/>
          <w:szCs w:val="18"/>
          <w:color w:val="auto"/>
        </w:rPr>
      </w:pPr>
    </w:p>
    <w:p>
      <w:pPr>
        <w:ind w:left="1960" w:right="40" w:hanging="656"/>
        <w:spacing w:after="0" w:line="308" w:lineRule="auto"/>
        <w:tabs>
          <w:tab w:leader="none" w:pos="19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expenses we may incur or other financial commitments we may make in connection with current and potential new acquisitions, investments, business or commercial collaborations, development agreements or licensing arrangements;</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anticipated or unanticipated capital expenditures;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unanticipated general and administrative expenses; and</w:t>
      </w:r>
    </w:p>
    <w:p>
      <w:pPr>
        <w:spacing w:after="0" w:line="225" w:lineRule="exact"/>
        <w:rPr>
          <w:rFonts w:ascii="Arial" w:cs="Arial" w:eastAsia="Arial" w:hAnsi="Arial"/>
          <w:sz w:val="18"/>
          <w:szCs w:val="18"/>
          <w:color w:val="auto"/>
        </w:rPr>
      </w:pPr>
    </w:p>
    <w:p>
      <w:pPr>
        <w:ind w:left="1960" w:right="520" w:hanging="656"/>
        <w:spacing w:after="0" w:line="277" w:lineRule="auto"/>
        <w:tabs>
          <w:tab w:leader="none" w:pos="19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impacts and disruptions resulting from geopolitical actions, including war and terrorism, natural disasters, or incidence of disease, including as a result of the impacts from the COVID-19 global pandemic.</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As a result of these and other factors we may in the future seek additional capital from public or private offerings of our equity or debt securities,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92" w:lineRule="exact"/>
        <w:rPr>
          <w:sz w:val="20"/>
          <w:szCs w:val="20"/>
          <w:color w:val="auto"/>
        </w:rPr>
      </w:pPr>
    </w:p>
    <w:p>
      <w:pPr>
        <w:ind w:right="140" w:firstLine="810"/>
        <w:spacing w:after="0" w:line="279" w:lineRule="auto"/>
        <w:rPr>
          <w:sz w:val="20"/>
          <w:szCs w:val="20"/>
          <w:color w:val="auto"/>
        </w:rPr>
      </w:pPr>
      <w:r>
        <w:rPr>
          <w:rFonts w:ascii="Arial" w:cs="Arial" w:eastAsia="Arial" w:hAnsi="Arial"/>
          <w:sz w:val="17"/>
          <w:szCs w:val="17"/>
          <w:color w:val="auto"/>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from quarter to quarter.*</w:t>
      </w:r>
    </w:p>
    <w:p>
      <w:pPr>
        <w:spacing w:after="0" w:line="225" w:lineRule="exact"/>
        <w:rPr>
          <w:sz w:val="20"/>
          <w:szCs w:val="20"/>
          <w:color w:val="auto"/>
        </w:rPr>
      </w:pPr>
    </w:p>
    <w:p>
      <w:pPr>
        <w:ind w:right="180" w:firstLine="810"/>
        <w:spacing w:after="0" w:line="259" w:lineRule="auto"/>
        <w:rPr>
          <w:sz w:val="20"/>
          <w:szCs w:val="20"/>
          <w:color w:val="auto"/>
        </w:rPr>
      </w:pPr>
      <w:r>
        <w:rPr>
          <w:rFonts w:ascii="Arial" w:cs="Arial" w:eastAsia="Arial" w:hAnsi="Arial"/>
          <w:sz w:val="18"/>
          <w:szCs w:val="18"/>
          <w:color w:val="auto"/>
        </w:rPr>
        <w:t>There has been and may continue to be meaningful variability in our operating results from quarter to quarter, as well as within each quarter, especially around the time of anticipated new product launches or regulatory approvals by us or our competitors, and as a result of the commercial launch of our products in geographies outside of the United States. Our operating results, and the variability of these operating results, will be affected by numerous factors, including:</w:t>
      </w:r>
    </w:p>
    <w:p>
      <w:pPr>
        <w:spacing w:after="0" w:line="187" w:lineRule="exact"/>
        <w:rPr>
          <w:sz w:val="20"/>
          <w:szCs w:val="20"/>
          <w:color w:val="auto"/>
        </w:rPr>
      </w:pPr>
    </w:p>
    <w:p>
      <w:pPr>
        <w:ind w:left="1960" w:right="220" w:hanging="656"/>
        <w:spacing w:after="0" w:line="277" w:lineRule="auto"/>
        <w:tabs>
          <w:tab w:leader="none" w:pos="1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commercialize and sell our current and future products and our ability to increase sales and gross profit from our products, including insulin pumps and the related insulin cartridges and infusion sets;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and mix of our products sold in each quarter;</w:t>
      </w:r>
    </w:p>
    <w:p>
      <w:pPr>
        <w:spacing w:after="0" w:line="225" w:lineRule="exact"/>
        <w:rPr>
          <w:rFonts w:ascii="Arial" w:cs="Arial" w:eastAsia="Arial" w:hAnsi="Arial"/>
          <w:sz w:val="18"/>
          <w:szCs w:val="18"/>
          <w:color w:val="auto"/>
        </w:rPr>
      </w:pPr>
    </w:p>
    <w:p>
      <w:pPr>
        <w:ind w:left="1960" w:right="400" w:hanging="656"/>
        <w:spacing w:after="0" w:line="277" w:lineRule="auto"/>
        <w:tabs>
          <w:tab w:leader="none" w:pos="1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acceptance of our products by people with insulin-dependent diabetes, their caregivers, healthcare providers and third-party payors;</w:t>
      </w:r>
    </w:p>
    <w:p>
      <w:pPr>
        <w:spacing w:after="0" w:line="170" w:lineRule="exact"/>
        <w:rPr>
          <w:rFonts w:ascii="Arial" w:cs="Arial" w:eastAsia="Arial" w:hAnsi="Arial"/>
          <w:sz w:val="18"/>
          <w:szCs w:val="18"/>
          <w:color w:val="auto"/>
        </w:rPr>
      </w:pPr>
    </w:p>
    <w:p>
      <w:pPr>
        <w:ind w:left="1960" w:right="180" w:hanging="656"/>
        <w:spacing w:after="0" w:line="277" w:lineRule="auto"/>
        <w:tabs>
          <w:tab w:leader="none" w:pos="1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pricing of our products and competitive products, including the use of discounts, rebates or other financial incentives by us or our competitors;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 of third-party coverage and reimbursement policies;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our existing infrastructure;</w:t>
      </w:r>
    </w:p>
    <w:p>
      <w:pPr>
        <w:spacing w:after="0" w:line="225" w:lineRule="exact"/>
        <w:rPr>
          <w:rFonts w:ascii="Arial" w:cs="Arial" w:eastAsia="Arial" w:hAnsi="Arial"/>
          <w:sz w:val="18"/>
          <w:szCs w:val="18"/>
          <w:color w:val="auto"/>
        </w:rPr>
      </w:pPr>
    </w:p>
    <w:p>
      <w:pPr>
        <w:ind w:left="1960" w:right="480" w:hanging="656"/>
        <w:spacing w:after="0" w:line="277" w:lineRule="auto"/>
        <w:tabs>
          <w:tab w:leader="none" w:pos="1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of, and the timing of the payment for, insurance deductibles required to be paid by our customers and potential customers under their existing insurance plans;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simultaneously manufacture multiple products that meet quality, reliability and regulatory requirements;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seasonality and other factors affecting the timing of purchases of our products;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and future products;</w:t>
      </w:r>
    </w:p>
    <w:p>
      <w:pPr>
        <w:spacing w:after="0" w:line="225" w:lineRule="exact"/>
        <w:rPr>
          <w:rFonts w:ascii="Arial" w:cs="Arial" w:eastAsia="Arial" w:hAnsi="Arial"/>
          <w:sz w:val="18"/>
          <w:szCs w:val="18"/>
          <w:color w:val="auto"/>
        </w:rPr>
      </w:pPr>
    </w:p>
    <w:p>
      <w:pPr>
        <w:ind w:left="1960" w:right="180" w:hanging="656"/>
        <w:spacing w:after="0" w:line="277" w:lineRule="auto"/>
        <w:tabs>
          <w:tab w:leader="none" w:pos="1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components that meet our requirements for product quality and reliability;</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clearance or approvals affecting our products or those of our competitors;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timing of revenue and expense recognition associated with our product sales pursuant to applicable accounting standards.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80" w:firstLine="810"/>
        <w:spacing w:after="0" w:line="296" w:lineRule="auto"/>
        <w:rPr>
          <w:sz w:val="20"/>
          <w:szCs w:val="20"/>
          <w:color w:val="auto"/>
        </w:rPr>
      </w:pPr>
      <w:r>
        <w:rPr>
          <w:rFonts w:ascii="Arial" w:cs="Arial" w:eastAsia="Arial" w:hAnsi="Arial"/>
          <w:sz w:val="16"/>
          <w:szCs w:val="16"/>
          <w:color w:val="auto"/>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comprehensively protect our intellectual property and proprietary technology is uncertain.*</w:t>
      </w:r>
    </w:p>
    <w:p>
      <w:pPr>
        <w:spacing w:after="0" w:line="185"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color w:val="auto"/>
        </w:rPr>
        <w:t>We rely primarily on patent, trademark and trade secret laws, as well as confidentiality and non-disclosure agreements, to protect our proprietary technologies. As of June 30, 2021, our patent portfolio consisted of approximately 110 issued U.S. patents and 74 pending U.S. patent applications. Of these, our issued U.S. patents expire between approximately 2021 and 2039. Our foreign patent portfolio consisted of approximately 32 issued patents and 19 pending patent applications in other countries throughout the world. Of these, our issued foreign patents expire between approximately 2025 and 2033. In addition, we also have 89 trademark registrations, including 19 U.S. trademark registrations and 70 foreign trademark registrations.</w:t>
      </w:r>
    </w:p>
    <w:p>
      <w:pPr>
        <w:spacing w:after="0" w:line="161" w:lineRule="exact"/>
        <w:rPr>
          <w:sz w:val="20"/>
          <w:szCs w:val="20"/>
          <w:color w:val="auto"/>
        </w:rPr>
      </w:pPr>
    </w:p>
    <w:p>
      <w:pPr>
        <w:ind w:right="120" w:firstLine="810"/>
        <w:spacing w:after="0" w:line="288" w:lineRule="auto"/>
        <w:rPr>
          <w:sz w:val="20"/>
          <w:szCs w:val="20"/>
          <w:color w:val="auto"/>
        </w:rPr>
      </w:pPr>
      <w:r>
        <w:rPr>
          <w:rFonts w:ascii="Arial" w:cs="Arial" w:eastAsia="Arial" w:hAnsi="Arial"/>
          <w:sz w:val="16"/>
          <w:szCs w:val="16"/>
          <w:color w:val="auto"/>
        </w:rPr>
        <w:t>We have applied for patent protection relating to certain existing and proposed products and processes. If we fail to file a patent application timely in any jurisdiction, it could result in us forfeiting certain patent rights in that jurisdiction. Further, we cannot assure you that any of our patent applications will be granted in a timely manner or at all. The rights granted to us under our patents, and the rights we are seeking to have granted in our pending patent applications, may not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68" w:lineRule="exact"/>
        <w:rPr>
          <w:sz w:val="20"/>
          <w:szCs w:val="20"/>
          <w:color w:val="auto"/>
        </w:rPr>
      </w:pPr>
    </w:p>
    <w:p>
      <w:pPr>
        <w:ind w:right="180" w:firstLine="810"/>
        <w:spacing w:after="0" w:line="255" w:lineRule="auto"/>
        <w:rPr>
          <w:sz w:val="20"/>
          <w:szCs w:val="20"/>
          <w:color w:val="auto"/>
        </w:rPr>
      </w:pPr>
      <w:r>
        <w:rPr>
          <w:rFonts w:ascii="Arial" w:cs="Arial" w:eastAsia="Arial" w:hAnsi="Arial"/>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92" w:lineRule="exact"/>
        <w:rPr>
          <w:sz w:val="20"/>
          <w:szCs w:val="20"/>
          <w:color w:val="auto"/>
        </w:rPr>
      </w:pPr>
    </w:p>
    <w:p>
      <w:pPr>
        <w:ind w:right="180" w:firstLine="810"/>
        <w:spacing w:after="0" w:line="257" w:lineRule="auto"/>
        <w:rPr>
          <w:sz w:val="20"/>
          <w:szCs w:val="20"/>
          <w:color w:val="auto"/>
        </w:rPr>
      </w:pPr>
      <w:r>
        <w:rPr>
          <w:rFonts w:ascii="Arial" w:cs="Arial" w:eastAsia="Arial" w:hAnsi="Arial"/>
          <w:sz w:val="18"/>
          <w:szCs w:val="18"/>
          <w:color w:val="auto"/>
        </w:rPr>
        <w:t>We have entered into confidentiality agreements and intellectual property assignment agreements with our officers, employees, temporary employees and consultants regarding our intellectual property and proprietary technology. We also enter into confidentiality agreements with potential collaborators and other counterparties, and the terms of our collaboration agreements typically contain provisions governing the ownership and control of intellectual property. In the event of unauthorized use or disclosure or other breaches of those agreements, we may not be provided with meaningful protection for our trade secrets or other proprietary information.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If a competitor infringes one of our patents, trademarks or other intellectual property rights, enforcing those patents, trademarks and other intellectual property rights may be difficult, expensive and time consuming. Patent law relating to the scope of claims in the industry in which we operate is subject to rapid change and constant evolution and, consequently, patent protection in our industry can be uncertain. Even if successful, litigation to defend our patents and trademarks against challenges or to enforce our intellectual property rights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narrowly interpreted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14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Patent litigation in the medical device industry is not uncommon, and from time to time, we may be subject to litigation that could be costly, result in the diversion of management’s time and efforts, or require us to pay damages.*</w:t>
      </w:r>
    </w:p>
    <w:p>
      <w:pPr>
        <w:spacing w:after="0" w:line="170"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considerable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76"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From time to time, we may receive communications from third parties alleging our infringement of their intellectual property rights or offering a license to their intellectual property relating to products that we are currently developing. Any intellectual property-related discussions, disputes or litigation could force us to do one or more of the following:</w:t>
      </w:r>
    </w:p>
    <w:p>
      <w:pPr>
        <w:spacing w:after="0" w:line="184" w:lineRule="exact"/>
        <w:rPr>
          <w:sz w:val="20"/>
          <w:szCs w:val="20"/>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stop selling our products or using technology that allegedly infringes third-party intellectual property;</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prevent or limit our ability to sell a product that we are currently developing;</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are allegedly infringing;</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redesign those products that allegedly infringe third-party intellectual property; or</w:t>
      </w:r>
    </w:p>
    <w:p>
      <w:pPr>
        <w:spacing w:after="0" w:line="225" w:lineRule="exact"/>
        <w:rPr>
          <w:rFonts w:ascii="Arial" w:cs="Arial" w:eastAsia="Arial" w:hAnsi="Arial"/>
          <w:sz w:val="18"/>
          <w:szCs w:val="18"/>
          <w:color w:val="auto"/>
        </w:rPr>
      </w:pPr>
    </w:p>
    <w:p>
      <w:pPr>
        <w:ind w:left="1960" w:right="400" w:hanging="656"/>
        <w:spacing w:after="0" w:line="277" w:lineRule="auto"/>
        <w:tabs>
          <w:tab w:leader="none" w:pos="1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w:t>
      </w:r>
    </w:p>
    <w:p>
      <w:pPr>
        <w:spacing w:after="0" w:line="170" w:lineRule="exact"/>
        <w:rPr>
          <w:sz w:val="20"/>
          <w:szCs w:val="20"/>
          <w:color w:val="auto"/>
        </w:rPr>
      </w:pPr>
    </w:p>
    <w:p>
      <w:pPr>
        <w:ind w:firstLine="810"/>
        <w:spacing w:after="0" w:line="275" w:lineRule="auto"/>
        <w:rPr>
          <w:sz w:val="20"/>
          <w:szCs w:val="20"/>
          <w:color w:val="auto"/>
        </w:rPr>
      </w:pPr>
      <w:r>
        <w:rPr>
          <w:rFonts w:ascii="Arial" w:cs="Arial" w:eastAsia="Arial" w:hAnsi="Arial"/>
          <w:sz w:val="17"/>
          <w:szCs w:val="17"/>
          <w:color w:val="auto"/>
        </w:rPr>
        <w:t>We do not currently maintain insurance to cover the expense or any liability that may arise from an intellectual property dispute with a third party. Any litigation or claim against us, even those without merit, or even preparing for a potential dispute or litigation before it arises, may cause us to incur substantial costs, and could place a significant strain on our financial resources and divert the attention of management from our core business. Any litigation or claim against us may also harm our reputation. Further, as we launch new products and increase our sales, and the number of participants in the diabetes market increases, we believe the possibility of our involvement in intellectual property disputes will increase.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46"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25"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Our business exposes us to potential product liability claims that are inherent in the design, manufacture, testing, inspection, and sale of medical devices. We are subject to product liability lawsuits alleging that component failures, manufacturing flaws, manufacturing defects, negligence in manufacturing, design defects, negligence in design, or inadequate disclosure of product-related risks, warnings, or product-related information resulted in an unsafe condition, injury or death to customers. The risk of one or more product liability claims or lawsuits may be even greater after we launch new products with new features or enter new markets where we have no prior experience selling our products and rely on newly-hired staff or new independent distributors or contractors to provide new customer training and customer support. In addition, the misuse of our products or the failure of customers to adhere to operating guidelines could cause significant harm to customers, including death, which could result in product liability claims. We may also identify deficiencies in our products that we determine are immaterial and do not pose safety risks, and therefore decide not to initiate a voluntary recall. However, any such deficiency may be more significant than we expect and lead to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79" w:lineRule="exact"/>
        <w:rPr>
          <w:sz w:val="20"/>
          <w:szCs w:val="20"/>
          <w:color w:val="auto"/>
        </w:rPr>
      </w:pPr>
    </w:p>
    <w:p>
      <w:pPr>
        <w:ind w:right="40" w:firstLine="810"/>
        <w:spacing w:after="0" w:line="290" w:lineRule="auto"/>
        <w:rPr>
          <w:sz w:val="20"/>
          <w:szCs w:val="20"/>
          <w:color w:val="auto"/>
        </w:rPr>
      </w:pPr>
      <w:r>
        <w:rPr>
          <w:rFonts w:ascii="Arial" w:cs="Arial" w:eastAsia="Arial" w:hAnsi="Arial"/>
          <w:sz w:val="16"/>
          <w:szCs w:val="16"/>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In addition, we expect the cost of our product liability insurance will increase as our product sales increase and we may also increase the amount of our deductibles over time.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against potential product liability claims could prevent or limit our commercialization of current products or products currently under development.</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70" w:lineRule="exact"/>
        <w:rPr>
          <w:sz w:val="20"/>
          <w:szCs w:val="20"/>
          <w:color w:val="auto"/>
        </w:rPr>
      </w:pPr>
    </w:p>
    <w:p>
      <w:pPr>
        <w:ind w:right="140" w:firstLine="810"/>
        <w:spacing w:after="0" w:line="301" w:lineRule="auto"/>
        <w:rPr>
          <w:sz w:val="20"/>
          <w:szCs w:val="20"/>
          <w:color w:val="auto"/>
        </w:rPr>
      </w:pPr>
      <w:r>
        <w:rPr>
          <w:rFonts w:ascii="Arial" w:cs="Arial" w:eastAsia="Arial" w:hAnsi="Arial"/>
          <w:sz w:val="16"/>
          <w:szCs w:val="16"/>
          <w:color w:val="auto"/>
        </w:rPr>
        <w:t>The medical device industry is regulated extensively in the United States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and international regulatory authorities regulate numerous elements of our business, including:</w:t>
      </w:r>
    </w:p>
    <w:p>
      <w:pPr>
        <w:spacing w:after="0" w:line="157" w:lineRule="exact"/>
        <w:rPr>
          <w:sz w:val="20"/>
          <w:szCs w:val="20"/>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pre-clinical and clinical testing and trials;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marketing, manufacturing, sales and distribution;</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25" w:lineRule="exact"/>
        <w:rPr>
          <w:sz w:val="20"/>
          <w:szCs w:val="20"/>
          <w:color w:val="auto"/>
        </w:rPr>
      </w:pPr>
    </w:p>
    <w:p>
      <w:pPr>
        <w:ind w:right="140" w:firstLine="810"/>
        <w:spacing w:after="0" w:line="288" w:lineRule="auto"/>
        <w:rPr>
          <w:sz w:val="20"/>
          <w:szCs w:val="20"/>
          <w:color w:val="auto"/>
        </w:rPr>
      </w:pPr>
      <w:r>
        <w:rPr>
          <w:rFonts w:ascii="Arial" w:cs="Arial" w:eastAsia="Arial" w:hAnsi="Arial"/>
          <w:sz w:val="16"/>
          <w:szCs w:val="16"/>
          <w:color w:val="auto"/>
        </w:rPr>
        <w:t>Before we can market or sell a new regulated product or a significant modification to an existing product in the United States, we must obtain either clearance under Section 510(k) of the Food, Drug and Cosmetic Act or approval of a pre-market approval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the 510(k) clearance process may require a new 510(k) submission. The process of obtaining regulatory clearances or approvals to market a medical device can be costly and time-consuming, and we may not be able to obtain these clearances or approvals on a timely basis or at all for our proposed products.</w:t>
      </w:r>
    </w:p>
    <w:p>
      <w:pPr>
        <w:spacing w:after="0" w:line="168" w:lineRule="exact"/>
        <w:rPr>
          <w:sz w:val="20"/>
          <w:szCs w:val="20"/>
          <w:color w:val="auto"/>
        </w:rPr>
      </w:pPr>
    </w:p>
    <w:p>
      <w:pPr>
        <w:jc w:val="both"/>
        <w:ind w:right="60" w:firstLine="810"/>
        <w:spacing w:after="0" w:line="263" w:lineRule="auto"/>
        <w:rPr>
          <w:sz w:val="20"/>
          <w:szCs w:val="20"/>
          <w:color w:val="auto"/>
        </w:rPr>
      </w:pPr>
      <w:r>
        <w:rPr>
          <w:rFonts w:ascii="Arial" w:cs="Arial" w:eastAsia="Arial" w:hAnsi="Arial"/>
          <w:sz w:val="18"/>
          <w:szCs w:val="18"/>
          <w:color w:val="auto"/>
        </w:rPr>
        <w:t>If the FDA or other regulatory authority requires a more rigorous examination for our future products or modifications to existing products than we had expected, our product introductions or modifications could be delayed or canceled, which could cause our sales to decline or to not increase in line with our forecasts.</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FDA or other regulatory authority can delay, limit or deny clearance or approval of one of our devices for many reasons, including:</w:t>
      </w:r>
    </w:p>
    <w:p>
      <w:pPr>
        <w:spacing w:after="0" w:line="237" w:lineRule="exact"/>
        <w:rPr>
          <w:sz w:val="20"/>
          <w:szCs w:val="20"/>
          <w:color w:val="auto"/>
        </w:rPr>
      </w:pPr>
    </w:p>
    <w:p>
      <w:pPr>
        <w:ind w:left="1940" w:hanging="636"/>
        <w:spacing w:after="0"/>
        <w:tabs>
          <w:tab w:leader="none" w:pos="1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demonstrate that our products are safe and effective for their intended users;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data from our pre-clinical studies or clinical trials may be insufficient to support clearance or approval;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of the manufacturing process or facilities we use to meet applicable requirements.</w:t>
      </w:r>
    </w:p>
    <w:p>
      <w:pPr>
        <w:spacing w:after="0" w:line="225"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In addition, the FDA or other regulatory authority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 More recently, the FDA has stated that the review process for new submissions may take longer than normal due to the impact of the COVID-19 global pandemic.</w:t>
      </w:r>
    </w:p>
    <w:p>
      <w:pPr>
        <w:spacing w:after="0" w:line="187"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 Moreover, customers may defer purchasing our existing products in anticipation of a new product launch. Additionally, the FDA and other regulatory authorities have broad enforcement powers, and regulatory enforcement or inquiries, or other increased scrutiny on us, could dissuade some customers from using our products and adversely affect our reputation and the perceived safety and efficacy of our products.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delays by the FDA or other regulators in granting clearances or approvals, and the suspension or withdrawal of existing approvals by the FDA or other regulators.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192" w:lineRule="exact"/>
        <w:rPr>
          <w:sz w:val="20"/>
          <w:szCs w:val="20"/>
          <w:color w:val="auto"/>
        </w:rPr>
      </w:pPr>
    </w:p>
    <w:p>
      <w:pPr>
        <w:ind w:right="100" w:firstLine="810"/>
        <w:spacing w:after="0" w:line="296" w:lineRule="auto"/>
        <w:rPr>
          <w:sz w:val="20"/>
          <w:szCs w:val="20"/>
          <w:color w:val="auto"/>
        </w:rPr>
      </w:pPr>
      <w:r>
        <w:rPr>
          <w:rFonts w:ascii="Arial" w:cs="Arial" w:eastAsia="Arial" w:hAnsi="Arial"/>
          <w:sz w:val="16"/>
          <w:szCs w:val="16"/>
          <w:color w:val="auto"/>
        </w:rPr>
        <w:t>Further, we commenced commercial sales of our products in select international markets during the third quarter of 2018. As we expand our operations outside of the United States and launch new products, we will become subject to various additional regulatory and legal requirements in the international markets we enter. These additional legal and regulatory requirements may result in our incurring significant costs and expenditures. We have limited experience complying with applicable laws and regulations in international markets generally, and in particular when we enter new markets, and if we are not able to comply with any such requirements, our international expansion and business could be significantly harmed.</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New products or modifications to our existing products may require new 510(k) clearances or PMAs, or may require us to cease marketing or recall the modified products until clearances are obtained.*</w:t>
      </w:r>
    </w:p>
    <w:p>
      <w:pPr>
        <w:spacing w:after="0" w:line="170"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95" w:lineRule="exact"/>
        <w:rPr>
          <w:sz w:val="20"/>
          <w:szCs w:val="20"/>
          <w:color w:val="auto"/>
        </w:rPr>
      </w:pPr>
    </w:p>
    <w:p>
      <w:pPr>
        <w:jc w:val="both"/>
        <w:ind w:right="180" w:firstLine="810"/>
        <w:spacing w:after="0" w:line="263" w:lineRule="auto"/>
        <w:rPr>
          <w:sz w:val="20"/>
          <w:szCs w:val="20"/>
          <w:color w:val="auto"/>
        </w:rPr>
      </w:pPr>
      <w:r>
        <w:rPr>
          <w:rFonts w:ascii="Arial" w:cs="Arial" w:eastAsia="Arial" w:hAnsi="Arial"/>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57"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b w:val="1"/>
          <w:bCs w:val="1"/>
          <w:i w:val="1"/>
          <w:iCs w:val="1"/>
          <w:color w:val="auto"/>
        </w:rPr>
        <w:t>If we or our third-party suppliers, contract manufacturers and service providers fail to comply with the FDA’s good manufacturing practice regulations, this could impair our ability to market our products in a cost-effective and timely manner.*</w:t>
      </w:r>
    </w:p>
    <w:p>
      <w:pPr>
        <w:spacing w:after="0" w:line="146"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We and our third-party suppliers, contract manufacturers and service providers are required to comply with the FDA’s Quality System Regulation (QSR), which covers the methods and documentation of the design, testing, production, control, quality assurance, labeling, packaging, sterilization, storage and shipping of our products. The FDA audits compliance with the QSR through periodic announced and unannounced inspections of manufacturing and other facilities which may occur at any time. We cannot assure you that our facilities or our contract manufacturer or third-party suppliers’ facilities would pass any quality system inspection or audit. If we or our suppliers, contract manufacturers and service providers have significant non-compliance issues or if any corrective action plan that we or our suppliers, contract manufacturers or service providers propose in response to observed deficiencies is not sufficient, the FDA could take enforcement action against us and the manufacturing or distribution of our devices could be interrupted and our operations disrupted.</w:t>
      </w:r>
    </w:p>
    <w:p>
      <w:pPr>
        <w:spacing w:after="0" w:line="192" w:lineRule="exact"/>
        <w:rPr>
          <w:sz w:val="20"/>
          <w:szCs w:val="20"/>
          <w:color w:val="auto"/>
        </w:rPr>
      </w:pPr>
    </w:p>
    <w:p>
      <w:pPr>
        <w:jc w:val="both"/>
        <w:ind w:firstLine="810"/>
        <w:spacing w:after="0" w:line="286" w:lineRule="auto"/>
        <w:rPr>
          <w:sz w:val="20"/>
          <w:szCs w:val="20"/>
          <w:color w:val="auto"/>
        </w:rPr>
      </w:pPr>
      <w:r>
        <w:rPr>
          <w:rFonts w:ascii="Arial" w:cs="Arial" w:eastAsia="Arial" w:hAnsi="Arial"/>
          <w:sz w:val="17"/>
          <w:szCs w:val="17"/>
          <w:color w:val="auto"/>
        </w:rPr>
        <w:t>If we, or our third-party suppliers, contract manufacturers and service providers, fail to adhere to QSR requirements, this could delay production of our products and lead to fines, difficulties in obtaining regulatory clearances, recalls, enforcement actions, including injunctive relief or consent decrees, or other consequences, which could, in turn, have a material adverse effect on our financial condition or results of operations.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recall or suspension of our products, or the discovery of serious safety issues with our products, could have a significant negative impact on us.*</w:t>
      </w:r>
    </w:p>
    <w:p>
      <w:pPr>
        <w:spacing w:after="0" w:line="260" w:lineRule="exact"/>
        <w:rPr>
          <w:sz w:val="20"/>
          <w:szCs w:val="20"/>
          <w:color w:val="auto"/>
        </w:rPr>
      </w:pPr>
    </w:p>
    <w:p>
      <w:pPr>
        <w:ind w:right="100" w:firstLine="810"/>
        <w:spacing w:after="0" w:line="289" w:lineRule="auto"/>
        <w:rPr>
          <w:sz w:val="20"/>
          <w:szCs w:val="20"/>
          <w:color w:val="auto"/>
        </w:rPr>
      </w:pPr>
      <w:r>
        <w:rPr>
          <w:rFonts w:ascii="Arial" w:cs="Arial" w:eastAsia="Arial" w:hAnsi="Arial"/>
          <w:sz w:val="16"/>
          <w:szCs w:val="16"/>
          <w:color w:val="auto"/>
        </w:rPr>
        <w:t>The FDA and equivalent foreign regulatory authorities have the authority to require the recall or suspension, either temporarily or permanently, of commercialized products in the event of material deficiencies or defects in quality systems, product design or manufacture or in the event that a product poses an unacceptable risk to health. Regulatory authorities have broad discretion to require the recall or suspension of a product or to require that manufacturers alert customers of safety risks, and may do so even in circumstances where we do not believe our product poses an unacceptable risk to health. In addition, manufacturers may, under their own initiative recall a product or suspend sales if any material deficiency in a product is found or alert customers of unanticipated safety risks. A government-mandated or voluntary recall or suspension by us, one of our distributors or any of our other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w:t>
      </w:r>
    </w:p>
    <w:p>
      <w:pPr>
        <w:spacing w:after="0" w:line="166" w:lineRule="exact"/>
        <w:rPr>
          <w:sz w:val="20"/>
          <w:szCs w:val="20"/>
          <w:color w:val="auto"/>
        </w:rPr>
      </w:pPr>
    </w:p>
    <w:p>
      <w:pPr>
        <w:ind w:right="120" w:firstLine="810"/>
        <w:spacing w:after="0" w:line="254" w:lineRule="auto"/>
        <w:rPr>
          <w:sz w:val="20"/>
          <w:szCs w:val="20"/>
          <w:color w:val="auto"/>
        </w:rPr>
      </w:pPr>
      <w:r>
        <w:rPr>
          <w:rFonts w:ascii="Arial" w:cs="Arial" w:eastAsia="Arial" w:hAnsi="Arial"/>
          <w:sz w:val="18"/>
          <w:szCs w:val="18"/>
          <w:color w:val="auto"/>
        </w:rPr>
        <w:t>Further, under the FDA’s Medical Device Reporting regulations and equivalent regulations in other geographies, we are required to maintain appropriate quality systems and report incidents in which our product may have caused or contributed to serious injury or death in which our product malfunctioned and, if the malfunction were to recur, would likely cause or contribute to serious injury or death.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We have initiated product recalls in the past, and our risk of future product recalls may increase as we launch new products or offer new software updates for existing products.</w:t>
      </w:r>
    </w:p>
    <w:p>
      <w:pPr>
        <w:spacing w:after="0" w:line="19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Any adverse event involving any products that we distribute, either domestically or internationally, could result in future voluntary corrective actions, such as recalls or customer notifications, or regulatory agency action, which could include inspection, mandatory recall or other enforcement action. For example, the Australian Therapeutic Goods Administration (TGA) temporarily suspended our pump product sales in Australia commencing November 24, 2020, however sales of pump-related supplies were allowed to continue. Effective April 1, 2021, following discussions with the TGA, the temporary suspension was lifted for our t:slim X2 with Basal-IQ technology, subject to certain post-market surveillance obligations and other conditions. We have discontinued sales of earlier generation products in Australia and to date we have not offered our Control-IQ technology in Australia but may elect to do so in the future. There can be no assurance that the TGA will not reimpose the suspension of our pump product sales or impose other regulatory restrictions in the future. Any regulatory challenges we encounter could have a negative impact on our product sales and harm our reputation. Any corrective actions we take in response to this action or future matters with the TGA or other regulatory bodies, whether voluntary or involuntary, will require the dedication of our time and capital, may distract management from operating our business, may harm our reputation and financial results or could result in additional regulatory scrutiny in other geographies.</w:t>
      </w:r>
    </w:p>
    <w:p>
      <w:pPr>
        <w:spacing w:after="0" w:line="15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70" w:lineRule="exact"/>
        <w:rPr>
          <w:sz w:val="20"/>
          <w:szCs w:val="20"/>
          <w:color w:val="auto"/>
        </w:rPr>
      </w:pPr>
    </w:p>
    <w:p>
      <w:pPr>
        <w:ind w:right="140" w:firstLine="810"/>
        <w:spacing w:after="0" w:line="279" w:lineRule="auto"/>
        <w:rPr>
          <w:sz w:val="20"/>
          <w:szCs w:val="20"/>
          <w:color w:val="auto"/>
        </w:rPr>
      </w:pPr>
      <w:r>
        <w:rPr>
          <w:rFonts w:ascii="Arial" w:cs="Arial" w:eastAsia="Arial" w:hAnsi="Arial"/>
          <w:sz w:val="17"/>
          <w:szCs w:val="17"/>
          <w:color w:val="auto"/>
        </w:rPr>
        <w:t>There are numerous U.S. federal and state laws pertaining to healthcare fraud and abuse, including anti-kickback laws, physician self-referral laws, and false claims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71" w:lineRule="exact"/>
        <w:rPr>
          <w:sz w:val="20"/>
          <w:szCs w:val="20"/>
          <w:color w:val="auto"/>
        </w:rPr>
      </w:pPr>
    </w:p>
    <w:p>
      <w:pPr>
        <w:ind w:right="100" w:firstLine="810"/>
        <w:spacing w:after="0" w:line="277" w:lineRule="auto"/>
        <w:rPr>
          <w:sz w:val="20"/>
          <w:szCs w:val="20"/>
          <w:color w:val="auto"/>
        </w:rPr>
      </w:pPr>
      <w:r>
        <w:rPr>
          <w:rFonts w:ascii="Arial" w:cs="Arial" w:eastAsia="Arial" w:hAnsi="Arial"/>
          <w:sz w:val="18"/>
          <w:szCs w:val="18"/>
          <w:color w:val="auto"/>
        </w:rPr>
        <w:t>Healthcare fraud and abuse regulations are complex and evolving, and even minor irregularities can potentially give rise to claims that a statute or prohibition has been violated. The laws that may affect our ability to operate include:</w:t>
      </w:r>
    </w:p>
    <w:p>
      <w:pPr>
        <w:spacing w:after="0" w:line="170" w:lineRule="exact"/>
        <w:rPr>
          <w:sz w:val="20"/>
          <w:szCs w:val="20"/>
          <w:color w:val="auto"/>
        </w:rPr>
      </w:pPr>
    </w:p>
    <w:p>
      <w:pPr>
        <w:ind w:left="1960" w:right="180" w:hanging="656"/>
        <w:spacing w:after="0" w:line="257" w:lineRule="auto"/>
        <w:tabs>
          <w:tab w:leader="none" w:pos="19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healthcare programs’ Anti-Kickback Statute, which prohibits, among other things, persons from knowingly and willfully soliciting, receiving, offering, paying or providing remuneration (including any kickback, bribe or rebate), directly or indirectly, overtly or covertly, in cash or in kind in exchange for or to induce either the referral of an individual for, or the purchase, lease, order or recommendation of, any good or service for which payment may be made under federal healthcare programs such as the Medicare and state Medicaid programs;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60" w:right="160" w:hanging="656"/>
        <w:spacing w:after="0" w:line="263"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and state false claims laws which prohibit, among other things, individuals or entities from knowingly presenting, or causing to be presented, claims for payment from Medicare, state Medicaid programs, or other third-party payors that are false or fraudulent;</w:t>
      </w:r>
    </w:p>
    <w:p>
      <w:pPr>
        <w:spacing w:after="0" w:line="183" w:lineRule="exact"/>
        <w:rPr>
          <w:rFonts w:ascii="Arial" w:cs="Arial" w:eastAsia="Arial" w:hAnsi="Arial"/>
          <w:sz w:val="18"/>
          <w:szCs w:val="18"/>
          <w:color w:val="auto"/>
        </w:rPr>
      </w:pPr>
    </w:p>
    <w:p>
      <w:pPr>
        <w:ind w:left="1960" w:right="120" w:hanging="656"/>
        <w:spacing w:after="0" w:line="259"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and state physician self-referral laws, such as the Stark Law, that prohibit a physician from referring Medicare or Medicaid patients to an entity providing “designated health services,” including a company that furnishes durable medical equipment, with which the physician has a financial relationship unless that financial relationship meets an exception under the applicable law;</w:t>
      </w:r>
    </w:p>
    <w:p>
      <w:pPr>
        <w:spacing w:after="0" w:line="186" w:lineRule="exact"/>
        <w:rPr>
          <w:rFonts w:ascii="Arial" w:cs="Arial" w:eastAsia="Arial" w:hAnsi="Arial"/>
          <w:sz w:val="18"/>
          <w:szCs w:val="18"/>
          <w:color w:val="auto"/>
        </w:rPr>
      </w:pPr>
    </w:p>
    <w:p>
      <w:pPr>
        <w:ind w:left="1960" w:right="140" w:hanging="656"/>
        <w:spacing w:after="0" w:line="257"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and state laws, such as the Civil Monetary Penalties Law, that prohibit an individual or entity from offering or transferring remuneration to any person eligible for benefits under a federal or state health care program which such individual or entity knows or should know are likely to influence such eligible individual’s choice of provider, practitioner or supplier of any item or service for which payment may be made under federal health care programs such as Medicare and state Medicaid programs;</w:t>
      </w:r>
    </w:p>
    <w:p>
      <w:pPr>
        <w:spacing w:after="0" w:line="187" w:lineRule="exact"/>
        <w:rPr>
          <w:rFonts w:ascii="Arial" w:cs="Arial" w:eastAsia="Arial" w:hAnsi="Arial"/>
          <w:sz w:val="18"/>
          <w:szCs w:val="18"/>
          <w:color w:val="auto"/>
        </w:rPr>
      </w:pPr>
    </w:p>
    <w:p>
      <w:pPr>
        <w:ind w:left="1960" w:right="220" w:hanging="656"/>
        <w:spacing w:after="0" w:line="277"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criminal laws enacted as part of HIPAA that prohibit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jc w:val="both"/>
        <w:ind w:left="1960" w:right="160" w:hanging="656"/>
        <w:spacing w:after="0" w:line="263"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disclosure laws, such as the Physician Payments Sunshine Act, which require certain manufacturers, including medical device manufacturers, to submit annual data pertaining to payments or other transfers of value to covered recipients, including physicians;</w:t>
      </w:r>
    </w:p>
    <w:p>
      <w:pPr>
        <w:spacing w:after="0" w:line="183" w:lineRule="exact"/>
        <w:rPr>
          <w:rFonts w:ascii="Arial" w:cs="Arial" w:eastAsia="Arial" w:hAnsi="Arial"/>
          <w:sz w:val="18"/>
          <w:szCs w:val="18"/>
          <w:color w:val="auto"/>
        </w:rPr>
      </w:pPr>
    </w:p>
    <w:p>
      <w:pPr>
        <w:ind w:left="1940" w:hanging="636"/>
        <w:spacing w:after="0"/>
        <w:tabs>
          <w:tab w:leader="none" w:pos="1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Trade Commission Act and similar laws regulating advertisement and consumer protections;</w:t>
      </w:r>
    </w:p>
    <w:p>
      <w:pPr>
        <w:spacing w:after="0" w:line="225" w:lineRule="exact"/>
        <w:rPr>
          <w:rFonts w:ascii="Arial" w:cs="Arial" w:eastAsia="Arial" w:hAnsi="Arial"/>
          <w:sz w:val="18"/>
          <w:szCs w:val="18"/>
          <w:color w:val="auto"/>
        </w:rPr>
      </w:pPr>
    </w:p>
    <w:p>
      <w:pPr>
        <w:ind w:left="1960" w:hanging="656"/>
        <w:spacing w:after="0" w:line="277"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and state laws governing the use, disclosure and security of personal information, including protected health information, such as HIPAA and the Health Information Technology for Economic and Clinical Health; and</w:t>
      </w:r>
    </w:p>
    <w:p>
      <w:pPr>
        <w:spacing w:after="0" w:line="170" w:lineRule="exact"/>
        <w:rPr>
          <w:rFonts w:ascii="Arial" w:cs="Arial" w:eastAsia="Arial" w:hAnsi="Arial"/>
          <w:sz w:val="18"/>
          <w:szCs w:val="18"/>
          <w:color w:val="auto"/>
        </w:rPr>
      </w:pPr>
    </w:p>
    <w:p>
      <w:pPr>
        <w:ind w:left="1960" w:right="60" w:hanging="656"/>
        <w:spacing w:after="0" w:line="277"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and U.S. state law equivalents of each of the above federal laws, such as anti-kickback and false claims laws which may apply to items or services reimbursed by any third-party payor, including commercial insurers.</w:t>
      </w:r>
    </w:p>
    <w:p>
      <w:pPr>
        <w:spacing w:after="0" w:line="170"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Possible sanctions for violation of these laws include monetary fines, civil and criminal penalties, exclusion from Medicare, Medicaid and other federal healthcare programs, and forfeiture of amounts collected in violation of those prohibitions and in some circumstances, treble damages. Any violation of these laws, or any action against us for violation of these laws, even if we successfully defend against it, could result in a material adverse effect on our reputation, business, financial condition and operating results. The reporting requirements under the Physician Payments Sunshine Act have been expanded, and we will need to implement additional processes and controls in order to comply with these new tracking and disclosure obligations. Any failure to submit the required data in an accurate and timely manner may result in the imposition of civil monetary penalties. Federal government agencies have issued final rules making modifications to the Anti-Kickback Statute “safe harbors” and the Stark Law regulations, and the full impact of such modifications on the health care industry and our business operations is not yet known. Further, the federal government has published proposed rules for public comment which would make material modifications to HIPAA. It is unknown if or when these proposed rules may be adopted and what final form the proposed rules may take and how they may impact our business operations.</w:t>
      </w:r>
    </w:p>
    <w:p>
      <w:pPr>
        <w:spacing w:after="0" w:line="185" w:lineRule="exact"/>
        <w:rPr>
          <w:sz w:val="20"/>
          <w:szCs w:val="20"/>
          <w:color w:val="auto"/>
        </w:rPr>
      </w:pPr>
    </w:p>
    <w:p>
      <w:pPr>
        <w:ind w:right="40" w:firstLine="810"/>
        <w:spacing w:after="0" w:line="273" w:lineRule="auto"/>
        <w:rPr>
          <w:sz w:val="20"/>
          <w:szCs w:val="20"/>
          <w:color w:val="auto"/>
        </w:rPr>
      </w:pPr>
      <w:r>
        <w:rPr>
          <w:rFonts w:ascii="Arial" w:cs="Arial" w:eastAsia="Arial" w:hAnsi="Arial"/>
          <w:sz w:val="17"/>
          <w:szCs w:val="17"/>
          <w:color w:val="auto"/>
        </w:rPr>
        <w:t>To enforce compliance with the federal laws, the U.S. Department of Justice (DOJ) in conjunction with other federal agencies,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firstLine="810"/>
        <w:spacing w:after="0" w:line="301" w:lineRule="auto"/>
        <w:rPr>
          <w:sz w:val="20"/>
          <w:szCs w:val="20"/>
          <w:color w:val="auto"/>
        </w:rPr>
      </w:pPr>
      <w:r>
        <w:rPr>
          <w:rFonts w:ascii="Arial" w:cs="Arial" w:eastAsia="Arial" w:hAnsi="Arial"/>
          <w:sz w:val="16"/>
          <w:szCs w:val="16"/>
          <w:color w:val="auto"/>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and whether they might be retroactive.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if we engage in the promotion of the off-label use of our products.*</w:t>
      </w:r>
    </w:p>
    <w:p>
      <w:pPr>
        <w:spacing w:after="0" w:line="22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15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Legislative or regulatory healthcare reforms may result in downward pressure on the price of and decrease reimbursement for our products, and uncertainty regarding the healthcare regulatory environment could have a material adverse effect on our business.*</w:t>
      </w:r>
    </w:p>
    <w:p>
      <w:pPr>
        <w:spacing w:after="0" w:line="146"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w:t>
      </w:r>
    </w:p>
    <w:p>
      <w:pPr>
        <w:spacing w:after="0" w:line="195" w:lineRule="exact"/>
        <w:rPr>
          <w:sz w:val="20"/>
          <w:szCs w:val="20"/>
          <w:color w:val="auto"/>
        </w:rPr>
      </w:pPr>
    </w:p>
    <w:p>
      <w:pPr>
        <w:ind w:right="60" w:firstLine="810"/>
        <w:spacing w:after="0" w:line="296" w:lineRule="auto"/>
        <w:rPr>
          <w:sz w:val="20"/>
          <w:szCs w:val="20"/>
          <w:color w:val="auto"/>
        </w:rPr>
      </w:pPr>
      <w:r>
        <w:rPr>
          <w:rFonts w:ascii="Arial" w:cs="Arial" w:eastAsia="Arial" w:hAnsi="Arial"/>
          <w:sz w:val="16"/>
          <w:szCs w:val="16"/>
          <w:color w:val="auto"/>
        </w:rPr>
        <w:t>The Affordable Care Act (ACA), substantially changed the way healthcare is financed by both governmental and private insurers, encourages improvements in the quality of healthcare items and services, and significantly impacts the medical device industry. However, a number of legislative changes have been proposed and adopted since the ACA was enacted, and legislation has also been and will likely continue to be proposed that could modify or repeal the ACA. In addition, the ACA continues to be the subject of various legal challenges. The uncertainties regarding the future of the ACA, and other healthcare reform initiatives, may have an adverse effect on our customers’ purchasing decisions regarding our products.</w:t>
      </w:r>
    </w:p>
    <w:p>
      <w:pPr>
        <w:spacing w:after="0" w:line="161" w:lineRule="exact"/>
        <w:rPr>
          <w:sz w:val="20"/>
          <w:szCs w:val="20"/>
          <w:color w:val="auto"/>
        </w:rPr>
      </w:pPr>
    </w:p>
    <w:p>
      <w:pPr>
        <w:ind w:right="440" w:firstLine="810"/>
        <w:spacing w:after="0" w:line="301" w:lineRule="auto"/>
        <w:rPr>
          <w:sz w:val="20"/>
          <w:szCs w:val="20"/>
          <w:color w:val="auto"/>
        </w:rPr>
      </w:pPr>
      <w:r>
        <w:rPr>
          <w:rFonts w:ascii="Arial" w:cs="Arial" w:eastAsia="Arial" w:hAnsi="Arial"/>
          <w:sz w:val="16"/>
          <w:szCs w:val="16"/>
          <w:color w:val="auto"/>
        </w:rPr>
        <w:t>In the future,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continue to fluctuate significantly.</w:t>
      </w:r>
    </w:p>
    <w:p>
      <w:pPr>
        <w:spacing w:after="0" w:line="225"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The trading price of our common stock has been volatile in recent years. We believe our stock price has been, and will continue to be, subject to wide fluctuations in response to a variety of factors, including the following:</w:t>
      </w:r>
    </w:p>
    <w:p>
      <w:pPr>
        <w:spacing w:after="0" w:line="170" w:lineRule="exact"/>
        <w:rPr>
          <w:sz w:val="20"/>
          <w:szCs w:val="20"/>
          <w:color w:val="auto"/>
        </w:rPr>
      </w:pPr>
    </w:p>
    <w:p>
      <w:pPr>
        <w:ind w:left="1940" w:hanging="636"/>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and operating results from period to period;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actual or perceived need for additional capital to fund our operations;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acceptance of our current products and products under development, and the recognition of our brand;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introduction of proposed products, technologies or treatment techniques by us or our competitors;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of significant contracts, acquisitions or divestitures by us or our competitors;</w:t>
      </w:r>
    </w:p>
    <w:p>
      <w:pPr>
        <w:spacing w:after="0" w:line="225" w:lineRule="exact"/>
        <w:rPr>
          <w:rFonts w:ascii="Arial" w:cs="Arial" w:eastAsia="Arial" w:hAnsi="Arial"/>
          <w:sz w:val="18"/>
          <w:szCs w:val="18"/>
          <w:color w:val="auto"/>
        </w:rPr>
      </w:pPr>
    </w:p>
    <w:p>
      <w:pPr>
        <w:ind w:left="1960" w:right="220" w:hanging="656"/>
        <w:spacing w:after="0" w:line="277" w:lineRule="auto"/>
        <w:tabs>
          <w:tab w:leader="none" w:pos="19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approval of our products or the products of our competitors, or the failure to obtain such approvals on the projected timeline or at all;</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speculative trading practices of market participants;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issuance of securities analysts’ reports or recommendations;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shares of our common stock by our employees, directors or principal stockholders;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general political or economic conditions, including the impacts and disruptions caused by the COVID-19 global pandemic.</w:t>
      </w:r>
    </w:p>
    <w:p>
      <w:pPr>
        <w:spacing w:after="0" w:line="237" w:lineRule="exact"/>
        <w:rPr>
          <w:sz w:val="20"/>
          <w:szCs w:val="20"/>
          <w:color w:val="auto"/>
        </w:rPr>
      </w:pPr>
    </w:p>
    <w:p>
      <w:pPr>
        <w:ind w:right="600" w:firstLine="810"/>
        <w:spacing w:after="0" w:line="277" w:lineRule="auto"/>
        <w:rPr>
          <w:sz w:val="20"/>
          <w:szCs w:val="20"/>
          <w:color w:val="auto"/>
        </w:rPr>
      </w:pPr>
      <w:r>
        <w:rPr>
          <w:rFonts w:ascii="Arial" w:cs="Arial" w:eastAsia="Arial" w:hAnsi="Arial"/>
          <w:sz w:val="18"/>
          <w:szCs w:val="18"/>
          <w:color w:val="auto"/>
        </w:rPr>
        <w:t>These and other factors might cause the market price of our common stock to fluctuate substantially. Fluctuations in our stock price may negatively affect the liquidity of our common stock, which could further impact our stock price.</w:t>
      </w:r>
    </w:p>
    <w:p>
      <w:pPr>
        <w:spacing w:after="0" w:line="170" w:lineRule="exact"/>
        <w:rPr>
          <w:sz w:val="20"/>
          <w:szCs w:val="20"/>
          <w:color w:val="auto"/>
        </w:rPr>
      </w:pPr>
    </w:p>
    <w:p>
      <w:pPr>
        <w:ind w:right="60" w:firstLine="810"/>
        <w:spacing w:after="0" w:line="279" w:lineRule="auto"/>
        <w:rPr>
          <w:sz w:val="20"/>
          <w:szCs w:val="20"/>
          <w:color w:val="auto"/>
        </w:rPr>
      </w:pPr>
      <w:r>
        <w:rPr>
          <w:rFonts w:ascii="Arial" w:cs="Arial" w:eastAsia="Arial" w:hAnsi="Arial"/>
          <w:sz w:val="17"/>
          <w:szCs w:val="17"/>
          <w:color w:val="auto"/>
        </w:rPr>
        <w:t>In recent years, the stock market has experienced significant price and volume fluctuations. This volatility has had a significant impact on the market price of securities issued by many companies across many industries. These changes may occur without regard to the financial condition or operating performance of the affected companies. Accordingly, the price of our common stock could fluctuate based upon factors that have little or nothing to do with our company, and these fluctuations could materially reduce the market price of our common stock.</w:t>
      </w:r>
    </w:p>
    <w:p>
      <w:pPr>
        <w:spacing w:after="0" w:line="131"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84" w:lineRule="exact"/>
        <w:rPr>
          <w:sz w:val="20"/>
          <w:szCs w:val="20"/>
          <w:color w:val="auto"/>
        </w:rPr>
      </w:pPr>
    </w:p>
    <w:p>
      <w:pPr>
        <w:ind w:right="460" w:firstLine="810"/>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70" w:lineRule="exact"/>
        <w:rPr>
          <w:sz w:val="20"/>
          <w:szCs w:val="20"/>
          <w:color w:val="auto"/>
        </w:rPr>
      </w:pPr>
    </w:p>
    <w:p>
      <w:pPr>
        <w:ind w:left="1960" w:hanging="656"/>
        <w:spacing w:after="0" w:line="277" w:lineRule="auto"/>
        <w:tabs>
          <w:tab w:leader="none" w:pos="19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170" w:lineRule="exact"/>
        <w:rPr>
          <w:rFonts w:ascii="Arial" w:cs="Arial" w:eastAsia="Arial" w:hAnsi="Arial"/>
          <w:sz w:val="18"/>
          <w:szCs w:val="18"/>
          <w:color w:val="auto"/>
        </w:rPr>
      </w:pPr>
    </w:p>
    <w:p>
      <w:pPr>
        <w:ind w:left="1960" w:right="300" w:hanging="656"/>
        <w:spacing w:after="0" w:line="277" w:lineRule="auto"/>
        <w:tabs>
          <w:tab w:leader="none" w:pos="19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the board is divided into three classes each of which has a different three-year term;</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the number of directors shall be fixed by the board;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w:t>
      </w:r>
    </w:p>
    <w:p>
      <w:pPr>
        <w:spacing w:after="0" w:line="225" w:lineRule="exact"/>
        <w:rPr>
          <w:rFonts w:ascii="Arial" w:cs="Arial" w:eastAsia="Arial" w:hAnsi="Arial"/>
          <w:sz w:val="18"/>
          <w:szCs w:val="18"/>
          <w:color w:val="auto"/>
        </w:rPr>
      </w:pPr>
    </w:p>
    <w:p>
      <w:pPr>
        <w:ind w:left="1960" w:right="680" w:hanging="656"/>
        <w:spacing w:after="0" w:line="277" w:lineRule="auto"/>
        <w:tabs>
          <w:tab w:leader="none" w:pos="19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for the removal of a director only with cause and then by the affirmative vote of the holders of a majority of the outstanding shares;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225" w:lineRule="exact"/>
        <w:rPr>
          <w:rFonts w:ascii="Arial" w:cs="Arial" w:eastAsia="Arial" w:hAnsi="Arial"/>
          <w:sz w:val="18"/>
          <w:szCs w:val="18"/>
          <w:color w:val="auto"/>
        </w:rPr>
      </w:pPr>
    </w:p>
    <w:p>
      <w:pPr>
        <w:ind w:left="1960" w:right="420" w:hanging="656"/>
        <w:spacing w:after="0" w:line="277" w:lineRule="auto"/>
        <w:tabs>
          <w:tab w:leader="none" w:pos="19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the vote of at least two-thirds of the outstanding shares to approve amendments to the certificate of incorporation or bylaws; and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40" w:hanging="636"/>
        <w:spacing w:after="0"/>
        <w:tabs>
          <w:tab w:leader="none" w:pos="1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225"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is authorized to issue and designate shares of our preferred stock in additional series without stockholder approval.</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Our amended and restated certificate of incorporation authorizes our board of directors, without the approval of our stockholders, to issue</w:t>
      </w:r>
    </w:p>
    <w:p>
      <w:pPr>
        <w:spacing w:after="0" w:line="35"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As of December 31, 2020, we had accumulated federal and state net operating loss (NOL) carryforwards of approximately $340.0 million, and $288.7 million, respectively, which included the reduction recorded in 2019 discussed below. Of the total federal NOL carryforwards, approximately $131.5 million were generated after January 1, 2018, and therefore do not expire. NOL generated after January 1, 2018, is subject to 80% limitation in accordance with the Tax Cuts and Jobs Act of 2017. The remaining federal NOL carryforwards of $208.5 million will begin to expire in 2026, and state tax loss carryforwards begin to expire in 2021, unless previously utilized. If there is an “ownership change” with respect to our company, as defined under Section 382 of the Code, the utilization of our NOL and research credit carryforwards may be subject to substantial limitations imposed by the Code, and similar state provisions. Limitations imposed on our ability to utilize NOL carryforwards could cause U.S. federal income taxes to be paid earlier than would be paid if such limitations were not in effect and could cause NOL carryforwards to expire unused, in each case reducing or eliminating the benefit of our NOL carryforwards. In general, an ownership change occurs whenever there is a shift in ownership of our company by more than 50% by one or more 5% stockholders over a specified time period.</w:t>
      </w:r>
    </w:p>
    <w:p>
      <w:pPr>
        <w:spacing w:after="0" w:line="185"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We have completed analyses through December 31, 2020 to determine whether our net operating losses and credits are likely to be limited by Section 382. Based on the 2018 study completed in 2019, the Company determined that offerings of our securities caused an ownership change, as defined under Section 382, in 2018 and the resulting limitation significantly reduced the Company’s ability to utilize its net operating loss and credit carryovers before they expire. As a result, in 2019 the Company significantly reduced its deferred tax assets for the net operating loss and research credit carryforwards that were projected to expire unused. In addition, future ownership changes under Section 382 may further limit the Company’s ability to fully utilize any remaining tax benefits.</w:t>
      </w:r>
    </w:p>
    <w:p>
      <w:pPr>
        <w:spacing w:after="0" w:line="192" w:lineRule="exact"/>
        <w:rPr>
          <w:sz w:val="20"/>
          <w:szCs w:val="20"/>
          <w:color w:val="auto"/>
        </w:rPr>
      </w:pPr>
    </w:p>
    <w:p>
      <w:pPr>
        <w:ind w:right="40" w:firstLine="810"/>
        <w:spacing w:after="0" w:line="259" w:lineRule="auto"/>
        <w:rPr>
          <w:sz w:val="20"/>
          <w:szCs w:val="20"/>
          <w:color w:val="auto"/>
        </w:rPr>
      </w:pPr>
      <w:r>
        <w:rPr>
          <w:rFonts w:ascii="Arial" w:cs="Arial" w:eastAsia="Arial" w:hAnsi="Arial"/>
          <w:sz w:val="18"/>
          <w:szCs w:val="18"/>
          <w:color w:val="auto"/>
        </w:rPr>
        <w:t>In response to the COVID-19 global pandemic, the CARES Act was enacted on March 27, 2020, to provide aid and economic stimulus to the economy. Among other provisions, the CARES Act eliminates the 80% NOL limitation for tax years 2018, 2019, and 2020, and allows NOLs generated in those years to be carried back for five years. We believe that any impact of the CARES Act provisions are not significant to our financial position, results of operations or cash flows.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ind w:right="40" w:firstLine="810"/>
        <w:spacing w:after="0" w:line="28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Accordingly, investors may have to sell some or all of their shares of our common stock in order to generate cash flow from their investment.</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4"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For example,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Company policies and procedures, the existence of this relationship could create additional risk, or the perception of additional risk, that our controls and procedures may not be effective. In addition, any testing by us conducted in connection with Section 404(a) of the Sarbanes-Oxley Act, or any testing conducted by our independent registered public accounting firm in connection with Section 404(b) of the Sarbanes-Oxley Act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82" w:lineRule="exact"/>
        <w:rPr>
          <w:sz w:val="20"/>
          <w:szCs w:val="20"/>
          <w:color w:val="auto"/>
        </w:rPr>
      </w:pPr>
    </w:p>
    <w:p>
      <w:pPr>
        <w:ind w:right="80" w:firstLine="810"/>
        <w:spacing w:after="0" w:line="263" w:lineRule="auto"/>
        <w:rPr>
          <w:sz w:val="20"/>
          <w:szCs w:val="20"/>
          <w:color w:val="auto"/>
        </w:rPr>
      </w:pPr>
      <w:r>
        <w:rPr>
          <w:rFonts w:ascii="Arial" w:cs="Arial" w:eastAsia="Arial" w:hAnsi="Arial"/>
          <w:sz w:val="18"/>
          <w:szCs w:val="18"/>
          <w:color w:val="auto"/>
        </w:rPr>
        <w:t>We are required to disclose changes made to our internal control procedures on a quarterly basis and our management is required to assess the effectiveness of these controls annually. Undetected material weaknesses in our internal controls could lead to financial statement restatements and require us to incur the expense of remediation.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increased risk of securities class action litigation.</w:t>
      </w:r>
    </w:p>
    <w:p>
      <w:pPr>
        <w:spacing w:after="0" w:line="225" w:lineRule="exact"/>
        <w:rPr>
          <w:sz w:val="20"/>
          <w:szCs w:val="20"/>
          <w:color w:val="auto"/>
        </w:rPr>
      </w:pPr>
    </w:p>
    <w:p>
      <w:pPr>
        <w:ind w:right="60" w:firstLine="810"/>
        <w:spacing w:after="0" w:line="275" w:lineRule="auto"/>
        <w:rPr>
          <w:sz w:val="20"/>
          <w:szCs w:val="20"/>
          <w:color w:val="auto"/>
        </w:rPr>
      </w:pPr>
      <w:r>
        <w:rPr>
          <w:rFonts w:ascii="Arial" w:cs="Arial" w:eastAsia="Arial" w:hAnsi="Arial"/>
          <w:sz w:val="17"/>
          <w:szCs w:val="17"/>
          <w:color w:val="auto"/>
        </w:rPr>
        <w:t>In the past, securities class action litigation has been instituted against companies following periods of volatility in the overall market and in the price of a company’s securities. We believe this risk may be particularly relevant to us as we have experienced significant stock price volatility in recent years. If we face such litigation, it could result in substantial costs and a diversion of management’s attention and resources, which could harm our business, financial condition and results of operations. Our stock price volatility and the increase in our market capitalization during the past year may also result in higher expenses associated with our directors’ and officers’ liability insurance program.</w:t>
      </w:r>
    </w:p>
    <w:p>
      <w:pPr>
        <w:spacing w:after="0" w:line="13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120" w:firstLine="810"/>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Convertible Senior Notes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have indebtedness in the form of convertible senior notes, which could adversely affect our financial condition and our ability to respond to changes in our business.*</w:t>
      </w:r>
    </w:p>
    <w:p>
      <w:pPr>
        <w:spacing w:after="0" w:line="170"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 xml:space="preserve">In May 2020, we completed the offering of $287.5 million principal amount of 1.50% Convertible Senior Notes due 2025 (the Notes), which we refer to as the Note Offering. Holders of the Notes will have the right to require us to repurchase their Notes upon the occurrence of a fundamental change (as defined in the indenture governing the Notes) at a purchase price equal to 100% of the principal amount of the Notes to be purchased, plus accrued and unpaid interest, if any. </w:t>
      </w:r>
      <w:r>
        <w:rPr>
          <w:rFonts w:ascii="Arial" w:cs="Arial" w:eastAsia="Arial" w:hAnsi="Arial"/>
          <w:sz w:val="17"/>
          <w:szCs w:val="17"/>
          <w:color w:val="231F20"/>
        </w:rPr>
        <w:t>In addition, upon conversion of the Notes, unless we elect to deliver solely shares of our common stock to settle such conversion, we</w:t>
      </w:r>
      <w:r>
        <w:rPr>
          <w:rFonts w:ascii="Arial" w:cs="Arial" w:eastAsia="Arial" w:hAnsi="Arial"/>
          <w:sz w:val="17"/>
          <w:szCs w:val="17"/>
          <w:color w:val="auto"/>
        </w:rPr>
        <w:t xml:space="preserve"> </w:t>
      </w:r>
      <w:r>
        <w:rPr>
          <w:rFonts w:ascii="Arial" w:cs="Arial" w:eastAsia="Arial" w:hAnsi="Arial"/>
          <w:sz w:val="17"/>
          <w:szCs w:val="17"/>
          <w:color w:val="231F20"/>
        </w:rPr>
        <w:t xml:space="preserve">will be required to make cash payments in respect of the Notes being converted. Furthermore, </w:t>
      </w:r>
      <w:r>
        <w:rPr>
          <w:rFonts w:ascii="Arial" w:cs="Arial" w:eastAsia="Arial" w:hAnsi="Arial"/>
          <w:sz w:val="17"/>
          <w:szCs w:val="17"/>
          <w:color w:val="000000"/>
        </w:rPr>
        <w:t>the indenture governing the Notes provides that, in the event</w:t>
      </w:r>
      <w:r>
        <w:rPr>
          <w:rFonts w:ascii="Arial" w:cs="Arial" w:eastAsia="Arial" w:hAnsi="Arial"/>
          <w:sz w:val="17"/>
          <w:szCs w:val="17"/>
          <w:color w:val="231F20"/>
        </w:rPr>
        <w:t xml:space="preserve"> </w:t>
      </w:r>
      <w:r>
        <w:rPr>
          <w:rFonts w:ascii="Arial" w:cs="Arial" w:eastAsia="Arial" w:hAnsi="Arial"/>
          <w:sz w:val="17"/>
          <w:szCs w:val="17"/>
          <w:color w:val="000000"/>
        </w:rPr>
        <w:t>of an event of default (as defined in the indenture) for the Notes, the principal, premium, if any, and interest, if any, may become due prior to the maturity date for the Notes. There can be no assurance that we will be able to pay these amounts when due, or that we will be able to refinance this indebtedness on acceptable terms or at all.</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a result of our increased level of indebtedness due to the Notes Offering:</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940" w:hanging="636"/>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level of vulnerability to adverse economic conditions and competitive pressures may be heightened;</w:t>
      </w:r>
    </w:p>
    <w:p>
      <w:pPr>
        <w:spacing w:after="0" w:line="225" w:lineRule="exact"/>
        <w:rPr>
          <w:rFonts w:ascii="Arial" w:cs="Arial" w:eastAsia="Arial" w:hAnsi="Arial"/>
          <w:sz w:val="18"/>
          <w:szCs w:val="18"/>
          <w:color w:val="auto"/>
        </w:rPr>
      </w:pPr>
    </w:p>
    <w:p>
      <w:pPr>
        <w:ind w:left="1960" w:right="340" w:hanging="656"/>
        <w:spacing w:after="0" w:line="277" w:lineRule="auto"/>
        <w:tabs>
          <w:tab w:leader="none" w:pos="19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are required to dedicate a portion of our liquidity position or cash flow from operations to interest payments, limiting the availability of cash for other purposes;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flexibility in planning for, or reacting to, changes in our business and industry may be more limited; and</w:t>
      </w:r>
    </w:p>
    <w:p>
      <w:pPr>
        <w:spacing w:after="0" w:line="225" w:lineRule="exact"/>
        <w:rPr>
          <w:rFonts w:ascii="Arial" w:cs="Arial" w:eastAsia="Arial" w:hAnsi="Arial"/>
          <w:sz w:val="18"/>
          <w:szCs w:val="18"/>
          <w:color w:val="auto"/>
        </w:rPr>
      </w:pPr>
    </w:p>
    <w:p>
      <w:pPr>
        <w:ind w:left="1960" w:right="380" w:hanging="656"/>
        <w:spacing w:after="0" w:line="277" w:lineRule="auto"/>
        <w:tabs>
          <w:tab w:leader="none" w:pos="19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for working capital, capital expenditures, acquisitions, investments or general corporate purposes may be impaired.</w:t>
      </w:r>
    </w:p>
    <w:p>
      <w:pPr>
        <w:spacing w:after="0" w:line="200" w:lineRule="exact"/>
        <w:rPr>
          <w:sz w:val="20"/>
          <w:szCs w:val="20"/>
          <w:color w:val="auto"/>
        </w:rPr>
      </w:pPr>
    </w:p>
    <w:p>
      <w:pPr>
        <w:spacing w:after="0" w:line="213" w:lineRule="exact"/>
        <w:rPr>
          <w:sz w:val="20"/>
          <w:szCs w:val="20"/>
          <w:color w:val="auto"/>
        </w:rPr>
      </w:pPr>
    </w:p>
    <w:p>
      <w:pPr>
        <w:jc w:val="both"/>
        <w:ind w:right="220" w:firstLine="810"/>
        <w:spacing w:after="0" w:line="263" w:lineRule="auto"/>
        <w:rPr>
          <w:sz w:val="20"/>
          <w:szCs w:val="20"/>
          <w:color w:val="auto"/>
        </w:rPr>
      </w:pPr>
      <w:r>
        <w:rPr>
          <w:rFonts w:ascii="Arial" w:cs="Arial" w:eastAsia="Arial" w:hAnsi="Arial"/>
          <w:sz w:val="18"/>
          <w:szCs w:val="18"/>
          <w:color w:val="auto"/>
        </w:rPr>
        <w:t>We cannot be sure that our leverage resulting from the completion of the Notes Offering will not materially and adversely affect our ability to finance our operations or capital needs or to engage in other business activities. In addition, we cannot be sure that additional financing will be available when required or, if available, will be on terms satisfactory to us.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the Notes will require a significant amount of cash, and we may not have sufficient cash flow from our business to repay the Notes.</w:t>
      </w:r>
    </w:p>
    <w:p>
      <w:pPr>
        <w:spacing w:after="0" w:line="248" w:lineRule="exact"/>
        <w:rPr>
          <w:sz w:val="20"/>
          <w:szCs w:val="20"/>
          <w:color w:val="auto"/>
        </w:rPr>
      </w:pPr>
    </w:p>
    <w:p>
      <w:pPr>
        <w:ind w:right="20" w:firstLine="810"/>
        <w:spacing w:after="0" w:line="288" w:lineRule="auto"/>
        <w:rPr>
          <w:sz w:val="20"/>
          <w:szCs w:val="20"/>
          <w:color w:val="auto"/>
        </w:rPr>
      </w:pPr>
      <w:r>
        <w:rPr>
          <w:rFonts w:ascii="Arial" w:cs="Arial" w:eastAsia="Arial" w:hAnsi="Arial"/>
          <w:sz w:val="16"/>
          <w:szCs w:val="16"/>
          <w:color w:val="auto"/>
        </w:rPr>
        <w:t>Our ability to make scheduled payments of the principal and interest on or to refinance the Notes depends on our future business operations and liquidity, which are subject, to some extent, on economic, financial, regulatory, competitive and other factors that are beyond our control, including, without limitation, market acceptance of our products, regulatory approval for our products under development, and the impacts and disruptions caused by the COVID-19 global pandemic. Our business may not generate or sustain a level of cash flow from operations sufficient to service the Notes and any future indebtedness we may incur, while operating our business and making necessary capital expenditures. If we are unable to generate such cash flow, we may be required to adopt one or more alternatives, such as reducing or delaying capital expenditures, selling or licensing assets, refinancing indebtedness, or obtaining additional equity capital. These alternative measures may not be successful and may not permit us to meet our scheduled debt service obligations. Our ability to successfully engage in these activities will depend on a number of factors, including the value of our assets, our operating results and financial condition, the value of our common stock, and the status of the capital markets at such time. We may not be able to engage in any of these activities on commercially reasonable terms or at all, which could result in a default on the Notes or our future indebtedness.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additional debt or take other actions which could diminish our ability to make payments on the Notes.</w:t>
      </w:r>
    </w:p>
    <w:p>
      <w:pPr>
        <w:spacing w:after="0" w:line="225"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We and our subsidiaries are not prevented by the terms of the indenture governing the Notes, or otherwise, from incurring substantial additional indebtedness in the future, which may include the issuance of secured debt. We are not restricted under the terms of the indenture governing the Notes from incurring additional indebtedness, securing existing or future indebtedness, or recapitalizing our indebtedness. We are similarly not restricted under the terms of the indenture from taking a number of other actions that could have the effect of diminishing our ability to make payments on the Notes when due.</w:t>
      </w:r>
    </w:p>
    <w:p>
      <w:pPr>
        <w:spacing w:after="0" w:line="157" w:lineRule="exact"/>
        <w:rPr>
          <w:sz w:val="20"/>
          <w:szCs w:val="20"/>
          <w:color w:val="auto"/>
        </w:rPr>
      </w:pPr>
    </w:p>
    <w:p>
      <w:pPr>
        <w:ind w:left="40" w:right="340"/>
        <w:spacing w:after="0" w:line="342" w:lineRule="auto"/>
        <w:rPr>
          <w:sz w:val="20"/>
          <w:szCs w:val="20"/>
          <w:color w:val="auto"/>
        </w:rPr>
      </w:pPr>
      <w:r>
        <w:rPr>
          <w:rFonts w:ascii="Arial" w:cs="Arial" w:eastAsia="Arial" w:hAnsi="Arial"/>
          <w:sz w:val="16"/>
          <w:szCs w:val="16"/>
          <w:b w:val="1"/>
          <w:bCs w:val="1"/>
          <w:i w:val="1"/>
          <w:iCs w:val="1"/>
          <w:color w:val="231F20"/>
        </w:rPr>
        <w:t>We may not have the ability to raise the funds necessary to repurchase the Notes upon a fundamental change, or to settle conversions of the Notes, and our future indebtedness may contain limitations on our ability to pay cash upon repurchase or conversion of the Notes.</w:t>
      </w:r>
    </w:p>
    <w:p>
      <w:pPr>
        <w:spacing w:after="0" w:line="124" w:lineRule="exact"/>
        <w:rPr>
          <w:sz w:val="20"/>
          <w:szCs w:val="20"/>
          <w:color w:val="auto"/>
        </w:rPr>
      </w:pPr>
    </w:p>
    <w:p>
      <w:pPr>
        <w:ind w:right="60" w:firstLine="810"/>
        <w:spacing w:after="0" w:line="288" w:lineRule="auto"/>
        <w:rPr>
          <w:sz w:val="20"/>
          <w:szCs w:val="20"/>
          <w:color w:val="auto"/>
        </w:rPr>
      </w:pPr>
      <w:r>
        <w:rPr>
          <w:rFonts w:ascii="Arial" w:cs="Arial" w:eastAsia="Arial" w:hAnsi="Arial"/>
          <w:sz w:val="16"/>
          <w:szCs w:val="16"/>
          <w:color w:val="231F20"/>
        </w:rPr>
        <w:t>Holders of the Notes have the right to require us to repurchase their Notes upon the occurrence of a fundamental change at a repurchase price equal to 100% of the principal amount of the Notes to be repurchased, plus accrued and unpaid interest, if any. In addition, upon conversion of the Notes, unless we elect to deliver solely shares of our common stock to settle such conversion, we will be required to make cash payments in respect of the Notes being converted. However,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or to pay any cash payable on future conversions of the Notes as required by the indenture, would constitute an event of default under the indenture. An event of default under the indenture, or the fundamental change itself, could also lead to an event of default under agreements governing any future indebtedness we may have issued. If the repayment of the related indebtedness were to be accelerated, we may not have sufficient funds to repay the indebtedness, while also repurchasing the Notes or making cash payments upon conversions thereof.</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conditional conversion feature of the Notes may adversely affect our liquidity.</w:t>
      </w:r>
    </w:p>
    <w:p>
      <w:pPr>
        <w:spacing w:after="0" w:line="225" w:lineRule="exact"/>
        <w:rPr>
          <w:sz w:val="20"/>
          <w:szCs w:val="20"/>
          <w:color w:val="auto"/>
        </w:rPr>
      </w:pPr>
    </w:p>
    <w:p>
      <w:pPr>
        <w:ind w:right="220" w:firstLine="810"/>
        <w:spacing w:after="0" w:line="255" w:lineRule="auto"/>
        <w:rPr>
          <w:sz w:val="20"/>
          <w:szCs w:val="20"/>
          <w:color w:val="auto"/>
        </w:rPr>
      </w:pPr>
      <w:r>
        <w:rPr>
          <w:rFonts w:ascii="Arial" w:cs="Arial" w:eastAsia="Arial" w:hAnsi="Arial"/>
          <w:sz w:val="18"/>
          <w:szCs w:val="18"/>
          <w:color w:val="231F20"/>
        </w:rPr>
        <w:t>In the event the conditional conversion feature of the Notes is triggered, holders of the Notes will be entitled to convert the Notes at any time during specified periods at their option. If one or more holders elect to convert their Notes, unless we elect to satisfy our conversion obligation by delivering solely shares of our common stock, we would be required to settle all or a portion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adversely affect our liquidity.</w:t>
      </w:r>
    </w:p>
    <w:p>
      <w:pPr>
        <w:spacing w:after="0" w:line="192" w:lineRule="exact"/>
        <w:rPr>
          <w:sz w:val="20"/>
          <w:szCs w:val="20"/>
          <w:color w:val="auto"/>
        </w:rPr>
      </w:pPr>
    </w:p>
    <w:p>
      <w:pPr>
        <w:ind w:left="40" w:right="140"/>
        <w:spacing w:after="0" w:line="277" w:lineRule="auto"/>
        <w:rPr>
          <w:sz w:val="20"/>
          <w:szCs w:val="20"/>
          <w:color w:val="auto"/>
        </w:rPr>
      </w:pPr>
      <w:r>
        <w:rPr>
          <w:rFonts w:ascii="Arial" w:cs="Arial" w:eastAsia="Arial" w:hAnsi="Arial"/>
          <w:sz w:val="18"/>
          <w:szCs w:val="18"/>
          <w:b w:val="1"/>
          <w:bCs w:val="1"/>
          <w:i w:val="1"/>
          <w:iCs w:val="1"/>
          <w:color w:val="auto"/>
        </w:rPr>
        <w:t>Conversion of the Notes will, to the extent we deliver shares upon conversion of such Notes, dilute the ownership interest of existing stockholders and may otherwise have a negative impact on the trading price of our common stock.</w:t>
      </w:r>
    </w:p>
    <w:p>
      <w:pPr>
        <w:spacing w:after="0" w:line="170"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The conversion of some or all of the Notes will dilute the ownership interests of existing stockholders, including holders who had previously converted their Notes, to the extent we deliver shares upon conversion of any of the Notes. Any sales in the public market of the common stock issued upon the conversion of the Notes could adversely affect prevailing market prices of our common stock. In addition, the perception that some or all of the Notes may be converted into shares of our common stock in the future could have a negative impact on the trading price of our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fundamental change repurchase feature of the Notes may delay or prevent an otherwise beneficial takeover attempt.</w:t>
      </w:r>
    </w:p>
    <w:p>
      <w:pPr>
        <w:spacing w:after="0" w:line="225" w:lineRule="exact"/>
        <w:rPr>
          <w:sz w:val="20"/>
          <w:szCs w:val="20"/>
          <w:color w:val="auto"/>
        </w:rPr>
      </w:pPr>
    </w:p>
    <w:p>
      <w:pPr>
        <w:ind w:right="240" w:firstLine="810"/>
        <w:spacing w:after="0" w:line="257" w:lineRule="auto"/>
        <w:rPr>
          <w:sz w:val="20"/>
          <w:szCs w:val="20"/>
          <w:color w:val="auto"/>
        </w:rPr>
      </w:pPr>
      <w:r>
        <w:rPr>
          <w:rFonts w:ascii="Arial" w:cs="Arial" w:eastAsia="Arial" w:hAnsi="Arial"/>
          <w:sz w:val="18"/>
          <w:szCs w:val="18"/>
          <w:color w:val="auto"/>
        </w:rPr>
        <w:t>The terms of the Notes require us to repurchase the Notes in the event of a fundamental change. A takeover of the Company would trigger an option of the holders of the Notes to require us to repurchase the Notes. In addition, if a make-whole fundamental change (as defined in the indenture) occurs prior to the maturity date of the Notes, we will, in some cases, be required to increase the conversion rate of the Notes for a holder that elects to convert its Notes in connection with such make-whole fundamental change. These and other provisions set forth in the indenture may have the effect of delaying or preventing a takeover of the Company.</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231F20"/>
        </w:rPr>
        <w:t>The Capped Call Transactions may affect the value of the Notes and our common stock.</w:t>
      </w:r>
    </w:p>
    <w:p>
      <w:pPr>
        <w:spacing w:after="0" w:line="225" w:lineRule="exact"/>
        <w:rPr>
          <w:sz w:val="20"/>
          <w:szCs w:val="20"/>
          <w:color w:val="auto"/>
        </w:rPr>
      </w:pPr>
    </w:p>
    <w:p>
      <w:pPr>
        <w:ind w:right="460" w:firstLine="810"/>
        <w:spacing w:after="0" w:line="259" w:lineRule="auto"/>
        <w:rPr>
          <w:sz w:val="20"/>
          <w:szCs w:val="20"/>
          <w:color w:val="auto"/>
        </w:rPr>
      </w:pPr>
      <w:r>
        <w:rPr>
          <w:rFonts w:ascii="Arial" w:cs="Arial" w:eastAsia="Arial" w:hAnsi="Arial"/>
          <w:sz w:val="18"/>
          <w:szCs w:val="18"/>
          <w:color w:val="231F20"/>
        </w:rPr>
        <w:t>In connection with the issuance of the Notes, we entered into capped call transactions (the Capped Call Transactions) with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187" w:lineRule="exact"/>
        <w:rPr>
          <w:sz w:val="20"/>
          <w:szCs w:val="20"/>
          <w:color w:val="auto"/>
        </w:rPr>
      </w:pPr>
    </w:p>
    <w:p>
      <w:pPr>
        <w:ind w:right="200" w:firstLine="810"/>
        <w:spacing w:after="0" w:line="254" w:lineRule="auto"/>
        <w:rPr>
          <w:sz w:val="20"/>
          <w:szCs w:val="20"/>
          <w:color w:val="auto"/>
        </w:rPr>
      </w:pPr>
      <w:r>
        <w:rPr>
          <w:rFonts w:ascii="Arial" w:cs="Arial" w:eastAsia="Arial" w:hAnsi="Arial"/>
          <w:sz w:val="18"/>
          <w:szCs w:val="18"/>
          <w:color w:val="231F20"/>
        </w:rPr>
        <w:t>The option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Notes). This activity could also cause or avoid an increase or a decrease in the market price of our common stock or the Notes, which could affect a Note holder’s ability to convert the Notes and, to the extent the activity occurs during any observation period related to a conversion of Notes, it could affect the number of shares and the value of the consideration that a Note holder will receive upon conversion of the Notes. In addition, if such Capped Call Transactions fail to become effective, the option counterparties or their respective affiliates may unwind their hedge positions with respect to our common stock, which could adversely affect the value of our common stock.</w:t>
      </w:r>
    </w:p>
    <w:p>
      <w:pPr>
        <w:spacing w:after="0" w:line="192" w:lineRule="exact"/>
        <w:rPr>
          <w:sz w:val="20"/>
          <w:szCs w:val="20"/>
          <w:color w:val="auto"/>
        </w:rPr>
      </w:pPr>
    </w:p>
    <w:p>
      <w:pPr>
        <w:ind w:right="240" w:firstLine="810"/>
        <w:spacing w:after="0" w:line="263" w:lineRule="auto"/>
        <w:rPr>
          <w:sz w:val="20"/>
          <w:szCs w:val="20"/>
          <w:color w:val="auto"/>
        </w:rPr>
      </w:pPr>
      <w:r>
        <w:rPr>
          <w:rFonts w:ascii="Arial" w:cs="Arial" w:eastAsia="Arial" w:hAnsi="Arial"/>
          <w:sz w:val="18"/>
          <w:szCs w:val="18"/>
          <w:color w:val="231F20"/>
        </w:rPr>
        <w:t>The potential effect, if any, of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under certain circumstances, the ability of the Note holders to convert the Notes.</w:t>
      </w:r>
    </w:p>
    <w:p>
      <w:pPr>
        <w:spacing w:after="0" w:line="184" w:lineRule="exact"/>
        <w:rPr>
          <w:sz w:val="20"/>
          <w:szCs w:val="20"/>
          <w:color w:val="auto"/>
        </w:rPr>
      </w:pPr>
    </w:p>
    <w:p>
      <w:pPr>
        <w:ind w:right="60" w:firstLine="810"/>
        <w:spacing w:after="0" w:line="286" w:lineRule="auto"/>
        <w:rPr>
          <w:sz w:val="20"/>
          <w:szCs w:val="20"/>
          <w:color w:val="auto"/>
        </w:rPr>
      </w:pPr>
      <w:r>
        <w:rPr>
          <w:rFonts w:ascii="Arial" w:cs="Arial" w:eastAsia="Arial" w:hAnsi="Arial"/>
          <w:sz w:val="17"/>
          <w:szCs w:val="17"/>
          <w:color w:val="auto"/>
        </w:rPr>
        <w:t>We do not make any representation or prediction as to the direction or magnitude of any potential effect that the transactions described above may have on the value of the Notes or the trading price of our common stock. In addition, we do not make any representation that the option counterparties will engage in these transactions or that these transactions, once commenced, will not be discontinued without notice.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225" w:lineRule="exact"/>
        <w:rPr>
          <w:sz w:val="20"/>
          <w:szCs w:val="20"/>
          <w:color w:val="auto"/>
        </w:rPr>
      </w:pPr>
    </w:p>
    <w:p>
      <w:pPr>
        <w:ind w:firstLine="810"/>
        <w:spacing w:after="0" w:line="293" w:lineRule="auto"/>
        <w:rPr>
          <w:sz w:val="20"/>
          <w:szCs w:val="20"/>
          <w:color w:val="auto"/>
        </w:rPr>
      </w:pPr>
      <w:r>
        <w:rPr>
          <w:rFonts w:ascii="Arial" w:cs="Arial" w:eastAsia="Arial" w:hAnsi="Arial"/>
          <w:sz w:val="16"/>
          <w:szCs w:val="16"/>
          <w:color w:val="auto"/>
        </w:rPr>
        <w:t>The option counterparties are financial institutions, and we will be subject to the risk that any or all of them may default under the Capped Call Transactions. Our exposure to the credit risk of the option counterparties will not be secured by any collateral. If an option counterparty becomes subject to insolvency proceedings, we will become an unsecured creditor in those proceedings, with a claim equal to our exposure at that time under our transactions with that option counterparty. Our exposure will depend on many factors but, in general, an increase in our exposure will be correlated to an increase in the market price and volatility of our common stock. In addition, upon a default by an option counterparty, we may suffer more dilution than we currently anticipate with respect to our common stock. We can provide no assurances as to the financial stability or viability of the option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tbl>
      <w:tblPr>
        <w:tblLayout w:type="fixed"/>
        <w:tblInd w:w="6380" w:type="dxa"/>
        <w:tblCellMar>
          <w:top w:w="0" w:type="dxa"/>
          <w:left w:w="0" w:type="dxa"/>
          <w:bottom w:w="0" w:type="dxa"/>
          <w:right w:w="0" w:type="dxa"/>
        </w:tblCellMar>
      </w:tblPr>
      <w:tr>
        <w:trPr>
          <w:trHeight w:val="207"/>
        </w:trPr>
        <w:tc>
          <w:tcPr>
            <w:tcW w:w="2940" w:type="dxa"/>
            <w:vAlign w:val="bottom"/>
            <w:vMerge w:val="restart"/>
          </w:tcPr>
          <w:p>
            <w:pPr>
              <w:spacing w:after="0"/>
              <w:rPr>
                <w:sz w:val="20"/>
                <w:szCs w:val="20"/>
                <w:color w:val="auto"/>
              </w:rPr>
            </w:pPr>
            <w:r>
              <w:rPr>
                <w:rFonts w:ascii="Arial" w:cs="Arial" w:eastAsia="Arial" w:hAnsi="Arial"/>
                <w:sz w:val="18"/>
                <w:szCs w:val="18"/>
                <w:b w:val="1"/>
                <w:bCs w:val="1"/>
                <w:color w:val="auto"/>
              </w:rPr>
              <w:t>Incorporated by Reference</w:t>
            </w:r>
          </w:p>
        </w:tc>
        <w:tc>
          <w:tcPr>
            <w:tcW w:w="1580" w:type="dxa"/>
            <w:vAlign w:val="bottom"/>
          </w:tcPr>
          <w:p>
            <w:pPr>
              <w:ind w:left="860"/>
              <w:spacing w:after="0"/>
              <w:rPr>
                <w:sz w:val="20"/>
                <w:szCs w:val="20"/>
                <w:color w:val="auto"/>
              </w:rPr>
            </w:pPr>
            <w:r>
              <w:rPr>
                <w:rFonts w:ascii="Arial" w:cs="Arial" w:eastAsia="Arial" w:hAnsi="Arial"/>
                <w:sz w:val="18"/>
                <w:szCs w:val="18"/>
                <w:b w:val="1"/>
                <w:bCs w:val="1"/>
                <w:color w:val="auto"/>
                <w:w w:val="90"/>
              </w:rPr>
              <w:t>Provided</w:t>
            </w:r>
          </w:p>
        </w:tc>
        <w:tc>
          <w:tcPr>
            <w:tcW w:w="0" w:type="dxa"/>
            <w:vAlign w:val="bottom"/>
          </w:tcPr>
          <w:p>
            <w:pPr>
              <w:spacing w:after="0"/>
              <w:rPr>
                <w:sz w:val="1"/>
                <w:szCs w:val="1"/>
                <w:color w:val="auto"/>
              </w:rPr>
            </w:pPr>
          </w:p>
        </w:tc>
      </w:tr>
      <w:tr>
        <w:trPr>
          <w:trHeight w:val="229"/>
        </w:trPr>
        <w:tc>
          <w:tcPr>
            <w:tcW w:w="2940" w:type="dxa"/>
            <w:vAlign w:val="bottom"/>
            <w:vMerge w:val="continue"/>
          </w:tcPr>
          <w:p>
            <w:pPr>
              <w:spacing w:after="0"/>
              <w:rPr>
                <w:sz w:val="19"/>
                <w:szCs w:val="19"/>
                <w:color w:val="auto"/>
              </w:rPr>
            </w:pPr>
          </w:p>
        </w:tc>
        <w:tc>
          <w:tcPr>
            <w:tcW w:w="1580" w:type="dxa"/>
            <w:vAlign w:val="bottom"/>
          </w:tcPr>
          <w:p>
            <w:pPr>
              <w:ind w:left="860"/>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6271260</wp:posOffset>
            </wp:positionH>
            <wp:positionV relativeFrom="paragraph">
              <wp:posOffset>0</wp:posOffset>
            </wp:positionV>
            <wp:extent cx="8401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tbl>
      <w:tblPr>
        <w:tblLayout w:type="fixed"/>
        <w:tblInd w:w="280" w:type="dxa"/>
        <w:tblCellMar>
          <w:top w:w="0" w:type="dxa"/>
          <w:left w:w="0" w:type="dxa"/>
          <w:bottom w:w="0" w:type="dxa"/>
          <w:right w:w="0" w:type="dxa"/>
        </w:tblCellMar>
      </w:tblPr>
      <w:tr>
        <w:trPr>
          <w:trHeight w:val="169"/>
        </w:trPr>
        <w:tc>
          <w:tcPr>
            <w:tcW w:w="940" w:type="dxa"/>
            <w:vAlign w:val="bottom"/>
          </w:tcPr>
          <w:p>
            <w:pPr>
              <w:jc w:val="center"/>
              <w:ind w:right="210"/>
              <w:spacing w:after="0" w:line="169" w:lineRule="exact"/>
              <w:rPr>
                <w:sz w:val="20"/>
                <w:szCs w:val="20"/>
                <w:color w:val="auto"/>
              </w:rPr>
            </w:pPr>
            <w:r>
              <w:rPr>
                <w:rFonts w:ascii="Arial" w:cs="Arial" w:eastAsia="Arial" w:hAnsi="Arial"/>
                <w:sz w:val="18"/>
                <w:szCs w:val="18"/>
                <w:b w:val="1"/>
                <w:bCs w:val="1"/>
                <w:color w:val="auto"/>
                <w:w w:val="93"/>
              </w:rPr>
              <w:t>Exhibit</w:t>
            </w:r>
          </w:p>
        </w:tc>
        <w:tc>
          <w:tcPr>
            <w:tcW w:w="4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940" w:type="dxa"/>
            <w:vAlign w:val="bottom"/>
            <w:tcBorders>
              <w:top w:val="single" w:sz="8" w:color="auto"/>
            </w:tcBorders>
            <w:vMerge w:val="restart"/>
          </w:tcPr>
          <w:p>
            <w:pPr>
              <w:ind w:left="280"/>
              <w:spacing w:after="0"/>
              <w:rPr>
                <w:sz w:val="20"/>
                <w:szCs w:val="20"/>
                <w:color w:val="auto"/>
              </w:rPr>
            </w:pPr>
            <w:r>
              <w:rPr>
                <w:rFonts w:ascii="Arial" w:cs="Arial" w:eastAsia="Arial" w:hAnsi="Arial"/>
                <w:sz w:val="18"/>
                <w:szCs w:val="18"/>
                <w:b w:val="1"/>
                <w:bCs w:val="1"/>
                <w:color w:val="auto"/>
              </w:rPr>
              <w:t>Form</w:t>
            </w:r>
          </w:p>
        </w:tc>
        <w:tc>
          <w:tcPr>
            <w:tcW w:w="2020" w:type="dxa"/>
            <w:vAlign w:val="bottom"/>
            <w:tcBorders>
              <w:top w:val="single" w:sz="8" w:color="auto"/>
            </w:tcBorders>
          </w:tcPr>
          <w:p>
            <w:pPr>
              <w:ind w:left="1240"/>
              <w:spacing w:after="0" w:line="169" w:lineRule="exact"/>
              <w:rPr>
                <w:sz w:val="20"/>
                <w:szCs w:val="20"/>
                <w:color w:val="auto"/>
              </w:rPr>
            </w:pPr>
            <w:r>
              <w:rPr>
                <w:rFonts w:ascii="Arial" w:cs="Arial" w:eastAsia="Arial" w:hAnsi="Arial"/>
                <w:sz w:val="18"/>
                <w:szCs w:val="18"/>
                <w:b w:val="1"/>
                <w:bCs w:val="1"/>
                <w:color w:val="auto"/>
              </w:rPr>
              <w:t>Date of</w:t>
            </w:r>
          </w:p>
        </w:tc>
        <w:tc>
          <w:tcPr>
            <w:tcW w:w="800" w:type="dxa"/>
            <w:vAlign w:val="bottom"/>
          </w:tcPr>
          <w:p>
            <w:pPr>
              <w:jc w:val="center"/>
              <w:ind w:left="70"/>
              <w:spacing w:after="0" w:line="169" w:lineRule="exact"/>
              <w:rPr>
                <w:sz w:val="20"/>
                <w:szCs w:val="20"/>
                <w:color w:val="auto"/>
              </w:rPr>
            </w:pPr>
            <w:r>
              <w:rPr>
                <w:rFonts w:ascii="Arial" w:cs="Arial" w:eastAsia="Arial" w:hAnsi="Arial"/>
                <w:sz w:val="18"/>
                <w:szCs w:val="18"/>
                <w:b w:val="1"/>
                <w:bCs w:val="1"/>
                <w:color w:val="auto"/>
                <w:w w:val="93"/>
              </w:rPr>
              <w:t>Exhibit</w:t>
            </w:r>
          </w:p>
        </w:tc>
        <w:tc>
          <w:tcPr>
            <w:tcW w:w="0" w:type="dxa"/>
            <w:vAlign w:val="bottom"/>
          </w:tcPr>
          <w:p>
            <w:pPr>
              <w:spacing w:after="0"/>
              <w:rPr>
                <w:sz w:val="1"/>
                <w:szCs w:val="1"/>
                <w:color w:val="auto"/>
              </w:rPr>
            </w:pPr>
          </w:p>
        </w:tc>
      </w:tr>
      <w:tr>
        <w:trPr>
          <w:trHeight w:val="229"/>
        </w:trPr>
        <w:tc>
          <w:tcPr>
            <w:tcW w:w="94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Number</w:t>
            </w:r>
          </w:p>
        </w:tc>
        <w:tc>
          <w:tcPr>
            <w:tcW w:w="4720" w:type="dxa"/>
            <w:vAlign w:val="bottom"/>
            <w:gridSpan w:val="3"/>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2020" w:type="dxa"/>
            <w:vAlign w:val="bottom"/>
          </w:tcPr>
          <w:p>
            <w:pPr>
              <w:ind w:left="240"/>
              <w:spacing w:after="0"/>
              <w:rPr>
                <w:sz w:val="20"/>
                <w:szCs w:val="20"/>
                <w:color w:val="auto"/>
              </w:rPr>
            </w:pPr>
            <w:r>
              <w:rPr>
                <w:rFonts w:ascii="Arial" w:cs="Arial" w:eastAsia="Arial" w:hAnsi="Arial"/>
                <w:sz w:val="18"/>
                <w:szCs w:val="18"/>
                <w:b w:val="1"/>
                <w:bCs w:val="1"/>
                <w:color w:val="auto"/>
              </w:rPr>
              <w:t>File No.   First Filing</w:t>
            </w:r>
          </w:p>
        </w:tc>
        <w:tc>
          <w:tcPr>
            <w:tcW w:w="800" w:type="dxa"/>
            <w:vAlign w:val="bottom"/>
          </w:tcPr>
          <w:p>
            <w:pPr>
              <w:jc w:val="center"/>
              <w:ind w:left="7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190"/>
        </w:trPr>
        <w:tc>
          <w:tcPr>
            <w:tcW w:w="940" w:type="dxa"/>
            <w:vAlign w:val="bottom"/>
            <w:vMerge w:val="restart"/>
          </w:tcPr>
          <w:p>
            <w:pPr>
              <w:jc w:val="center"/>
              <w:ind w:right="210"/>
              <w:spacing w:after="0"/>
              <w:rPr>
                <w:sz w:val="20"/>
                <w:szCs w:val="20"/>
                <w:color w:val="auto"/>
              </w:rPr>
            </w:pPr>
            <w:r>
              <w:rPr>
                <w:rFonts w:ascii="Arial" w:cs="Arial" w:eastAsia="Arial" w:hAnsi="Arial"/>
                <w:sz w:val="18"/>
                <w:szCs w:val="18"/>
                <w:color w:val="auto"/>
                <w:w w:val="91"/>
              </w:rPr>
              <w:t>31.1</w:t>
            </w:r>
          </w:p>
        </w:tc>
        <w:tc>
          <w:tcPr>
            <w:tcW w:w="4200" w:type="dxa"/>
            <w:vAlign w:val="bottom"/>
            <w:tcBorders>
              <w:bottom w:val="single" w:sz="8" w:color="0000FF"/>
            </w:tcBorders>
          </w:tcPr>
          <w:p>
            <w:pPr>
              <w:spacing w:after="0" w:line="190" w:lineRule="exact"/>
              <w:rPr>
                <w:rFonts w:ascii="Arial" w:cs="Arial" w:eastAsia="Arial" w:hAnsi="Arial"/>
                <w:sz w:val="18"/>
                <w:szCs w:val="18"/>
                <w:color w:val="0000FF"/>
                <w:w w:val="91"/>
              </w:rPr>
            </w:pPr>
            <w:hyperlink w:anchor="page86">
              <w:r>
                <w:rPr>
                  <w:rFonts w:ascii="Arial" w:cs="Arial" w:eastAsia="Arial" w:hAnsi="Arial"/>
                  <w:sz w:val="18"/>
                  <w:szCs w:val="18"/>
                  <w:color w:val="0000FF"/>
                  <w:w w:val="91"/>
                </w:rPr>
                <w:t>Certification of John F. Sheridan, Chief Executive Officer,</w:t>
              </w:r>
            </w:hyperlink>
          </w:p>
        </w:tc>
        <w:tc>
          <w:tcPr>
            <w:tcW w:w="520" w:type="dxa"/>
            <w:vAlign w:val="bottom"/>
            <w:gridSpan w:val="2"/>
          </w:tcPr>
          <w:p>
            <w:pPr>
              <w:spacing w:after="0"/>
              <w:rPr>
                <w:sz w:val="16"/>
                <w:szCs w:val="16"/>
                <w:color w:val="auto"/>
              </w:rPr>
            </w:pPr>
          </w:p>
        </w:tc>
        <w:tc>
          <w:tcPr>
            <w:tcW w:w="9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940" w:type="dxa"/>
            <w:vAlign w:val="bottom"/>
            <w:vMerge w:val="continue"/>
          </w:tcPr>
          <w:p>
            <w:pPr>
              <w:spacing w:after="0"/>
              <w:rPr>
                <w:sz w:val="8"/>
                <w:szCs w:val="8"/>
                <w:color w:val="auto"/>
              </w:rPr>
            </w:pPr>
          </w:p>
        </w:tc>
        <w:tc>
          <w:tcPr>
            <w:tcW w:w="4720" w:type="dxa"/>
            <w:vAlign w:val="bottom"/>
            <w:gridSpan w:val="3"/>
            <w:vMerge w:val="restart"/>
          </w:tcPr>
          <w:p>
            <w:pPr>
              <w:spacing w:after="0" w:line="156" w:lineRule="exact"/>
              <w:rPr>
                <w:rFonts w:ascii="Arial" w:cs="Arial" w:eastAsia="Arial" w:hAnsi="Arial"/>
                <w:sz w:val="18"/>
                <w:szCs w:val="18"/>
                <w:color w:val="0000FF"/>
                <w:w w:val="98"/>
              </w:rPr>
            </w:pPr>
            <w:hyperlink w:anchor="page86">
              <w:r>
                <w:rPr>
                  <w:rFonts w:ascii="Arial" w:cs="Arial" w:eastAsia="Arial" w:hAnsi="Arial"/>
                  <w:sz w:val="18"/>
                  <w:szCs w:val="18"/>
                  <w:color w:val="0000FF"/>
                  <w:w w:val="98"/>
                </w:rPr>
                <w:t>pursuant to Section 302 of the Sarbanes-Oxley Act of 2002.</w:t>
              </w:r>
            </w:hyperlink>
          </w:p>
        </w:tc>
        <w:tc>
          <w:tcPr>
            <w:tcW w:w="9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940" w:type="dxa"/>
            <w:vAlign w:val="bottom"/>
          </w:tcPr>
          <w:p>
            <w:pPr>
              <w:spacing w:after="0"/>
              <w:rPr>
                <w:sz w:val="4"/>
                <w:szCs w:val="4"/>
                <w:color w:val="auto"/>
              </w:rPr>
            </w:pPr>
          </w:p>
        </w:tc>
        <w:tc>
          <w:tcPr>
            <w:tcW w:w="4720" w:type="dxa"/>
            <w:vAlign w:val="bottom"/>
            <w:gridSpan w:val="3"/>
            <w:vMerge w:val="continue"/>
          </w:tcPr>
          <w:p>
            <w:pPr>
              <w:spacing w:after="0"/>
              <w:rPr>
                <w:sz w:val="4"/>
                <w:szCs w:val="4"/>
                <w:color w:val="auto"/>
              </w:rPr>
            </w:pPr>
          </w:p>
        </w:tc>
        <w:tc>
          <w:tcPr>
            <w:tcW w:w="9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940" w:type="dxa"/>
            <w:vAlign w:val="bottom"/>
            <w:vMerge w:val="restart"/>
          </w:tcPr>
          <w:p>
            <w:pPr>
              <w:jc w:val="center"/>
              <w:ind w:right="210"/>
              <w:spacing w:after="0"/>
              <w:rPr>
                <w:sz w:val="20"/>
                <w:szCs w:val="20"/>
                <w:color w:val="auto"/>
              </w:rPr>
            </w:pPr>
            <w:r>
              <w:rPr>
                <w:rFonts w:ascii="Arial" w:cs="Arial" w:eastAsia="Arial" w:hAnsi="Arial"/>
                <w:sz w:val="18"/>
                <w:szCs w:val="18"/>
                <w:color w:val="auto"/>
                <w:w w:val="91"/>
              </w:rPr>
              <w:t>31.2</w:t>
            </w:r>
          </w:p>
        </w:tc>
        <w:tc>
          <w:tcPr>
            <w:tcW w:w="43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3"/>
              </w:rPr>
            </w:pPr>
            <w:hyperlink w:anchor="page87">
              <w:r>
                <w:rPr>
                  <w:rFonts w:ascii="Arial" w:cs="Arial" w:eastAsia="Arial" w:hAnsi="Arial"/>
                  <w:sz w:val="18"/>
                  <w:szCs w:val="18"/>
                  <w:color w:val="0000FF"/>
                  <w:w w:val="93"/>
                </w:rPr>
                <w:t>Certification of Leigh A. Vosseller, Chief Financial Officer,</w:t>
              </w:r>
            </w:hyperlink>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940" w:type="dxa"/>
            <w:vAlign w:val="bottom"/>
            <w:vMerge w:val="continue"/>
          </w:tcPr>
          <w:p>
            <w:pPr>
              <w:spacing w:after="0"/>
              <w:rPr>
                <w:sz w:val="8"/>
                <w:szCs w:val="8"/>
                <w:color w:val="auto"/>
              </w:rPr>
            </w:pPr>
          </w:p>
        </w:tc>
        <w:tc>
          <w:tcPr>
            <w:tcW w:w="4720" w:type="dxa"/>
            <w:vAlign w:val="bottom"/>
            <w:gridSpan w:val="3"/>
            <w:vMerge w:val="restart"/>
          </w:tcPr>
          <w:p>
            <w:pPr>
              <w:spacing w:after="0" w:line="156" w:lineRule="exact"/>
              <w:rPr>
                <w:rFonts w:ascii="Arial" w:cs="Arial" w:eastAsia="Arial" w:hAnsi="Arial"/>
                <w:sz w:val="18"/>
                <w:szCs w:val="18"/>
                <w:color w:val="0000FF"/>
                <w:w w:val="98"/>
              </w:rPr>
            </w:pPr>
            <w:hyperlink w:anchor="page87">
              <w:r>
                <w:rPr>
                  <w:rFonts w:ascii="Arial" w:cs="Arial" w:eastAsia="Arial" w:hAnsi="Arial"/>
                  <w:sz w:val="18"/>
                  <w:szCs w:val="18"/>
                  <w:color w:val="0000FF"/>
                  <w:w w:val="98"/>
                </w:rPr>
                <w:t>pursuant to Section 302 of the Sarbanes-Oxley Act of 2002.</w:t>
              </w:r>
            </w:hyperlink>
          </w:p>
        </w:tc>
        <w:tc>
          <w:tcPr>
            <w:tcW w:w="9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940" w:type="dxa"/>
            <w:vAlign w:val="bottom"/>
          </w:tcPr>
          <w:p>
            <w:pPr>
              <w:spacing w:after="0"/>
              <w:rPr>
                <w:sz w:val="4"/>
                <w:szCs w:val="4"/>
                <w:color w:val="auto"/>
              </w:rPr>
            </w:pPr>
          </w:p>
        </w:tc>
        <w:tc>
          <w:tcPr>
            <w:tcW w:w="4720" w:type="dxa"/>
            <w:vAlign w:val="bottom"/>
            <w:gridSpan w:val="3"/>
            <w:vMerge w:val="continue"/>
          </w:tcPr>
          <w:p>
            <w:pPr>
              <w:spacing w:after="0"/>
              <w:rPr>
                <w:sz w:val="4"/>
                <w:szCs w:val="4"/>
                <w:color w:val="auto"/>
              </w:rPr>
            </w:pPr>
          </w:p>
        </w:tc>
        <w:tc>
          <w:tcPr>
            <w:tcW w:w="9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06285" cy="2571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11" w:lineRule="exact"/>
        <w:rPr>
          <w:sz w:val="20"/>
          <w:szCs w:val="20"/>
          <w:color w:val="auto"/>
        </w:rPr>
      </w:pPr>
    </w:p>
    <w:p>
      <w:pPr>
        <w:sectPr>
          <w:pgSz w:w="11900" w:h="16838" w:orient="portrait"/>
          <w:cols w:equalWidth="0" w:num="2">
            <w:col w:w="9760" w:space="720"/>
            <w:col w:w="720"/>
          </w:cols>
          <w:pgMar w:left="320" w:top="125" w:right="3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32.1*</w:t>
            </w:r>
          </w:p>
        </w:tc>
        <w:tc>
          <w:tcPr>
            <w:tcW w:w="6900" w:type="dxa"/>
            <w:vAlign w:val="bottom"/>
            <w:gridSpan w:val="5"/>
            <w:shd w:val="clear" w:color="auto" w:fill="CCEEFF"/>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Certification of John F. Sheridan, Chief Executive Officer,</w:t>
              </w:r>
            </w:hyperlink>
          </w:p>
        </w:tc>
        <w:tc>
          <w:tcPr>
            <w:tcW w:w="3080" w:type="dxa"/>
            <w:vAlign w:val="bottom"/>
            <w:vMerge w:val="restart"/>
            <w:shd w:val="clear" w:color="auto" w:fill="CCEEFF"/>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vMerge w:val="continue"/>
            <w:shd w:val="clear" w:color="auto" w:fill="CCEEFF"/>
          </w:tcPr>
          <w:p>
            <w:pPr>
              <w:spacing w:after="0"/>
              <w:rPr>
                <w:sz w:val="13"/>
                <w:szCs w:val="13"/>
                <w:color w:val="auto"/>
              </w:rPr>
            </w:pPr>
          </w:p>
        </w:tc>
        <w:tc>
          <w:tcPr>
            <w:tcW w:w="4200" w:type="dxa"/>
            <w:vAlign w:val="bottom"/>
            <w:tcBorders>
              <w:top w:val="single" w:sz="8" w:color="0000FF"/>
            </w:tcBorders>
            <w:gridSpan w:val="3"/>
            <w:shd w:val="clear" w:color="auto" w:fill="CCEEFF"/>
          </w:tcPr>
          <w:p>
            <w:pPr>
              <w:spacing w:after="0" w:line="156" w:lineRule="exact"/>
              <w:rPr>
                <w:rFonts w:ascii="Arial" w:cs="Arial" w:eastAsia="Arial" w:hAnsi="Arial"/>
                <w:sz w:val="18"/>
                <w:szCs w:val="18"/>
                <w:color w:val="0000FF"/>
                <w:w w:val="92"/>
              </w:rPr>
            </w:pPr>
            <w:hyperlink w:anchor="page88">
              <w:r>
                <w:rPr>
                  <w:rFonts w:ascii="Arial" w:cs="Arial" w:eastAsia="Arial" w:hAnsi="Arial"/>
                  <w:sz w:val="18"/>
                  <w:szCs w:val="18"/>
                  <w:color w:val="0000FF"/>
                  <w:w w:val="92"/>
                </w:rPr>
                <w:t>pursuant to U.S.C. Section 1350, as adopted pursuant to</w:t>
              </w:r>
            </w:hyperlink>
          </w:p>
        </w:tc>
        <w:tc>
          <w:tcPr>
            <w:tcW w:w="80" w:type="dxa"/>
            <w:vAlign w:val="bottom"/>
            <w:tcBorders>
              <w:top w:val="single" w:sz="8" w:color="CCEEFF"/>
            </w:tcBorders>
            <w:shd w:val="clear" w:color="auto" w:fill="CCEEFF"/>
          </w:tcPr>
          <w:p>
            <w:pPr>
              <w:spacing w:after="0"/>
              <w:rPr>
                <w:sz w:val="13"/>
                <w:szCs w:val="13"/>
                <w:color w:val="auto"/>
              </w:rPr>
            </w:pPr>
          </w:p>
        </w:tc>
        <w:tc>
          <w:tcPr>
            <w:tcW w:w="2620" w:type="dxa"/>
            <w:vAlign w:val="bottom"/>
            <w:tcBorders>
              <w:top w:val="single" w:sz="8" w:color="CCEEFF"/>
            </w:tcBorders>
            <w:shd w:val="clear" w:color="auto" w:fill="CCEEFF"/>
          </w:tcPr>
          <w:p>
            <w:pPr>
              <w:spacing w:after="0"/>
              <w:rPr>
                <w:sz w:val="13"/>
                <w:szCs w:val="13"/>
                <w:color w:val="auto"/>
              </w:rPr>
            </w:pPr>
          </w:p>
        </w:tc>
        <w:tc>
          <w:tcPr>
            <w:tcW w:w="308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346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90"/>
              </w:rPr>
            </w:pPr>
            <w:hyperlink w:anchor="page88">
              <w:r>
                <w:rPr>
                  <w:rFonts w:ascii="Arial" w:cs="Arial" w:eastAsia="Arial" w:hAnsi="Arial"/>
                  <w:sz w:val="18"/>
                  <w:szCs w:val="18"/>
                  <w:color w:val="0000FF"/>
                  <w:w w:val="90"/>
                </w:rPr>
                <w:t>Section 906 of the Sarbanes-Oxley Act of 2002.</w:t>
              </w:r>
            </w:hyperlink>
          </w:p>
        </w:tc>
        <w:tc>
          <w:tcPr>
            <w:tcW w:w="560" w:type="dxa"/>
            <w:vAlign w:val="bottom"/>
            <w:tcBorders>
              <w:top w:val="single" w:sz="8" w:color="0000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620" w:type="dxa"/>
            <w:vAlign w:val="bottom"/>
            <w:tcBorders>
              <w:top w:val="single" w:sz="8" w:color="CCEEFF"/>
              <w:bottom w:val="single" w:sz="8" w:color="CCEEFF"/>
            </w:tcBorders>
            <w:shd w:val="clear" w:color="auto" w:fill="CCEEFF"/>
          </w:tcPr>
          <w:p>
            <w:pPr>
              <w:spacing w:after="0"/>
              <w:rPr>
                <w:sz w:val="15"/>
                <w:szCs w:val="15"/>
                <w:color w:val="auto"/>
              </w:rPr>
            </w:pPr>
          </w:p>
        </w:tc>
        <w:tc>
          <w:tcPr>
            <w:tcW w:w="30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5"/>
              </w:rPr>
              <w:t>32.2*</w:t>
            </w:r>
          </w:p>
        </w:tc>
        <w:tc>
          <w:tcPr>
            <w:tcW w:w="6900" w:type="dxa"/>
            <w:vAlign w:val="bottom"/>
            <w:gridSpan w:val="5"/>
          </w:tcPr>
          <w:p>
            <w:pPr>
              <w:spacing w:after="0" w:line="189" w:lineRule="exact"/>
              <w:rPr>
                <w:rFonts w:ascii="Arial" w:cs="Arial" w:eastAsia="Arial" w:hAnsi="Arial"/>
                <w:sz w:val="18"/>
                <w:szCs w:val="18"/>
                <w:color w:val="0000FF"/>
              </w:rPr>
            </w:pPr>
            <w:hyperlink w:anchor="page89">
              <w:r>
                <w:rPr>
                  <w:rFonts w:ascii="Arial" w:cs="Arial" w:eastAsia="Arial" w:hAnsi="Arial"/>
                  <w:sz w:val="18"/>
                  <w:szCs w:val="18"/>
                  <w:color w:val="0000FF"/>
                </w:rPr>
                <w:t>Certification of Leigh A. Vosseller, Chief Financial Officer,</w:t>
              </w:r>
            </w:hyperlink>
          </w:p>
        </w:tc>
        <w:tc>
          <w:tcPr>
            <w:tcW w:w="3080" w:type="dxa"/>
            <w:vAlign w:val="bottom"/>
            <w:vMerge w:val="restart"/>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4280" w:type="dxa"/>
            <w:vAlign w:val="bottom"/>
            <w:tcBorders>
              <w:top w:val="single" w:sz="8" w:color="0000FF"/>
            </w:tcBorders>
            <w:gridSpan w:val="4"/>
          </w:tcPr>
          <w:p>
            <w:pPr>
              <w:spacing w:after="0" w:line="156" w:lineRule="exact"/>
              <w:rPr>
                <w:rFonts w:ascii="Arial" w:cs="Arial" w:eastAsia="Arial" w:hAnsi="Arial"/>
                <w:sz w:val="18"/>
                <w:szCs w:val="18"/>
                <w:color w:val="0000FF"/>
                <w:w w:val="94"/>
              </w:rPr>
            </w:pPr>
            <w:hyperlink w:anchor="page89">
              <w:r>
                <w:rPr>
                  <w:rFonts w:ascii="Arial" w:cs="Arial" w:eastAsia="Arial" w:hAnsi="Arial"/>
                  <w:sz w:val="18"/>
                  <w:szCs w:val="18"/>
                  <w:color w:val="0000FF"/>
                  <w:w w:val="94"/>
                </w:rPr>
                <w:t>pursuant to U.S.C. Section 1350, as adopted pursuant to</w:t>
              </w:r>
            </w:hyperlink>
          </w:p>
        </w:tc>
        <w:tc>
          <w:tcPr>
            <w:tcW w:w="2620" w:type="dxa"/>
            <w:vAlign w:val="bottom"/>
          </w:tcPr>
          <w:p>
            <w:pPr>
              <w:spacing w:after="0"/>
              <w:rPr>
                <w:sz w:val="13"/>
                <w:szCs w:val="13"/>
                <w:color w:val="auto"/>
              </w:rPr>
            </w:pPr>
          </w:p>
        </w:tc>
        <w:tc>
          <w:tcPr>
            <w:tcW w:w="3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02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89">
              <w:r>
                <w:rPr>
                  <w:rFonts w:ascii="Arial" w:cs="Arial" w:eastAsia="Arial" w:hAnsi="Arial"/>
                  <w:sz w:val="18"/>
                  <w:szCs w:val="18"/>
                  <w:color w:val="0000FF"/>
                </w:rPr>
                <w:t>Section 906 of the Sarbanes-Oxley Act of 2002.</w:t>
              </w:r>
            </w:hyperlink>
          </w:p>
        </w:tc>
        <w:tc>
          <w:tcPr>
            <w:tcW w:w="2880" w:type="dxa"/>
            <w:vAlign w:val="bottom"/>
            <w:gridSpan w:val="3"/>
          </w:tcPr>
          <w:p>
            <w:pPr>
              <w:spacing w:after="0"/>
              <w:rPr>
                <w:sz w:val="13"/>
                <w:szCs w:val="13"/>
                <w:color w:val="auto"/>
              </w:rPr>
            </w:pP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34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101.INS</w:t>
            </w:r>
          </w:p>
        </w:tc>
        <w:tc>
          <w:tcPr>
            <w:tcW w:w="6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30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22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690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3080" w:type="dxa"/>
            <w:vAlign w:val="bottom"/>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101.CAL</w:t>
            </w:r>
          </w:p>
        </w:tc>
        <w:tc>
          <w:tcPr>
            <w:tcW w:w="6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0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22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69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080" w:type="dxa"/>
            <w:vAlign w:val="bottom"/>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101.LAB</w:t>
            </w:r>
          </w:p>
        </w:tc>
        <w:tc>
          <w:tcPr>
            <w:tcW w:w="6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30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12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69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3080" w:type="dxa"/>
            <w:vAlign w:val="bottom"/>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6"/>
        </w:trPr>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104</w:t>
            </w:r>
          </w:p>
        </w:tc>
        <w:tc>
          <w:tcPr>
            <w:tcW w:w="69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Cover Page Interactive Data File (embedded within the Inline</w:t>
            </w:r>
          </w:p>
        </w:tc>
        <w:tc>
          <w:tcPr>
            <w:tcW w:w="3080" w:type="dxa"/>
            <w:vAlign w:val="bottom"/>
            <w:vMerge w:val="restart"/>
            <w:shd w:val="clear" w:color="auto" w:fill="CCEEFF"/>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35"/>
        </w:trPr>
        <w:tc>
          <w:tcPr>
            <w:tcW w:w="1220" w:type="dxa"/>
            <w:vAlign w:val="bottom"/>
            <w:vMerge w:val="continue"/>
            <w:shd w:val="clear" w:color="auto" w:fill="CCEEFF"/>
          </w:tcPr>
          <w:p>
            <w:pPr>
              <w:spacing w:after="0"/>
              <w:rPr>
                <w:sz w:val="11"/>
                <w:szCs w:val="11"/>
                <w:color w:val="auto"/>
              </w:rPr>
            </w:pPr>
          </w:p>
        </w:tc>
        <w:tc>
          <w:tcPr>
            <w:tcW w:w="690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rPr>
              <w:t>XBRL Document contained in Exhibit 101)</w:t>
            </w:r>
          </w:p>
        </w:tc>
        <w:tc>
          <w:tcPr>
            <w:tcW w:w="30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220" w:type="dxa"/>
            <w:vAlign w:val="bottom"/>
            <w:shd w:val="clear" w:color="auto" w:fill="CCEEFF"/>
          </w:tcPr>
          <w:p>
            <w:pPr>
              <w:spacing w:after="0"/>
              <w:rPr>
                <w:sz w:val="8"/>
                <w:szCs w:val="8"/>
                <w:color w:val="auto"/>
              </w:rPr>
            </w:pPr>
          </w:p>
        </w:tc>
        <w:tc>
          <w:tcPr>
            <w:tcW w:w="6900" w:type="dxa"/>
            <w:vAlign w:val="bottom"/>
            <w:gridSpan w:val="5"/>
            <w:vMerge w:val="continue"/>
            <w:shd w:val="clear" w:color="auto" w:fill="CCEEFF"/>
          </w:tcPr>
          <w:p>
            <w:pPr>
              <w:spacing w:after="0"/>
              <w:rPr>
                <w:sz w:val="8"/>
                <w:szCs w:val="8"/>
                <w:color w:val="auto"/>
              </w:rPr>
            </w:pPr>
          </w:p>
        </w:tc>
        <w:tc>
          <w:tcPr>
            <w:tcW w:w="30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40" w:right="200" w:hanging="332"/>
        <w:spacing w:after="0" w:line="263" w:lineRule="auto"/>
        <w:tabs>
          <w:tab w:leader="none" w:pos="28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Tandem Diabetes Care, Inc.</w:t>
      </w:r>
    </w:p>
    <w:p>
      <w:pPr>
        <w:spacing w:after="0" w:line="306" w:lineRule="exact"/>
        <w:rPr>
          <w:sz w:val="20"/>
          <w:szCs w:val="20"/>
          <w:color w:val="auto"/>
        </w:rPr>
      </w:pPr>
    </w:p>
    <w:p>
      <w:pPr>
        <w:ind w:left="20"/>
        <w:spacing w:after="0"/>
        <w:tabs>
          <w:tab w:leader="none" w:pos="5780" w:val="left"/>
          <w:tab w:leader="none" w:pos="6280" w:val="left"/>
        </w:tabs>
        <w:rPr>
          <w:sz w:val="20"/>
          <w:szCs w:val="20"/>
          <w:color w:val="auto"/>
        </w:rPr>
      </w:pPr>
      <w:r>
        <w:rPr>
          <w:rFonts w:ascii="Arial" w:cs="Arial" w:eastAsia="Arial" w:hAnsi="Arial"/>
          <w:sz w:val="18"/>
          <w:szCs w:val="18"/>
          <w:color w:val="auto"/>
        </w:rPr>
        <w:t>Dated: August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286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John F. Sheridan</w:t>
      </w:r>
    </w:p>
    <w:p>
      <w:pPr>
        <w:ind w:left="6300"/>
        <w:spacing w:after="0" w:line="203" w:lineRule="auto"/>
        <w:rPr>
          <w:sz w:val="20"/>
          <w:szCs w:val="20"/>
          <w:color w:val="auto"/>
        </w:rPr>
      </w:pPr>
      <w:r>
        <w:rPr>
          <w:rFonts w:ascii="Arial" w:cs="Arial" w:eastAsia="Arial" w:hAnsi="Arial"/>
          <w:sz w:val="18"/>
          <w:szCs w:val="18"/>
          <w:color w:val="auto"/>
        </w:rPr>
        <w:t>President and Chief Executive Officer</w:t>
      </w:r>
    </w:p>
    <w:p>
      <w:pPr>
        <w:ind w:left="6300"/>
        <w:spacing w:after="0" w:line="203" w:lineRule="auto"/>
        <w:rPr>
          <w:sz w:val="20"/>
          <w:szCs w:val="20"/>
          <w:color w:val="auto"/>
        </w:rPr>
      </w:pPr>
      <w:r>
        <w:rPr>
          <w:rFonts w:ascii="Arial" w:cs="Arial" w:eastAsia="Arial" w:hAnsi="Arial"/>
          <w:sz w:val="18"/>
          <w:szCs w:val="18"/>
          <w:color w:val="auto"/>
        </w:rPr>
        <w:t>(on behalf of the registrant and as the registrant’s</w:t>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Executive Officer)</w:t>
      </w:r>
    </w:p>
    <w:p>
      <w:pPr>
        <w:spacing w:after="0" w:line="263" w:lineRule="exact"/>
        <w:rPr>
          <w:sz w:val="20"/>
          <w:szCs w:val="20"/>
          <w:color w:val="auto"/>
        </w:rPr>
      </w:pPr>
    </w:p>
    <w:p>
      <w:pPr>
        <w:ind w:left="20"/>
        <w:spacing w:after="0"/>
        <w:tabs>
          <w:tab w:leader="none" w:pos="5780" w:val="left"/>
          <w:tab w:leader="none" w:pos="6280" w:val="left"/>
        </w:tabs>
        <w:rPr>
          <w:sz w:val="20"/>
          <w:szCs w:val="20"/>
          <w:color w:val="auto"/>
        </w:rPr>
      </w:pPr>
      <w:r>
        <w:rPr>
          <w:rFonts w:ascii="Arial" w:cs="Arial" w:eastAsia="Arial" w:hAnsi="Arial"/>
          <w:sz w:val="18"/>
          <w:szCs w:val="18"/>
          <w:color w:val="auto"/>
        </w:rPr>
        <w:t>Dated: August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286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Leigh A. Vosseller</w:t>
      </w:r>
    </w:p>
    <w:p>
      <w:pPr>
        <w:ind w:left="6300"/>
        <w:spacing w:after="0" w:line="215" w:lineRule="auto"/>
        <w:rPr>
          <w:sz w:val="20"/>
          <w:szCs w:val="20"/>
          <w:color w:val="auto"/>
        </w:rPr>
      </w:pPr>
      <w:r>
        <w:rPr>
          <w:rFonts w:ascii="Arial" w:cs="Arial" w:eastAsia="Arial" w:hAnsi="Arial"/>
          <w:sz w:val="17"/>
          <w:szCs w:val="17"/>
          <w:color w:val="auto"/>
        </w:rPr>
        <w:t>Executive Vice President, Chief Financial Officer and Treasurer</w:t>
      </w:r>
    </w:p>
    <w:p>
      <w:pPr>
        <w:ind w:left="6300"/>
        <w:spacing w:after="0" w:line="203" w:lineRule="auto"/>
        <w:rPr>
          <w:sz w:val="20"/>
          <w:szCs w:val="20"/>
          <w:color w:val="auto"/>
        </w:rPr>
      </w:pPr>
      <w:r>
        <w:rPr>
          <w:rFonts w:ascii="Arial" w:cs="Arial" w:eastAsia="Arial" w:hAnsi="Arial"/>
          <w:sz w:val="18"/>
          <w:szCs w:val="18"/>
          <w:color w:val="auto"/>
        </w:rPr>
        <w:t>(on behalf of the registrant and as the registrant’s</w:t>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125" w:right="47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F. Sheridan, certify that:</w:t>
      </w:r>
    </w:p>
    <w:p>
      <w:pPr>
        <w:spacing w:after="0" w:line="225"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120" w:right="40" w:hanging="654"/>
        <w:spacing w:after="0" w:line="311" w:lineRule="auto"/>
        <w:tabs>
          <w:tab w:leader="none" w:pos="2111"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120" w:right="60" w:hanging="654"/>
        <w:spacing w:after="0" w:line="286" w:lineRule="auto"/>
        <w:tabs>
          <w:tab w:leader="none" w:pos="2108"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120" w:right="140" w:hanging="654"/>
        <w:spacing w:after="0" w:line="263" w:lineRule="auto"/>
        <w:tabs>
          <w:tab w:leader="none" w:pos="2111"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120" w:right="160" w:hanging="654"/>
        <w:spacing w:after="0" w:line="311" w:lineRule="auto"/>
        <w:tabs>
          <w:tab w:leader="none" w:pos="2108" w:val="left"/>
        </w:tabs>
        <w:numPr>
          <w:ilvl w:val="1"/>
          <w:numId w:val="4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80" w:hanging="652"/>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2120" w:right="400" w:hanging="654"/>
        <w:spacing w:after="0" w:line="235" w:lineRule="auto"/>
        <w:tabs>
          <w:tab w:leader="none" w:pos="2111"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8"/>
          <w:szCs w:val="18"/>
          <w:color w:val="auto"/>
        </w:rPr>
      </w:pPr>
    </w:p>
    <w:p>
      <w:pPr>
        <w:ind w:left="2120" w:right="780" w:hanging="654"/>
        <w:spacing w:after="0" w:line="246" w:lineRule="auto"/>
        <w:tabs>
          <w:tab w:leader="none" w:pos="210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Tandem Diabetes Care, Inc.</w:t>
      </w:r>
    </w:p>
    <w:p>
      <w:pPr>
        <w:spacing w:after="0" w:line="77" w:lineRule="exact"/>
        <w:rPr>
          <w:sz w:val="20"/>
          <w:szCs w:val="20"/>
          <w:color w:val="auto"/>
        </w:rPr>
      </w:pPr>
    </w:p>
    <w:p>
      <w:pPr>
        <w:ind w:left="6720"/>
        <w:spacing w:after="0"/>
        <w:tabs>
          <w:tab w:leader="none" w:pos="7160" w:val="left"/>
        </w:tabs>
        <w:rPr>
          <w:sz w:val="20"/>
          <w:szCs w:val="20"/>
          <w:color w:val="auto"/>
        </w:rPr>
      </w:pPr>
      <w:r>
        <w:rPr>
          <w:rFonts w:ascii="Arial" w:cs="Arial" w:eastAsia="Arial" w:hAnsi="Arial"/>
          <w:sz w:val="18"/>
          <w:szCs w:val="18"/>
          <w:color w:val="auto"/>
        </w:rPr>
        <w:t>By:</w:t>
        <w:tab/>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14605</wp:posOffset>
            </wp:positionV>
            <wp:extent cx="25717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John F. Sheridan</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President, Chief Executive Officer</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4, 2021</w:t>
      </w:r>
    </w:p>
    <w:p>
      <w:pPr>
        <w:sectPr>
          <w:pgSz w:w="11900" w:h="16838" w:orient="portrait"/>
          <w:cols w:equalWidth="0" w:num="1">
            <w:col w:w="11240"/>
          </w:cols>
          <w:pgMar w:left="320" w:top="1107"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Leigh A. Vosseller, certify that:</w:t>
      </w:r>
    </w:p>
    <w:p>
      <w:pPr>
        <w:spacing w:after="0" w:line="225"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120" w:right="40" w:hanging="654"/>
        <w:spacing w:after="0" w:line="311" w:lineRule="auto"/>
        <w:tabs>
          <w:tab w:leader="none" w:pos="2111"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120" w:right="60" w:hanging="654"/>
        <w:spacing w:after="0" w:line="308" w:lineRule="auto"/>
        <w:tabs>
          <w:tab w:leader="none" w:pos="2108"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w:t>
      </w:r>
    </w:p>
    <w:p>
      <w:pPr>
        <w:spacing w:after="0" w:line="146" w:lineRule="exact"/>
        <w:rPr>
          <w:rFonts w:ascii="Arial" w:cs="Arial" w:eastAsia="Arial" w:hAnsi="Arial"/>
          <w:sz w:val="17"/>
          <w:szCs w:val="17"/>
          <w:color w:val="auto"/>
        </w:rPr>
      </w:pPr>
    </w:p>
    <w:p>
      <w:pPr>
        <w:ind w:left="2120" w:right="140" w:hanging="654"/>
        <w:spacing w:after="0" w:line="263" w:lineRule="auto"/>
        <w:tabs>
          <w:tab w:leader="none" w:pos="2111"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120" w:right="160" w:hanging="654"/>
        <w:spacing w:after="0" w:line="311" w:lineRule="auto"/>
        <w:tabs>
          <w:tab w:leader="none" w:pos="2108"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80" w:hanging="652"/>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2120" w:right="400" w:hanging="654"/>
        <w:spacing w:after="0" w:line="263" w:lineRule="auto"/>
        <w:tabs>
          <w:tab w:leader="none" w:pos="2111"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120" w:right="780" w:hanging="654"/>
        <w:spacing w:after="0" w:line="277" w:lineRule="auto"/>
        <w:tabs>
          <w:tab w:leader="none" w:pos="210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Tandem Diabetes Care, Inc.</w:t>
      </w:r>
    </w:p>
    <w:p>
      <w:pPr>
        <w:spacing w:after="0" w:line="77" w:lineRule="exact"/>
        <w:rPr>
          <w:sz w:val="20"/>
          <w:szCs w:val="20"/>
          <w:color w:val="auto"/>
        </w:rPr>
      </w:pPr>
    </w:p>
    <w:p>
      <w:pPr>
        <w:ind w:left="6720"/>
        <w:spacing w:after="0"/>
        <w:tabs>
          <w:tab w:leader="none" w:pos="7180" w:val="left"/>
        </w:tabs>
        <w:rPr>
          <w:sz w:val="20"/>
          <w:szCs w:val="20"/>
          <w:color w:val="auto"/>
        </w:rPr>
      </w:pPr>
      <w:r>
        <w:rPr>
          <w:rFonts w:ascii="Arial" w:cs="Arial" w:eastAsia="Arial" w:hAnsi="Arial"/>
          <w:sz w:val="18"/>
          <w:szCs w:val="18"/>
          <w:color w:val="auto"/>
        </w:rPr>
        <w:t>By:</w:t>
        <w:tab/>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457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Leigh A. Vosseller</w:t>
      </w:r>
    </w:p>
    <w:p>
      <w:pPr>
        <w:spacing w:after="0" w:line="19"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Executive Vice President, Chief Financial Officer and</w:t>
      </w:r>
    </w:p>
    <w:p>
      <w:pPr>
        <w:ind w:left="7200"/>
        <w:spacing w:after="0"/>
        <w:rPr>
          <w:sz w:val="20"/>
          <w:szCs w:val="20"/>
          <w:color w:val="auto"/>
        </w:rPr>
      </w:pPr>
      <w:r>
        <w:rPr>
          <w:rFonts w:ascii="Arial" w:cs="Arial" w:eastAsia="Arial" w:hAnsi="Arial"/>
          <w:sz w:val="18"/>
          <w:szCs w:val="18"/>
          <w:color w:val="auto"/>
        </w:rPr>
        <w:t>Treasurer</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4, 2021</w:t>
      </w:r>
    </w:p>
    <w:p>
      <w:pPr>
        <w:sectPr>
          <w:pgSz w:w="11900" w:h="16838" w:orient="portrait"/>
          <w:cols w:equalWidth="0" w:num="1">
            <w:col w:w="11240"/>
          </w:cols>
          <w:pgMar w:left="320" w:top="1107"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40" w:firstLine="1296"/>
        <w:spacing w:after="0" w:line="311" w:lineRule="auto"/>
        <w:rPr>
          <w:sz w:val="20"/>
          <w:szCs w:val="20"/>
          <w:color w:val="auto"/>
        </w:rPr>
      </w:pPr>
      <w:r>
        <w:rPr>
          <w:rFonts w:ascii="Arial" w:cs="Arial" w:eastAsia="Arial" w:hAnsi="Arial"/>
          <w:sz w:val="16"/>
          <w:szCs w:val="16"/>
          <w:color w:val="auto"/>
        </w:rPr>
        <w:t>In connection with the Quarterly Report on Form 10-Q of Tandem Diabetes Care, Inc. (the “Company”) for the period ended June 30, 2021, as filed with the Securities and Exchange Commission on the date hereof (the “Report”), I, John F. Sheridan, President and Chief Executive Officer of the Company, certify, pursuant to 18 U.S.C. Section 1350, as adopted pursuant to Section 906 of the Sarbanes-Oxley Act of 2002, that to my knowledge:</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as amended; and</w:t>
      </w:r>
    </w:p>
    <w:p>
      <w:pPr>
        <w:spacing w:after="0" w:line="248" w:lineRule="exact"/>
        <w:rPr>
          <w:sz w:val="20"/>
          <w:szCs w:val="20"/>
          <w:color w:val="auto"/>
        </w:rPr>
      </w:pPr>
    </w:p>
    <w:p>
      <w:pPr>
        <w:ind w:left="1460" w:right="140" w:hanging="161"/>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 as of the dates and for the periods presented.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Dated: August 4, 2021</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F. Sheridan</w:t>
            </w:r>
          </w:p>
        </w:tc>
      </w:tr>
      <w:tr>
        <w:trPr>
          <w:trHeight w:val="222"/>
        </w:trPr>
        <w:tc>
          <w:tcPr>
            <w:tcW w:w="618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John F. Sheridan</w:t>
            </w:r>
          </w:p>
        </w:tc>
      </w:tr>
      <w:tr>
        <w:trPr>
          <w:trHeight w:val="230"/>
        </w:trPr>
        <w:tc>
          <w:tcPr>
            <w:tcW w:w="618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President, Chief Executive Officer</w:t>
            </w:r>
          </w:p>
        </w:tc>
      </w:tr>
    </w:tbl>
    <w:p>
      <w:pPr>
        <w:spacing w:after="0" w:line="202" w:lineRule="exact"/>
        <w:rPr>
          <w:sz w:val="20"/>
          <w:szCs w:val="20"/>
          <w:color w:val="auto"/>
        </w:rPr>
      </w:pPr>
    </w:p>
    <w:p>
      <w:pPr>
        <w:ind w:right="200" w:firstLine="1296"/>
        <w:spacing w:after="0" w:line="30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foregoing certification is being furnished solely to accompany the Report pursuant to 18 U.S.C. § 1350, and is not being filed for</w:t>
      </w:r>
      <w:r>
        <w:rPr>
          <w:rFonts w:ascii="Arial" w:cs="Arial" w:eastAsia="Arial" w:hAnsi="Arial"/>
          <w:sz w:val="16"/>
          <w:szCs w:val="16"/>
          <w:color w:val="auto"/>
        </w:rPr>
        <w:t xml:space="preserve"> </w:t>
      </w:r>
      <w:r>
        <w:rPr>
          <w:rFonts w:ascii="Arial" w:cs="Arial" w:eastAsia="Arial" w:hAnsi="Arial"/>
          <w:sz w:val="16"/>
          <w:szCs w:val="16"/>
          <w:i w:val="1"/>
          <w:iCs w:val="1"/>
          <w:color w:val="auto"/>
        </w:rPr>
        <w:t>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07"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In connection with the Quarterly Report on Form 10-Q of Tandem Diabetes Care, Inc. (the “Company”) for the period ended June 30, 2021, as filed with the Securities and Exchange Commission on the date hereof (the “Report”), I, Leigh A. Vosseller, Executive Vice President, Chief Financial Officer and Treasurer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as amended; and</w:t>
      </w:r>
    </w:p>
    <w:p>
      <w:pPr>
        <w:spacing w:after="0" w:line="248" w:lineRule="exact"/>
        <w:rPr>
          <w:sz w:val="20"/>
          <w:szCs w:val="20"/>
          <w:color w:val="auto"/>
        </w:rPr>
      </w:pPr>
    </w:p>
    <w:p>
      <w:pPr>
        <w:ind w:left="1460" w:right="140" w:hanging="161"/>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 as of the dates and for the periods presented.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Dated: August 4, 2021</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Leigh A. Vosseller</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Leigh A. Vosseller</w:t>
            </w:r>
          </w:p>
        </w:tc>
      </w:tr>
      <w:tr>
        <w:trPr>
          <w:trHeight w:val="230"/>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r>
    </w:tbl>
    <w:p>
      <w:pPr>
        <w:spacing w:after="0" w:line="202" w:lineRule="exact"/>
        <w:rPr>
          <w:sz w:val="20"/>
          <w:szCs w:val="20"/>
          <w:color w:val="auto"/>
        </w:rPr>
      </w:pPr>
    </w:p>
    <w:p>
      <w:pPr>
        <w:ind w:right="200" w:firstLine="1296"/>
        <w:spacing w:after="0" w:line="301" w:lineRule="auto"/>
        <w:rPr>
          <w:sz w:val="20"/>
          <w:szCs w:val="20"/>
          <w:color w:val="auto"/>
        </w:rPr>
      </w:pPr>
      <w:r>
        <w:rPr>
          <w:rFonts w:ascii="Arial" w:cs="Arial" w:eastAsia="Arial" w:hAnsi="Arial"/>
          <w:sz w:val="16"/>
          <w:szCs w:val="16"/>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2021-08-04T16:05:33Z</dcterms:created>
  <dcterms:modified xsi:type="dcterms:W3CDTF">2021-08-04T16:05:33Z</dcterms:modified>
</cp:coreProperties>
</file>