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61" w:lineRule="exact"/>
        <w:rPr>
          <w:sz w:val="24"/>
          <w:szCs w:val="24"/>
          <w:color w:val="auto"/>
        </w:rPr>
      </w:pPr>
    </w:p>
    <w:p>
      <w:pPr>
        <w:ind w:left="32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92" w:lineRule="exact"/>
        <w:rPr>
          <w:sz w:val="24"/>
          <w:szCs w:val="24"/>
          <w:color w:val="auto"/>
        </w:rPr>
      </w:pPr>
    </w:p>
    <w:p>
      <w:pPr>
        <w:ind w:left="32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125" w:lineRule="exact"/>
        <w:rPr>
          <w:sz w:val="24"/>
          <w:szCs w:val="24"/>
          <w:color w:val="auto"/>
        </w:rPr>
      </w:pPr>
    </w:p>
    <w:p>
      <w:pPr>
        <w:ind w:left="700" w:hanging="530"/>
        <w:spacing w:after="0"/>
        <w:tabs>
          <w:tab w:leader="none" w:pos="700" w:val="left"/>
        </w:tabs>
        <w:numPr>
          <w:ilvl w:val="0"/>
          <w:numId w:val="1"/>
        </w:numPr>
        <w:rPr>
          <w:rFonts w:ascii="MS PGothic" w:cs="MS PGothic" w:eastAsia="MS PGothic" w:hAnsi="MS PGothic"/>
          <w:sz w:val="28"/>
          <w:szCs w:val="28"/>
          <w:color w:val="auto"/>
          <w:vertAlign w:val="superscript"/>
        </w:rPr>
      </w:pPr>
      <w:r>
        <w:rPr>
          <w:rFonts w:ascii="Arial" w:cs="Arial" w:eastAsia="Arial" w:hAnsi="Arial"/>
          <w:sz w:val="21"/>
          <w:szCs w:val="21"/>
          <w:b w:val="1"/>
          <w:bCs w:val="1"/>
          <w:color w:val="auto"/>
        </w:rPr>
        <w:t>QUARTERLY REPORT PURSUANT TO SECTION 13 OR 15(d) OF THE SECURITIES EXCHANGE ACT OF</w:t>
      </w:r>
    </w:p>
    <w:p>
      <w:pPr>
        <w:ind w:left="5720"/>
        <w:spacing w:after="0"/>
        <w:rPr>
          <w:rFonts w:ascii="MS PGothic" w:cs="MS PGothic" w:eastAsia="MS PGothic" w:hAnsi="MS PGothic"/>
          <w:sz w:val="28"/>
          <w:szCs w:val="28"/>
          <w:color w:val="auto"/>
          <w:vertAlign w:val="superscript"/>
        </w:rPr>
      </w:pPr>
      <w:r>
        <w:rPr>
          <w:rFonts w:ascii="Arial" w:cs="Arial" w:eastAsia="Arial" w:hAnsi="Arial"/>
          <w:sz w:val="22"/>
          <w:szCs w:val="22"/>
          <w:b w:val="1"/>
          <w:bCs w:val="1"/>
          <w:color w:val="auto"/>
        </w:rPr>
        <w:t>1934</w:t>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680" w:hanging="537"/>
        <w:spacing w:after="0"/>
        <w:tabs>
          <w:tab w:leader="none" w:pos="6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72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70" w:lineRule="exact"/>
        <w:rPr>
          <w:sz w:val="24"/>
          <w:szCs w:val="24"/>
          <w:color w:val="auto"/>
        </w:rPr>
      </w:pPr>
    </w:p>
    <w:p>
      <w:pPr>
        <w:ind w:left="376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001-36189</w:t>
      </w:r>
    </w:p>
    <w:p>
      <w:pPr>
        <w:spacing w:after="0" w:line="81" w:lineRule="exact"/>
        <w:rPr>
          <w:sz w:val="24"/>
          <w:szCs w:val="24"/>
          <w:color w:val="auto"/>
        </w:rPr>
      </w:pPr>
    </w:p>
    <w:p>
      <w:pPr>
        <w:ind w:left="32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Tandem Diabetes Care, Inc.</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153" w:lineRule="exact"/>
        <w:rPr>
          <w:sz w:val="24"/>
          <w:szCs w:val="24"/>
          <w:color w:val="auto"/>
        </w:rPr>
      </w:pPr>
    </w:p>
    <w:tbl>
      <w:tblPr>
        <w:tblLayout w:type="fixed"/>
        <w:tblInd w:w="100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2640" w:type="dxa"/>
            <w:vAlign w:val="bottom"/>
            <w:gridSpan w:val="2"/>
          </w:tcPr>
          <w:p>
            <w:pPr>
              <w:jc w:val="center"/>
              <w:ind w:right="519"/>
              <w:spacing w:after="0"/>
              <w:rPr>
                <w:sz w:val="20"/>
                <w:szCs w:val="20"/>
                <w:color w:val="auto"/>
              </w:rPr>
            </w:pPr>
            <w:r>
              <w:rPr>
                <w:rFonts w:ascii="Arial" w:cs="Arial" w:eastAsia="Arial" w:hAnsi="Arial"/>
                <w:sz w:val="18"/>
                <w:szCs w:val="18"/>
                <w:b w:val="1"/>
                <w:bCs w:val="1"/>
                <w:color w:val="auto"/>
                <w:w w:val="91"/>
              </w:rPr>
              <w:t>Delaware</w:t>
            </w: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60" w:type="dxa"/>
            <w:vAlign w:val="bottom"/>
          </w:tcPr>
          <w:p>
            <w:pPr>
              <w:jc w:val="right"/>
              <w:ind w:right="340"/>
              <w:spacing w:after="0"/>
              <w:rPr>
                <w:sz w:val="20"/>
                <w:szCs w:val="20"/>
                <w:color w:val="auto"/>
              </w:rPr>
            </w:pPr>
            <w:r>
              <w:rPr>
                <w:rFonts w:ascii="Arial" w:cs="Arial" w:eastAsia="Arial" w:hAnsi="Arial"/>
                <w:sz w:val="18"/>
                <w:szCs w:val="18"/>
                <w:b w:val="1"/>
                <w:bCs w:val="1"/>
                <w:color w:val="auto"/>
              </w:rPr>
              <w:t>20-4327508</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2640" w:type="dxa"/>
            <w:vAlign w:val="bottom"/>
            <w:gridSpan w:val="2"/>
          </w:tcPr>
          <w:p>
            <w:pPr>
              <w:jc w:val="center"/>
              <w:ind w:right="519"/>
              <w:spacing w:after="0"/>
              <w:rPr>
                <w:sz w:val="20"/>
                <w:szCs w:val="20"/>
                <w:color w:val="auto"/>
              </w:rPr>
            </w:pPr>
            <w:r>
              <w:rPr>
                <w:rFonts w:ascii="Arial" w:cs="Arial" w:eastAsia="Arial" w:hAnsi="Arial"/>
                <w:sz w:val="14"/>
                <w:szCs w:val="14"/>
                <w:b w:val="1"/>
                <w:bCs w:val="1"/>
                <w:color w:val="auto"/>
                <w:w w:val="93"/>
              </w:rPr>
              <w:t>(State or other jurisdiction of</w:t>
            </w: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460" w:type="dxa"/>
            <w:vAlign w:val="bottom"/>
          </w:tcPr>
          <w:p>
            <w:pPr>
              <w:jc w:val="center"/>
              <w:ind w:left="700"/>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640" w:type="dxa"/>
            <w:vAlign w:val="bottom"/>
            <w:gridSpan w:val="2"/>
          </w:tcPr>
          <w:p>
            <w:pPr>
              <w:jc w:val="center"/>
              <w:ind w:right="519"/>
              <w:spacing w:after="0"/>
              <w:rPr>
                <w:sz w:val="20"/>
                <w:szCs w:val="20"/>
                <w:color w:val="auto"/>
              </w:rPr>
            </w:pPr>
            <w:r>
              <w:rPr>
                <w:rFonts w:ascii="Arial" w:cs="Arial" w:eastAsia="Arial" w:hAnsi="Arial"/>
                <w:sz w:val="14"/>
                <w:szCs w:val="14"/>
                <w:b w:val="1"/>
                <w:bCs w:val="1"/>
                <w:color w:val="auto"/>
                <w:w w:val="94"/>
              </w:rPr>
              <w:t>incorporation or organization)</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60" w:type="dxa"/>
            <w:vAlign w:val="bottom"/>
          </w:tcPr>
          <w:p>
            <w:pPr>
              <w:jc w:val="center"/>
              <w:ind w:left="68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5"/>
        </w:trPr>
        <w:tc>
          <w:tcPr>
            <w:tcW w:w="1080" w:type="dxa"/>
            <w:vAlign w:val="bottom"/>
          </w:tcPr>
          <w:p>
            <w:pPr>
              <w:spacing w:after="0"/>
              <w:rPr>
                <w:sz w:val="22"/>
                <w:szCs w:val="22"/>
                <w:color w:val="auto"/>
              </w:rPr>
            </w:pPr>
          </w:p>
        </w:tc>
        <w:tc>
          <w:tcPr>
            <w:tcW w:w="2640" w:type="dxa"/>
            <w:vAlign w:val="bottom"/>
            <w:gridSpan w:val="2"/>
          </w:tcPr>
          <w:p>
            <w:pPr>
              <w:jc w:val="center"/>
              <w:ind w:right="539"/>
              <w:spacing w:after="0"/>
              <w:rPr>
                <w:sz w:val="20"/>
                <w:szCs w:val="20"/>
                <w:color w:val="auto"/>
              </w:rPr>
            </w:pPr>
            <w:r>
              <w:rPr>
                <w:rFonts w:ascii="Arial" w:cs="Arial" w:eastAsia="Arial" w:hAnsi="Arial"/>
                <w:sz w:val="18"/>
                <w:szCs w:val="18"/>
                <w:b w:val="1"/>
                <w:bCs w:val="1"/>
                <w:color w:val="auto"/>
                <w:w w:val="87"/>
              </w:rPr>
              <w:t>11075 Roselle Street</w:t>
            </w: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460" w:type="dxa"/>
            <w:vAlign w:val="bottom"/>
          </w:tcPr>
          <w:p>
            <w:pPr>
              <w:jc w:val="right"/>
              <w:ind w:right="540"/>
              <w:spacing w:after="0"/>
              <w:rPr>
                <w:sz w:val="20"/>
                <w:szCs w:val="20"/>
                <w:color w:val="auto"/>
              </w:rPr>
            </w:pPr>
            <w:r>
              <w:rPr>
                <w:rFonts w:ascii="Arial" w:cs="Arial" w:eastAsia="Arial" w:hAnsi="Arial"/>
                <w:sz w:val="18"/>
                <w:szCs w:val="18"/>
                <w:b w:val="1"/>
                <w:bCs w:val="1"/>
                <w:color w:val="auto"/>
              </w:rPr>
              <w:t>92121</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640" w:type="dxa"/>
            <w:vAlign w:val="bottom"/>
            <w:gridSpan w:val="2"/>
          </w:tcPr>
          <w:p>
            <w:pPr>
              <w:ind w:left="320"/>
              <w:spacing w:after="0"/>
              <w:rPr>
                <w:sz w:val="20"/>
                <w:szCs w:val="20"/>
                <w:color w:val="auto"/>
              </w:rPr>
            </w:pPr>
            <w:r>
              <w:rPr>
                <w:rFonts w:ascii="Arial" w:cs="Arial" w:eastAsia="Arial" w:hAnsi="Arial"/>
                <w:sz w:val="18"/>
                <w:szCs w:val="18"/>
                <w:b w:val="1"/>
                <w:bCs w:val="1"/>
                <w:color w:val="auto"/>
              </w:rPr>
              <w:t>San Diego California</w:t>
            </w: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460" w:type="dxa"/>
            <w:vAlign w:val="bottom"/>
          </w:tcPr>
          <w:p>
            <w:pPr>
              <w:jc w:val="center"/>
              <w:ind w:left="68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85"/>
        </w:trPr>
        <w:tc>
          <w:tcPr>
            <w:tcW w:w="372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20" w:type="dxa"/>
            <w:vAlign w:val="bottom"/>
            <w:gridSpan w:val="3"/>
            <w:vMerge w:val="restart"/>
          </w:tcPr>
          <w:p>
            <w:pPr>
              <w:jc w:val="center"/>
              <w:ind w:right="920"/>
              <w:spacing w:after="0"/>
              <w:rPr>
                <w:sz w:val="20"/>
                <w:szCs w:val="20"/>
                <w:color w:val="auto"/>
              </w:rPr>
            </w:pPr>
            <w:r>
              <w:rPr>
                <w:rFonts w:ascii="Arial" w:cs="Arial" w:eastAsia="Arial" w:hAnsi="Arial"/>
                <w:sz w:val="18"/>
                <w:szCs w:val="18"/>
                <w:b w:val="1"/>
                <w:bCs w:val="1"/>
                <w:color w:val="auto"/>
                <w:w w:val="90"/>
              </w:rPr>
              <w:t>(858) 366-6900</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920" w:type="dxa"/>
            <w:vAlign w:val="bottom"/>
            <w:gridSpan w:val="3"/>
            <w:vMerge w:val="continue"/>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20" w:type="dxa"/>
            <w:vAlign w:val="bottom"/>
            <w:gridSpan w:val="4"/>
          </w:tcPr>
          <w:p>
            <w:pPr>
              <w:jc w:val="center"/>
              <w:ind w:left="49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80" w:type="dxa"/>
            <w:vAlign w:val="bottom"/>
            <w:gridSpan w:val="5"/>
          </w:tcPr>
          <w:p>
            <w:pPr>
              <w:jc w:val="center"/>
              <w:ind w:right="180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297"/>
        </w:trPr>
        <w:tc>
          <w:tcPr>
            <w:tcW w:w="1080" w:type="dxa"/>
            <w:vAlign w:val="bottom"/>
          </w:tcPr>
          <w:p>
            <w:pPr>
              <w:spacing w:after="0"/>
              <w:rPr>
                <w:sz w:val="24"/>
                <w:szCs w:val="24"/>
                <w:color w:val="auto"/>
              </w:rPr>
            </w:pPr>
          </w:p>
        </w:tc>
        <w:tc>
          <w:tcPr>
            <w:tcW w:w="2640" w:type="dxa"/>
            <w:vAlign w:val="bottom"/>
            <w:gridSpan w:val="2"/>
          </w:tcPr>
          <w:p>
            <w:pPr>
              <w:jc w:val="center"/>
              <w:ind w:right="1419"/>
              <w:spacing w:after="0"/>
              <w:rPr>
                <w:sz w:val="20"/>
                <w:szCs w:val="20"/>
                <w:color w:val="auto"/>
              </w:rPr>
            </w:pPr>
            <w:r>
              <w:rPr>
                <w:rFonts w:ascii="Arial" w:cs="Arial" w:eastAsia="Arial" w:hAnsi="Arial"/>
                <w:sz w:val="14"/>
                <w:szCs w:val="14"/>
                <w:b w:val="1"/>
                <w:bCs w:val="1"/>
                <w:color w:val="auto"/>
                <w:w w:val="91"/>
              </w:rPr>
              <w:t>Title of Each Class</w:t>
            </w:r>
          </w:p>
        </w:tc>
        <w:tc>
          <w:tcPr>
            <w:tcW w:w="780" w:type="dxa"/>
            <w:vAlign w:val="bottom"/>
          </w:tcPr>
          <w:p>
            <w:pPr>
              <w:spacing w:after="0"/>
              <w:rPr>
                <w:sz w:val="24"/>
                <w:szCs w:val="24"/>
                <w:color w:val="auto"/>
              </w:rPr>
            </w:pPr>
          </w:p>
        </w:tc>
        <w:tc>
          <w:tcPr>
            <w:tcW w:w="2140" w:type="dxa"/>
            <w:vAlign w:val="bottom"/>
            <w:gridSpan w:val="2"/>
          </w:tcPr>
          <w:p>
            <w:pPr>
              <w:jc w:val="center"/>
              <w:ind w:right="1680"/>
              <w:spacing w:after="0"/>
              <w:rPr>
                <w:sz w:val="20"/>
                <w:szCs w:val="20"/>
                <w:color w:val="auto"/>
              </w:rPr>
            </w:pPr>
            <w:r>
              <w:rPr>
                <w:rFonts w:ascii="Arial" w:cs="Arial" w:eastAsia="Arial" w:hAnsi="Arial"/>
                <w:sz w:val="14"/>
                <w:szCs w:val="14"/>
                <w:b w:val="1"/>
                <w:bCs w:val="1"/>
                <w:color w:val="auto"/>
                <w:w w:val="90"/>
              </w:rPr>
              <w:t>Symbol</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Exchange on Which Registered</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720" w:type="dxa"/>
            <w:vAlign w:val="bottom"/>
            <w:gridSpan w:val="3"/>
          </w:tcPr>
          <w:p>
            <w:pPr>
              <w:jc w:val="center"/>
              <w:ind w:right="339"/>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92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rPr>
              <w:t>TNDM</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5"/>
              </w:rPr>
              <w:t>NASDAQ Global Market</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2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2" w:lineRule="exact"/>
        <w:rPr>
          <w:sz w:val="24"/>
          <w:szCs w:val="24"/>
          <w:color w:val="auto"/>
        </w:rPr>
      </w:pPr>
    </w:p>
    <w:p>
      <w:pPr>
        <w:ind w:right="60"/>
        <w:spacing w:after="0" w:line="16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20"/>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380"/>
          </w:cols>
          <w:pgMar w:left="240" w:top="233" w:right="279" w:bottom="1440" w:gutter="0" w:footer="0" w:header="0"/>
        </w:sectPr>
      </w:pPr>
    </w:p>
    <w:p>
      <w:pPr>
        <w:spacing w:after="0" w:line="200" w:lineRule="exact"/>
        <w:rPr>
          <w:sz w:val="24"/>
          <w:szCs w:val="24"/>
          <w:color w:val="auto"/>
        </w:rPr>
      </w:pPr>
    </w:p>
    <w:p>
      <w:pPr>
        <w:ind w:left="40"/>
        <w:spacing w:after="0"/>
        <w:tabs>
          <w:tab w:leader="none" w:pos="4020" w:val="left"/>
          <w:tab w:leader="none" w:pos="66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Arial" w:cs="Arial" w:eastAsia="Arial" w:hAnsi="Arial"/>
          <w:sz w:val="14"/>
          <w:szCs w:val="14"/>
          <w:color w:val="auto"/>
        </w:rPr>
        <w:t>x</w:t>
      </w:r>
      <w:r>
        <w:rPr>
          <w:sz w:val="20"/>
          <w:szCs w:val="20"/>
          <w:color w:val="auto"/>
        </w:rPr>
        <w:tab/>
      </w:r>
      <w:r>
        <w:rPr>
          <w:rFonts w:ascii="Arial" w:cs="Arial" w:eastAsia="Arial" w:hAnsi="Arial"/>
          <w:sz w:val="13"/>
          <w:szCs w:val="13"/>
          <w:color w:val="auto"/>
        </w:rPr>
        <w:t>Accelerated filer</w:t>
      </w:r>
    </w:p>
    <w:p>
      <w:pPr>
        <w:spacing w:after="0" w:line="68" w:lineRule="exact"/>
        <w:rPr>
          <w:sz w:val="24"/>
          <w:szCs w:val="24"/>
          <w:color w:val="auto"/>
        </w:rPr>
      </w:pPr>
    </w:p>
    <w:p>
      <w:pPr>
        <w:ind w:left="40"/>
        <w:spacing w:after="0" w:line="161" w:lineRule="exact"/>
        <w:tabs>
          <w:tab w:leader="none" w:pos="4020" w:val="left"/>
          <w:tab w:leader="none" w:pos="664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150" w:lineRule="exact"/>
        <w:rPr>
          <w:sz w:val="24"/>
          <w:szCs w:val="24"/>
          <w:color w:val="auto"/>
        </w:rPr>
      </w:pPr>
    </w:p>
    <w:p>
      <w:pPr>
        <w:ind w:left="666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75" w:lineRule="exact"/>
        <w:rPr>
          <w:sz w:val="24"/>
          <w:szCs w:val="24"/>
          <w:color w:val="auto"/>
        </w:rPr>
      </w:pPr>
    </w:p>
    <w:p>
      <w:pPr>
        <w:sectPr>
          <w:pgSz w:w="11900" w:h="16838" w:orient="portrait"/>
          <w:cols w:equalWidth="0" w:num="2">
            <w:col w:w="10060" w:space="720"/>
            <w:col w:w="600"/>
          </w:cols>
          <w:pgMar w:left="240" w:top="233" w:right="279" w:bottom="1440" w:gutter="0" w:footer="0" w:header="0"/>
          <w:type w:val="continuous"/>
        </w:sectPr>
      </w:pPr>
    </w:p>
    <w:p>
      <w:pPr>
        <w:spacing w:after="0"/>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w:t>
      </w:r>
    </w:p>
    <w:p>
      <w:pPr>
        <w:spacing w:after="0" w:line="135" w:lineRule="exact"/>
        <w:tabs>
          <w:tab w:leader="none" w:pos="7060" w:val="left"/>
        </w:tabs>
        <w:rPr>
          <w:sz w:val="20"/>
          <w:szCs w:val="20"/>
          <w:color w:val="auto"/>
        </w:rPr>
      </w:pPr>
      <w:r>
        <w:rPr>
          <w:rFonts w:ascii="Arial" w:cs="Arial" w:eastAsia="Arial" w:hAnsi="Arial"/>
          <w:sz w:val="14"/>
          <w:szCs w:val="14"/>
          <w:color w:val="auto"/>
        </w:rPr>
        <w:t>provided pursuant to Section 13(a) of the Exchange Act.</w:t>
      </w:r>
      <w:r>
        <w:rPr>
          <w:sz w:val="20"/>
          <w:szCs w:val="20"/>
          <w:color w:val="auto"/>
        </w:rPr>
        <w:tab/>
      </w:r>
      <w:r>
        <w:rPr>
          <w:rFonts w:ascii="MS PGothic" w:cs="MS PGothic" w:eastAsia="MS PGothic" w:hAnsi="MS PGothic"/>
          <w:sz w:val="12"/>
          <w:szCs w:val="12"/>
          <w:color w:val="auto"/>
        </w:rPr>
        <w:t>☐</w:t>
      </w: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5" w:lineRule="exact"/>
        <w:rPr>
          <w:sz w:val="24"/>
          <w:szCs w:val="24"/>
          <w:color w:val="auto"/>
        </w:rPr>
      </w:pPr>
    </w:p>
    <w:p>
      <w:pPr>
        <w:ind w:left="1300"/>
        <w:spacing w:after="0"/>
        <w:rPr>
          <w:sz w:val="20"/>
          <w:szCs w:val="20"/>
          <w:color w:val="auto"/>
        </w:rPr>
      </w:pPr>
      <w:r>
        <w:rPr>
          <w:rFonts w:ascii="Arial" w:cs="Arial" w:eastAsia="Arial" w:hAnsi="Arial"/>
          <w:sz w:val="14"/>
          <w:szCs w:val="14"/>
          <w:color w:val="auto"/>
        </w:rPr>
        <w:t>As of October 30, 2019, there were 59,092,861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980" w:type="dxa"/>
            <w:vAlign w:val="bottom"/>
            <w:gridSpan w:val="21"/>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0" w:type="dxa"/>
            <w:vAlign w:val="bottom"/>
          </w:tcPr>
          <w:p>
            <w:pPr>
              <w:spacing w:after="0"/>
              <w:rPr>
                <w:sz w:val="17"/>
                <w:szCs w:val="17"/>
                <w:color w:val="auto"/>
              </w:rPr>
            </w:pPr>
          </w:p>
        </w:tc>
      </w:tr>
      <w:tr>
        <w:trPr>
          <w:trHeight w:val="696"/>
        </w:trPr>
        <w:tc>
          <w:tcPr>
            <w:tcW w:w="9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700" w:type="dxa"/>
            <w:vAlign w:val="bottom"/>
            <w:gridSpan w:val="9"/>
          </w:tcPr>
          <w:p>
            <w:pPr>
              <w:ind w:left="148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4"/>
                <w:szCs w:val="24"/>
                <w:color w:val="auto"/>
              </w:rPr>
            </w:pPr>
          </w:p>
        </w:tc>
      </w:tr>
      <w:tr>
        <w:trPr>
          <w:trHeight w:val="338"/>
        </w:trPr>
        <w:tc>
          <w:tcPr>
            <w:tcW w:w="960" w:type="dxa"/>
            <w:vAlign w:val="bottom"/>
          </w:tcPr>
          <w:p>
            <w:pPr>
              <w:ind w:left="4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1002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4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0"/>
        </w:trPr>
        <w:tc>
          <w:tcPr>
            <w:tcW w:w="960" w:type="dxa"/>
            <w:vAlign w:val="bottom"/>
          </w:tcPr>
          <w:p>
            <w:pPr>
              <w:ind w:left="40"/>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15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60" w:type="dxa"/>
            <w:vAlign w:val="bottom"/>
            <w:tcBorders>
              <w:top w:val="single" w:sz="8" w:color="0000EE"/>
            </w:tcBorders>
          </w:tcPr>
          <w:p>
            <w:pPr>
              <w:spacing w:after="0"/>
              <w:rPr>
                <w:sz w:val="21"/>
                <w:szCs w:val="21"/>
                <w:color w:val="auto"/>
              </w:rPr>
            </w:pPr>
          </w:p>
        </w:tc>
        <w:tc>
          <w:tcPr>
            <w:tcW w:w="8460" w:type="dxa"/>
            <w:vAlign w:val="bottom"/>
            <w:gridSpan w:val="12"/>
          </w:tcPr>
          <w:p>
            <w:pPr>
              <w:spacing w:after="0"/>
              <w:rPr>
                <w:sz w:val="21"/>
                <w:szCs w:val="21"/>
                <w:color w:val="auto"/>
              </w:rPr>
            </w:pPr>
          </w:p>
        </w:tc>
        <w:tc>
          <w:tcPr>
            <w:tcW w:w="4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0"/>
        </w:trPr>
        <w:tc>
          <w:tcPr>
            <w:tcW w:w="960" w:type="dxa"/>
            <w:vAlign w:val="bottom"/>
          </w:tcPr>
          <w:p>
            <w:pPr>
              <w:spacing w:after="0"/>
              <w:rPr>
                <w:sz w:val="21"/>
                <w:szCs w:val="21"/>
                <w:color w:val="auto"/>
              </w:rPr>
            </w:pPr>
          </w:p>
        </w:tc>
        <w:tc>
          <w:tcPr>
            <w:tcW w:w="72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September 30, 2019 (Unaudited) and December 31, 2018</w:t>
              </w:r>
            </w:hyperlink>
          </w:p>
        </w:tc>
        <w:tc>
          <w:tcPr>
            <w:tcW w:w="2740" w:type="dxa"/>
            <w:vAlign w:val="bottom"/>
            <w:gridSpan w:val="4"/>
          </w:tcPr>
          <w:p>
            <w:pPr>
              <w:spacing w:after="0"/>
              <w:rPr>
                <w:sz w:val="21"/>
                <w:szCs w:val="21"/>
                <w:color w:val="auto"/>
              </w:rPr>
            </w:pPr>
          </w:p>
        </w:tc>
        <w:tc>
          <w:tcPr>
            <w:tcW w:w="4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0"/>
        </w:trPr>
        <w:tc>
          <w:tcPr>
            <w:tcW w:w="960" w:type="dxa"/>
            <w:vAlign w:val="bottom"/>
          </w:tcPr>
          <w:p>
            <w:pPr>
              <w:spacing w:after="0"/>
              <w:rPr>
                <w:sz w:val="21"/>
                <w:szCs w:val="21"/>
                <w:color w:val="auto"/>
              </w:rPr>
            </w:pPr>
          </w:p>
        </w:tc>
        <w:tc>
          <w:tcPr>
            <w:tcW w:w="980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Loss for the Three and Nine Months Ended September 30, 2019</w:t>
              </w:r>
            </w:hyperlink>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196"/>
        </w:trPr>
        <w:tc>
          <w:tcPr>
            <w:tcW w:w="960" w:type="dxa"/>
            <w:vAlign w:val="bottom"/>
          </w:tcPr>
          <w:p>
            <w:pPr>
              <w:spacing w:after="0"/>
              <w:rPr>
                <w:sz w:val="17"/>
                <w:szCs w:val="17"/>
                <w:color w:val="auto"/>
              </w:rPr>
            </w:pPr>
          </w:p>
        </w:tc>
        <w:tc>
          <w:tcPr>
            <w:tcW w:w="15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and 2018 (Unaudited)</w:t>
              </w:r>
            </w:hyperlink>
          </w:p>
        </w:tc>
        <w:tc>
          <w:tcPr>
            <w:tcW w:w="8440" w:type="dxa"/>
            <w:vAlign w:val="bottom"/>
            <w:gridSpan w:val="11"/>
          </w:tcPr>
          <w:p>
            <w:pPr>
              <w:spacing w:after="0"/>
              <w:rPr>
                <w:sz w:val="17"/>
                <w:szCs w:val="17"/>
                <w:color w:val="auto"/>
              </w:rPr>
            </w:pPr>
          </w:p>
        </w:tc>
        <w:tc>
          <w:tcPr>
            <w:tcW w:w="420" w:type="dxa"/>
            <w:vAlign w:val="bottom"/>
          </w:tcPr>
          <w:p>
            <w:pPr>
              <w:jc w:val="right"/>
              <w:spacing w:after="0" w:line="196" w:lineRule="exact"/>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50"/>
        </w:trPr>
        <w:tc>
          <w:tcPr>
            <w:tcW w:w="960" w:type="dxa"/>
            <w:vAlign w:val="bottom"/>
          </w:tcPr>
          <w:p>
            <w:pPr>
              <w:spacing w:after="0"/>
              <w:rPr>
                <w:sz w:val="21"/>
                <w:szCs w:val="21"/>
                <w:color w:val="auto"/>
              </w:rPr>
            </w:pPr>
          </w:p>
        </w:tc>
        <w:tc>
          <w:tcPr>
            <w:tcW w:w="10020" w:type="dxa"/>
            <w:vAlign w:val="bottom"/>
            <w:gridSpan w:val="20"/>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Stockholders’ Equity (Deficit) for the Three and Nine Months Ended September 30, 2019 and</w:t>
              </w:r>
            </w:hyperlink>
          </w:p>
        </w:tc>
        <w:tc>
          <w:tcPr>
            <w:tcW w:w="420" w:type="dxa"/>
            <w:vAlign w:val="bottom"/>
          </w:tcPr>
          <w:p>
            <w:pPr>
              <w:spacing w:after="0"/>
              <w:rPr>
                <w:sz w:val="21"/>
                <w:szCs w:val="21"/>
                <w:color w:val="auto"/>
              </w:rPr>
            </w:pPr>
          </w:p>
        </w:tc>
      </w:tr>
      <w:tr>
        <w:trPr>
          <w:trHeight w:val="196"/>
        </w:trPr>
        <w:tc>
          <w:tcPr>
            <w:tcW w:w="96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2018</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jc w:val="right"/>
              <w:spacing w:after="0" w:line="196" w:lineRule="exact"/>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50"/>
        </w:trPr>
        <w:tc>
          <w:tcPr>
            <w:tcW w:w="960" w:type="dxa"/>
            <w:vAlign w:val="bottom"/>
          </w:tcPr>
          <w:p>
            <w:pPr>
              <w:spacing w:after="0"/>
              <w:rPr>
                <w:sz w:val="21"/>
                <w:szCs w:val="21"/>
                <w:color w:val="auto"/>
              </w:rPr>
            </w:pPr>
          </w:p>
        </w:tc>
        <w:tc>
          <w:tcPr>
            <w:tcW w:w="88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Nine Months Ended September 30, 2019 and 2018 (Unaudited)</w:t>
              </w:r>
            </w:hyperlink>
          </w:p>
        </w:tc>
        <w:tc>
          <w:tcPr>
            <w:tcW w:w="1180" w:type="dxa"/>
            <w:vAlign w:val="bottom"/>
            <w:gridSpan w:val="3"/>
          </w:tcPr>
          <w:p>
            <w:pPr>
              <w:spacing w:after="0"/>
              <w:rPr>
                <w:sz w:val="21"/>
                <w:szCs w:val="21"/>
                <w:color w:val="auto"/>
              </w:rPr>
            </w:pPr>
          </w:p>
        </w:tc>
        <w:tc>
          <w:tcPr>
            <w:tcW w:w="42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r>
      <w:tr>
        <w:trPr>
          <w:trHeight w:val="250"/>
        </w:trPr>
        <w:tc>
          <w:tcPr>
            <w:tcW w:w="960" w:type="dxa"/>
            <w:vAlign w:val="bottom"/>
          </w:tcPr>
          <w:p>
            <w:pPr>
              <w:spacing w:after="0"/>
              <w:rPr>
                <w:sz w:val="21"/>
                <w:szCs w:val="21"/>
                <w:color w:val="auto"/>
              </w:rPr>
            </w:pPr>
          </w:p>
        </w:tc>
        <w:tc>
          <w:tcPr>
            <w:tcW w:w="1002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42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20"/>
        </w:trPr>
        <w:tc>
          <w:tcPr>
            <w:tcW w:w="9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960" w:type="dxa"/>
            <w:vAlign w:val="bottom"/>
          </w:tcPr>
          <w:p>
            <w:pPr>
              <w:ind w:left="40"/>
              <w:spacing w:after="0"/>
              <w:rPr>
                <w:rFonts w:ascii="Arial" w:cs="Arial" w:eastAsia="Arial" w:hAnsi="Arial"/>
                <w:sz w:val="18"/>
                <w:szCs w:val="18"/>
                <w:color w:val="auto"/>
              </w:rPr>
            </w:pPr>
            <w:hyperlink w:anchor="page21">
              <w:r>
                <w:rPr>
                  <w:rFonts w:ascii="Arial" w:cs="Arial" w:eastAsia="Arial" w:hAnsi="Arial"/>
                  <w:sz w:val="18"/>
                  <w:szCs w:val="18"/>
                  <w:color w:val="auto"/>
                </w:rPr>
                <w:t>Item 2</w:t>
              </w:r>
            </w:hyperlink>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3560" w:type="dxa"/>
            <w:vAlign w:val="bottom"/>
            <w:gridSpan w:val="5"/>
          </w:tcPr>
          <w:p>
            <w:pPr>
              <w:spacing w:after="0"/>
              <w:rPr>
                <w:sz w:val="21"/>
                <w:szCs w:val="21"/>
                <w:color w:val="auto"/>
              </w:rPr>
            </w:pPr>
          </w:p>
        </w:tc>
        <w:tc>
          <w:tcPr>
            <w:tcW w:w="42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19</w:t>
              </w:r>
            </w:hyperlink>
          </w:p>
        </w:tc>
      </w:tr>
      <w:tr>
        <w:trPr>
          <w:trHeight w:val="250"/>
        </w:trPr>
        <w:tc>
          <w:tcPr>
            <w:tcW w:w="960" w:type="dxa"/>
            <w:vAlign w:val="bottom"/>
          </w:tcPr>
          <w:p>
            <w:pPr>
              <w:ind w:left="40"/>
              <w:spacing w:after="0"/>
              <w:rPr>
                <w:rFonts w:ascii="Arial" w:cs="Arial" w:eastAsia="Arial" w:hAnsi="Arial"/>
                <w:sz w:val="18"/>
                <w:szCs w:val="18"/>
                <w:color w:val="auto"/>
              </w:rPr>
            </w:pPr>
            <w:hyperlink w:anchor="page35">
              <w:r>
                <w:rPr>
                  <w:rFonts w:ascii="Arial" w:cs="Arial" w:eastAsia="Arial" w:hAnsi="Arial"/>
                  <w:sz w:val="18"/>
                  <w:szCs w:val="18"/>
                  <w:color w:val="auto"/>
                </w:rPr>
                <w:t>Item 3</w:t>
              </w:r>
            </w:hyperlink>
          </w:p>
        </w:tc>
        <w:tc>
          <w:tcPr>
            <w:tcW w:w="1002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4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r>
      <w:tr>
        <w:trPr>
          <w:trHeight w:val="250"/>
        </w:trPr>
        <w:tc>
          <w:tcPr>
            <w:tcW w:w="960" w:type="dxa"/>
            <w:vAlign w:val="bottom"/>
          </w:tcPr>
          <w:p>
            <w:pPr>
              <w:ind w:left="40"/>
              <w:spacing w:after="0"/>
              <w:rPr>
                <w:rFonts w:ascii="Arial" w:cs="Arial" w:eastAsia="Arial" w:hAnsi="Arial"/>
                <w:sz w:val="18"/>
                <w:szCs w:val="18"/>
                <w:color w:val="auto"/>
              </w:rPr>
            </w:pPr>
            <w:hyperlink w:anchor="page36">
              <w:r>
                <w:rPr>
                  <w:rFonts w:ascii="Arial" w:cs="Arial" w:eastAsia="Arial" w:hAnsi="Arial"/>
                  <w:sz w:val="18"/>
                  <w:szCs w:val="18"/>
                  <w:color w:val="auto"/>
                </w:rPr>
                <w:t>Item 4</w:t>
              </w:r>
            </w:hyperlink>
          </w:p>
        </w:tc>
        <w:tc>
          <w:tcPr>
            <w:tcW w:w="4300" w:type="dxa"/>
            <w:vAlign w:val="bottom"/>
            <w:tcBorders>
              <w:top w:val="single" w:sz="8" w:color="0000EE"/>
            </w:tcBorders>
            <w:gridSpan w:val="1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5720" w:type="dxa"/>
            <w:vAlign w:val="bottom"/>
            <w:gridSpan w:val="8"/>
          </w:tcPr>
          <w:p>
            <w:pPr>
              <w:spacing w:after="0"/>
              <w:rPr>
                <w:sz w:val="21"/>
                <w:szCs w:val="21"/>
                <w:color w:val="auto"/>
              </w:rPr>
            </w:pPr>
          </w:p>
        </w:tc>
        <w:tc>
          <w:tcPr>
            <w:tcW w:w="42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480"/>
        </w:trPr>
        <w:tc>
          <w:tcPr>
            <w:tcW w:w="960" w:type="dxa"/>
            <w:vAlign w:val="bottom"/>
          </w:tcPr>
          <w:p>
            <w:pPr>
              <w:ind w:left="40"/>
              <w:spacing w:after="0"/>
              <w:rPr>
                <w:rFonts w:ascii="Arial" w:cs="Arial" w:eastAsia="Arial" w:hAnsi="Arial"/>
                <w:sz w:val="18"/>
                <w:szCs w:val="18"/>
                <w:b w:val="1"/>
                <w:bCs w:val="1"/>
                <w:color w:val="auto"/>
              </w:rPr>
            </w:pPr>
            <w:hyperlink w:anchor="page37">
              <w:r>
                <w:rPr>
                  <w:rFonts w:ascii="Arial" w:cs="Arial" w:eastAsia="Arial" w:hAnsi="Arial"/>
                  <w:sz w:val="18"/>
                  <w:szCs w:val="18"/>
                  <w:b w:val="1"/>
                  <w:bCs w:val="1"/>
                  <w:color w:val="auto"/>
                </w:rPr>
                <w:t>Part II</w:t>
              </w:r>
            </w:hyperlink>
          </w:p>
        </w:tc>
        <w:tc>
          <w:tcPr>
            <w:tcW w:w="13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4"/>
          </w:tcPr>
          <w:p>
            <w:pPr>
              <w:spacing w:after="0"/>
              <w:rPr>
                <w:sz w:val="24"/>
                <w:szCs w:val="24"/>
                <w:color w:val="auto"/>
              </w:rPr>
            </w:pPr>
          </w:p>
        </w:tc>
        <w:tc>
          <w:tcPr>
            <w:tcW w:w="8260" w:type="dxa"/>
            <w:vAlign w:val="bottom"/>
            <w:gridSpan w:val="10"/>
          </w:tcPr>
          <w:p>
            <w:pPr>
              <w:spacing w:after="0"/>
              <w:rPr>
                <w:sz w:val="24"/>
                <w:szCs w:val="24"/>
                <w:color w:val="auto"/>
              </w:rPr>
            </w:pPr>
          </w:p>
        </w:tc>
        <w:tc>
          <w:tcPr>
            <w:tcW w:w="42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r>
      <w:tr>
        <w:trPr>
          <w:trHeight w:val="250"/>
        </w:trPr>
        <w:tc>
          <w:tcPr>
            <w:tcW w:w="960" w:type="dxa"/>
            <w:vAlign w:val="bottom"/>
          </w:tcPr>
          <w:p>
            <w:pPr>
              <w:ind w:left="40"/>
              <w:spacing w:after="0"/>
              <w:rPr>
                <w:rFonts w:ascii="Arial" w:cs="Arial" w:eastAsia="Arial" w:hAnsi="Arial"/>
                <w:sz w:val="18"/>
                <w:szCs w:val="18"/>
                <w:color w:val="auto"/>
              </w:rPr>
            </w:pPr>
            <w:hyperlink w:anchor="page37">
              <w:r>
                <w:rPr>
                  <w:rFonts w:ascii="Arial" w:cs="Arial" w:eastAsia="Arial" w:hAnsi="Arial"/>
                  <w:sz w:val="18"/>
                  <w:szCs w:val="18"/>
                  <w:color w:val="auto"/>
                </w:rPr>
                <w:t>Item 1</w:t>
              </w:r>
            </w:hyperlink>
          </w:p>
        </w:tc>
        <w:tc>
          <w:tcPr>
            <w:tcW w:w="1002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42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r>
      <w:tr>
        <w:trPr>
          <w:trHeight w:val="250"/>
        </w:trPr>
        <w:tc>
          <w:tcPr>
            <w:tcW w:w="960" w:type="dxa"/>
            <w:vAlign w:val="bottom"/>
          </w:tcPr>
          <w:p>
            <w:pPr>
              <w:ind w:left="40"/>
              <w:spacing w:after="0"/>
              <w:rPr>
                <w:rFonts w:ascii="Arial" w:cs="Arial" w:eastAsia="Arial" w:hAnsi="Arial"/>
                <w:sz w:val="18"/>
                <w:szCs w:val="18"/>
                <w:color w:val="auto"/>
              </w:rPr>
            </w:pPr>
            <w:hyperlink w:anchor="page37">
              <w:r>
                <w:rPr>
                  <w:rFonts w:ascii="Arial" w:cs="Arial" w:eastAsia="Arial" w:hAnsi="Arial"/>
                  <w:sz w:val="18"/>
                  <w:szCs w:val="18"/>
                  <w:color w:val="auto"/>
                </w:rPr>
                <w:t>Item 1A</w:t>
              </w:r>
            </w:hyperlink>
          </w:p>
        </w:tc>
        <w:tc>
          <w:tcPr>
            <w:tcW w:w="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1"/>
                <w:szCs w:val="21"/>
                <w:color w:val="auto"/>
              </w:rPr>
            </w:pPr>
          </w:p>
        </w:tc>
        <w:tc>
          <w:tcPr>
            <w:tcW w:w="8700" w:type="dxa"/>
            <w:vAlign w:val="bottom"/>
            <w:gridSpan w:val="14"/>
          </w:tcPr>
          <w:p>
            <w:pPr>
              <w:spacing w:after="0"/>
              <w:rPr>
                <w:sz w:val="21"/>
                <w:szCs w:val="21"/>
                <w:color w:val="auto"/>
              </w:rPr>
            </w:pPr>
          </w:p>
        </w:tc>
        <w:tc>
          <w:tcPr>
            <w:tcW w:w="42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r>
      <w:tr>
        <w:trPr>
          <w:trHeight w:val="250"/>
        </w:trPr>
        <w:tc>
          <w:tcPr>
            <w:tcW w:w="960" w:type="dxa"/>
            <w:vAlign w:val="bottom"/>
          </w:tcPr>
          <w:p>
            <w:pPr>
              <w:ind w:left="40"/>
              <w:spacing w:after="0"/>
              <w:rPr>
                <w:rFonts w:ascii="Arial" w:cs="Arial" w:eastAsia="Arial" w:hAnsi="Arial"/>
                <w:sz w:val="18"/>
                <w:szCs w:val="18"/>
                <w:color w:val="auto"/>
              </w:rPr>
            </w:pPr>
            <w:hyperlink w:anchor="page68">
              <w:r>
                <w:rPr>
                  <w:rFonts w:ascii="Arial" w:cs="Arial" w:eastAsia="Arial" w:hAnsi="Arial"/>
                  <w:sz w:val="18"/>
                  <w:szCs w:val="18"/>
                  <w:color w:val="auto"/>
                </w:rPr>
                <w:t>Item 2</w:t>
              </w:r>
            </w:hyperlink>
          </w:p>
        </w:tc>
        <w:tc>
          <w:tcPr>
            <w:tcW w:w="10020" w:type="dxa"/>
            <w:vAlign w:val="bottom"/>
            <w:gridSpan w:val="2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Unregistered Sales of Equity Securities and Use of Proceeds</w:t>
              </w:r>
            </w:hyperlink>
          </w:p>
        </w:tc>
        <w:tc>
          <w:tcPr>
            <w:tcW w:w="42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66</w:t>
              </w:r>
            </w:hyperlink>
          </w:p>
        </w:tc>
      </w:tr>
      <w:tr>
        <w:trPr>
          <w:trHeight w:val="250"/>
        </w:trPr>
        <w:tc>
          <w:tcPr>
            <w:tcW w:w="960" w:type="dxa"/>
            <w:vAlign w:val="bottom"/>
          </w:tcPr>
          <w:p>
            <w:pPr>
              <w:ind w:left="40"/>
              <w:spacing w:after="0"/>
              <w:rPr>
                <w:rFonts w:ascii="Arial" w:cs="Arial" w:eastAsia="Arial" w:hAnsi="Arial"/>
                <w:sz w:val="18"/>
                <w:szCs w:val="18"/>
                <w:color w:val="auto"/>
              </w:rPr>
            </w:pPr>
            <w:hyperlink w:anchor="page68">
              <w:r>
                <w:rPr>
                  <w:rFonts w:ascii="Arial" w:cs="Arial" w:eastAsia="Arial" w:hAnsi="Arial"/>
                  <w:sz w:val="18"/>
                  <w:szCs w:val="18"/>
                  <w:color w:val="auto"/>
                </w:rPr>
                <w:t>Item 3</w:t>
              </w:r>
            </w:hyperlink>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68">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21"/>
                <w:szCs w:val="21"/>
                <w:color w:val="auto"/>
              </w:rPr>
            </w:pPr>
          </w:p>
        </w:tc>
        <w:tc>
          <w:tcPr>
            <w:tcW w:w="5680" w:type="dxa"/>
            <w:vAlign w:val="bottom"/>
            <w:gridSpan w:val="7"/>
          </w:tcPr>
          <w:p>
            <w:pPr>
              <w:spacing w:after="0"/>
              <w:rPr>
                <w:sz w:val="21"/>
                <w:szCs w:val="21"/>
                <w:color w:val="auto"/>
              </w:rPr>
            </w:pPr>
          </w:p>
        </w:tc>
        <w:tc>
          <w:tcPr>
            <w:tcW w:w="42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66</w:t>
              </w:r>
            </w:hyperlink>
          </w:p>
        </w:tc>
      </w:tr>
      <w:tr>
        <w:trPr>
          <w:trHeight w:val="250"/>
        </w:trPr>
        <w:tc>
          <w:tcPr>
            <w:tcW w:w="960" w:type="dxa"/>
            <w:vAlign w:val="bottom"/>
          </w:tcPr>
          <w:p>
            <w:pPr>
              <w:ind w:left="40"/>
              <w:spacing w:after="0"/>
              <w:rPr>
                <w:rFonts w:ascii="Arial" w:cs="Arial" w:eastAsia="Arial" w:hAnsi="Arial"/>
                <w:sz w:val="18"/>
                <w:szCs w:val="18"/>
                <w:color w:val="auto"/>
              </w:rPr>
            </w:pPr>
            <w:hyperlink w:anchor="page68">
              <w:r>
                <w:rPr>
                  <w:rFonts w:ascii="Arial" w:cs="Arial" w:eastAsia="Arial" w:hAnsi="Arial"/>
                  <w:sz w:val="18"/>
                  <w:szCs w:val="18"/>
                  <w:color w:val="auto"/>
                </w:rPr>
                <w:t>Item 4</w:t>
              </w:r>
            </w:hyperlink>
          </w:p>
        </w:tc>
        <w:tc>
          <w:tcPr>
            <w:tcW w:w="10020" w:type="dxa"/>
            <w:vAlign w:val="bottom"/>
            <w:gridSpan w:val="2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Mine Safety Disclosures</w:t>
              </w:r>
            </w:hyperlink>
          </w:p>
        </w:tc>
        <w:tc>
          <w:tcPr>
            <w:tcW w:w="42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66</w:t>
              </w:r>
            </w:hyperlink>
          </w:p>
        </w:tc>
      </w:tr>
      <w:tr>
        <w:trPr>
          <w:trHeight w:val="250"/>
        </w:trPr>
        <w:tc>
          <w:tcPr>
            <w:tcW w:w="960" w:type="dxa"/>
            <w:vAlign w:val="bottom"/>
          </w:tcPr>
          <w:p>
            <w:pPr>
              <w:ind w:left="40"/>
              <w:spacing w:after="0"/>
              <w:rPr>
                <w:rFonts w:ascii="Arial" w:cs="Arial" w:eastAsia="Arial" w:hAnsi="Arial"/>
                <w:sz w:val="18"/>
                <w:szCs w:val="18"/>
                <w:color w:val="auto"/>
              </w:rPr>
            </w:pPr>
            <w:hyperlink w:anchor="page68">
              <w:r>
                <w:rPr>
                  <w:rFonts w:ascii="Arial" w:cs="Arial" w:eastAsia="Arial" w:hAnsi="Arial"/>
                  <w:sz w:val="18"/>
                  <w:szCs w:val="18"/>
                  <w:color w:val="auto"/>
                </w:rPr>
                <w:t>Item 5</w:t>
              </w:r>
            </w:hyperlink>
          </w:p>
        </w:tc>
        <w:tc>
          <w:tcPr>
            <w:tcW w:w="1760" w:type="dxa"/>
            <w:vAlign w:val="bottom"/>
            <w:tcBorders>
              <w:top w:val="single" w:sz="8" w:color="0000EE"/>
            </w:tcBorders>
            <w:gridSpan w:val="1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Other Information</w:t>
              </w:r>
            </w:hyperlink>
          </w:p>
        </w:tc>
        <w:tc>
          <w:tcPr>
            <w:tcW w:w="8260" w:type="dxa"/>
            <w:vAlign w:val="bottom"/>
            <w:gridSpan w:val="10"/>
          </w:tcPr>
          <w:p>
            <w:pPr>
              <w:spacing w:after="0"/>
              <w:rPr>
                <w:sz w:val="21"/>
                <w:szCs w:val="21"/>
                <w:color w:val="auto"/>
              </w:rPr>
            </w:pPr>
          </w:p>
        </w:tc>
        <w:tc>
          <w:tcPr>
            <w:tcW w:w="42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66</w:t>
              </w:r>
            </w:hyperlink>
          </w:p>
        </w:tc>
      </w:tr>
      <w:tr>
        <w:trPr>
          <w:trHeight w:val="250"/>
        </w:trPr>
        <w:tc>
          <w:tcPr>
            <w:tcW w:w="960" w:type="dxa"/>
            <w:vAlign w:val="bottom"/>
          </w:tcPr>
          <w:p>
            <w:pPr>
              <w:ind w:left="40"/>
              <w:spacing w:after="0"/>
              <w:rPr>
                <w:rFonts w:ascii="Arial" w:cs="Arial" w:eastAsia="Arial" w:hAnsi="Arial"/>
                <w:sz w:val="18"/>
                <w:szCs w:val="18"/>
                <w:color w:val="auto"/>
              </w:rPr>
            </w:pPr>
            <w:hyperlink w:anchor="page69">
              <w:r>
                <w:rPr>
                  <w:rFonts w:ascii="Arial" w:cs="Arial" w:eastAsia="Arial" w:hAnsi="Arial"/>
                  <w:sz w:val="18"/>
                  <w:szCs w:val="18"/>
                  <w:color w:val="auto"/>
                </w:rPr>
                <w:t>Item 6</w:t>
              </w:r>
            </w:hyperlink>
          </w:p>
        </w:tc>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21"/>
                <w:szCs w:val="21"/>
                <w:color w:val="auto"/>
              </w:rPr>
            </w:pPr>
          </w:p>
        </w:tc>
        <w:tc>
          <w:tcPr>
            <w:tcW w:w="8720" w:type="dxa"/>
            <w:vAlign w:val="bottom"/>
            <w:gridSpan w:val="15"/>
          </w:tcPr>
          <w:p>
            <w:pPr>
              <w:spacing w:after="0"/>
              <w:rPr>
                <w:sz w:val="21"/>
                <w:szCs w:val="21"/>
                <w:color w:val="auto"/>
              </w:rPr>
            </w:pPr>
          </w:p>
        </w:tc>
        <w:tc>
          <w:tcPr>
            <w:tcW w:w="420" w:type="dxa"/>
            <w:vAlign w:val="bottom"/>
          </w:tcPr>
          <w:p>
            <w:pPr>
              <w:jc w:val="right"/>
              <w:spacing w:after="0"/>
              <w:rPr>
                <w:rFonts w:ascii="Arial" w:cs="Arial" w:eastAsia="Arial" w:hAnsi="Arial"/>
                <w:sz w:val="18"/>
                <w:szCs w:val="18"/>
                <w:color w:val="auto"/>
              </w:rPr>
            </w:pPr>
            <w:hyperlink w:anchor="page69">
              <w:r>
                <w:rPr>
                  <w:rFonts w:ascii="Arial" w:cs="Arial" w:eastAsia="Arial" w:hAnsi="Arial"/>
                  <w:sz w:val="18"/>
                  <w:szCs w:val="18"/>
                  <w:color w:val="auto"/>
                </w:rPr>
                <w:t>67</w:t>
              </w:r>
            </w:hyperlink>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180" w:type="dxa"/>
            <w:vAlign w:val="bottom"/>
          </w:tcPr>
          <w:p>
            <w:pPr>
              <w:jc w:val="center"/>
              <w:ind w:right="9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8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21"/>
                <w:szCs w:val="21"/>
                <w:color w:val="auto"/>
              </w:rPr>
            </w:pPr>
          </w:p>
        </w:tc>
        <w:tc>
          <w:tcPr>
            <w:tcW w:w="1180" w:type="dxa"/>
            <w:vAlign w:val="bottom"/>
          </w:tcPr>
          <w:p>
            <w:pPr>
              <w:jc w:val="center"/>
              <w:ind w:right="92"/>
              <w:spacing w:after="0"/>
              <w:rPr>
                <w:sz w:val="20"/>
                <w:szCs w:val="20"/>
                <w:color w:val="auto"/>
              </w:rPr>
            </w:pPr>
            <w:r>
              <w:rPr>
                <w:rFonts w:ascii="Arial" w:cs="Arial" w:eastAsia="Arial" w:hAnsi="Arial"/>
                <w:sz w:val="14"/>
                <w:szCs w:val="14"/>
                <w:b w:val="1"/>
                <w:bCs w:val="1"/>
                <w:color w:val="auto"/>
                <w:w w:val="92"/>
              </w:rPr>
              <w:t>(Note 1)</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46,060</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41,826</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110,887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87,201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45,325</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35,193</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40,732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19,896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3,594</w:t>
            </w:r>
          </w:p>
        </w:tc>
        <w:tc>
          <w:tcPr>
            <w:tcW w:w="1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246,598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187,885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28,072</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17,151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16,577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Patents, net</w:t>
            </w: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292,647</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206,294</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16,314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6,824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7,978</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3,930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Employee-related liabilities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28,207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24,030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8,187</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Common stock warrants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23,283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17,926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Operating lease liabilities</w:t>
            </w: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5,951</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10,346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8,978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100,266</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66,288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rent - long-term</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Operating lease liabilities - long-term</w:t>
            </w: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15,258</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4,932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125,653</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75,019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 (Note 9)</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280"/>
              <w:spacing w:after="0"/>
              <w:rPr>
                <w:sz w:val="20"/>
                <w:szCs w:val="20"/>
                <w:color w:val="auto"/>
              </w:rPr>
            </w:pPr>
            <w:r>
              <w:rPr>
                <w:rFonts w:ascii="Arial" w:cs="Arial" w:eastAsia="Arial" w:hAnsi="Arial"/>
                <w:sz w:val="18"/>
                <w:szCs w:val="18"/>
                <w:color w:val="auto"/>
                <w:w w:val="90"/>
              </w:rPr>
              <w:t>Common stock, $0.001 par value; 200,000 shares authorized, 59,029 and 57,554 shares issued and outstanding at</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80"/>
              <w:spacing w:after="0"/>
              <w:rPr>
                <w:sz w:val="20"/>
                <w:szCs w:val="20"/>
                <w:color w:val="auto"/>
              </w:rPr>
            </w:pPr>
            <w:r>
              <w:rPr>
                <w:rFonts w:ascii="Arial" w:cs="Arial" w:eastAsia="Arial" w:hAnsi="Arial"/>
                <w:sz w:val="18"/>
                <w:szCs w:val="18"/>
                <w:color w:val="auto"/>
              </w:rPr>
              <w:t>September 30, 2019 (unaudited) and December 31, 2018, respectively.</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794,324</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731,306</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(627,480)</w:t>
            </w:r>
          </w:p>
        </w:tc>
        <w:tc>
          <w:tcPr>
            <w:tcW w:w="1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(600,075)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166,994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131,275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292,647</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206,294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ectPr>
          <w:pgSz w:w="11900" w:h="16838" w:orient="portrait"/>
          <w:cols w:equalWidth="0" w:num="1">
            <w:col w:w="11420"/>
          </w:cols>
          <w:pgMar w:left="240" w:top="125"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48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64"/>
        </w:trPr>
        <w:tc>
          <w:tcPr>
            <w:tcW w:w="52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Sales</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94,657</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46,264</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253,907</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107,667</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43,974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119,967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59,381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50,683</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21,796</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133,940</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48,286</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44,649</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29,506</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120,173</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73,048</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32,632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20,430</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56,687</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37,505</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152,805</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93,478</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(15,709)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(18,865)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(45,192)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Interest and other income</w:t>
            </w:r>
          </w:p>
        </w:tc>
        <w:tc>
          <w:tcPr>
            <w:tcW w:w="2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Interest and other expense</w:t>
            </w: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(1,401)</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(7,585)</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Change in fair value of stock warrants</w:t>
            </w:r>
          </w:p>
        </w:tc>
        <w:tc>
          <w:tcPr>
            <w:tcW w:w="20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2,321</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(12,265)</w:t>
            </w:r>
          </w:p>
        </w:tc>
        <w:tc>
          <w:tcPr>
            <w:tcW w:w="1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(10,849)</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(69,042)</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3,175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(18,536)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(81,107)</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(34,245)</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(27,333)</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(126,299)</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(34,245)</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(27,405)</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(126,299)</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Unrealized gain (loss) on short-term investments</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Foreign currency translation gain (loss)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(2,972)</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(34,264)</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(27,301)</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(126,312)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loss per share, basic</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8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Net loss per share, 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311"/>
        </w:trPr>
        <w:tc>
          <w:tcPr>
            <w:tcW w:w="52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8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w w:val="96"/>
              </w:rPr>
              <w:t>Weighted average shares used to compute basic net loss per share</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58,801</w:t>
            </w:r>
          </w:p>
        </w:tc>
        <w:tc>
          <w:tcPr>
            <w:tcW w:w="10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55,615</w:t>
            </w:r>
          </w:p>
        </w:tc>
        <w:tc>
          <w:tcPr>
            <w:tcW w:w="12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58,268</w:t>
            </w:r>
          </w:p>
        </w:tc>
        <w:tc>
          <w:tcPr>
            <w:tcW w:w="10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44,993</w:t>
            </w:r>
          </w:p>
        </w:tc>
        <w:tc>
          <w:tcPr>
            <w:tcW w:w="0" w:type="dxa"/>
            <w:vAlign w:val="bottom"/>
          </w:tcPr>
          <w:p>
            <w:pPr>
              <w:spacing w:after="0"/>
              <w:rPr>
                <w:sz w:val="1"/>
                <w:szCs w:val="1"/>
                <w:color w:val="auto"/>
              </w:rPr>
            </w:pPr>
          </w:p>
        </w:tc>
      </w:tr>
      <w:tr>
        <w:trPr>
          <w:trHeight w:val="251"/>
        </w:trPr>
        <w:tc>
          <w:tcPr>
            <w:tcW w:w="52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w w:val="95"/>
              </w:rPr>
              <w:t>Weighted average shares used to compute diluted net loss per share</w:t>
            </w:r>
          </w:p>
        </w:tc>
        <w:tc>
          <w:tcPr>
            <w:tcW w:w="2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59,196</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55,615</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58,268</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44,993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639"/>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80"/>
          </w:cols>
          <w:pgMar w:left="240" w:top="125" w:right="8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September 30, 2019</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940" w:type="dxa"/>
            <w:vAlign w:val="bottom"/>
            <w:gridSpan w:val="3"/>
            <w:vMerge w:val="restart"/>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3640" w:type="dxa"/>
            <w:vAlign w:val="bottom"/>
          </w:tcPr>
          <w:p>
            <w:pPr>
              <w:spacing w:after="0"/>
              <w:rPr>
                <w:sz w:val="13"/>
                <w:szCs w:val="13"/>
                <w:color w:val="auto"/>
              </w:rPr>
            </w:pPr>
          </w:p>
        </w:tc>
        <w:tc>
          <w:tcPr>
            <w:tcW w:w="1940" w:type="dxa"/>
            <w:vAlign w:val="bottom"/>
            <w:tcBorders>
              <w:bottom w:val="single" w:sz="8" w:color="auto"/>
            </w:tcBorders>
            <w:gridSpan w:val="3"/>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0"/>
                <w:szCs w:val="10"/>
                <w:color w:val="auto"/>
              </w:rPr>
            </w:pPr>
          </w:p>
        </w:tc>
        <w:tc>
          <w:tcPr>
            <w:tcW w:w="14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10"/>
                <w:szCs w:val="10"/>
                <w:color w:val="auto"/>
              </w:rPr>
            </w:pPr>
          </w:p>
        </w:tc>
        <w:tc>
          <w:tcPr>
            <w:tcW w:w="12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0"/>
                <w:szCs w:val="10"/>
                <w:color w:val="auto"/>
              </w:rPr>
            </w:pPr>
          </w:p>
        </w:tc>
        <w:tc>
          <w:tcPr>
            <w:tcW w:w="1200" w:type="dxa"/>
            <w:vAlign w:val="bottom"/>
          </w:tcPr>
          <w:p>
            <w:pPr>
              <w:jc w:val="center"/>
              <w:ind w:right="128"/>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20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36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June 30, 2019</w:t>
            </w:r>
          </w:p>
        </w:tc>
        <w:tc>
          <w:tcPr>
            <w:tcW w:w="104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58,589</w:t>
            </w:r>
          </w:p>
        </w:tc>
        <w:tc>
          <w:tcPr>
            <w:tcW w:w="120" w:type="dxa"/>
            <w:vAlign w:val="bottom"/>
            <w:tcBorders>
              <w:top w:val="single" w:sz="8" w:color="CFF0FC"/>
            </w:tcBorders>
            <w:shd w:val="clear" w:color="auto" w:fill="CFF0FC"/>
          </w:tcPr>
          <w:p>
            <w:pPr>
              <w:spacing w:after="0"/>
              <w:rPr>
                <w:sz w:val="22"/>
                <w:szCs w:val="22"/>
                <w:color w:val="auto"/>
              </w:rPr>
            </w:pPr>
          </w:p>
        </w:tc>
        <w:tc>
          <w:tcPr>
            <w:tcW w:w="780" w:type="dxa"/>
            <w:vAlign w:val="bottom"/>
            <w:tcBorders>
              <w:top w:val="single" w:sz="8" w:color="auto"/>
            </w:tcBorders>
            <w:shd w:val="clear" w:color="auto" w:fill="CFF0FC"/>
          </w:tcPr>
          <w:p>
            <w:pPr>
              <w:jc w:val="right"/>
              <w:ind w:right="60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58</w:t>
            </w:r>
          </w:p>
        </w:tc>
        <w:tc>
          <w:tcPr>
            <w:tcW w:w="120" w:type="dxa"/>
            <w:vAlign w:val="bottom"/>
            <w:tcBorders>
              <w:top w:val="single" w:sz="8" w:color="CFF0FC"/>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769,704</w:t>
            </w:r>
          </w:p>
        </w:tc>
        <w:tc>
          <w:tcPr>
            <w:tcW w:w="100" w:type="dxa"/>
            <w:vAlign w:val="bottom"/>
            <w:tcBorders>
              <w:top w:val="single" w:sz="8" w:color="CFF0FC"/>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162</w:t>
            </w:r>
          </w:p>
        </w:tc>
        <w:tc>
          <w:tcPr>
            <w:tcW w:w="100" w:type="dxa"/>
            <w:vAlign w:val="bottom"/>
            <w:tcBorders>
              <w:top w:val="single" w:sz="8" w:color="CFF0FC"/>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(624,579)</w:t>
            </w:r>
          </w:p>
        </w:tc>
        <w:tc>
          <w:tcPr>
            <w:tcW w:w="100" w:type="dxa"/>
            <w:vAlign w:val="bottom"/>
            <w:tcBorders>
              <w:top w:val="single" w:sz="8" w:color="CFF0FC"/>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145,345</w:t>
            </w:r>
          </w:p>
        </w:tc>
        <w:tc>
          <w:tcPr>
            <w:tcW w:w="0" w:type="dxa"/>
            <w:vAlign w:val="bottom"/>
          </w:tcPr>
          <w:p>
            <w:pPr>
              <w:spacing w:after="0"/>
              <w:rPr>
                <w:sz w:val="1"/>
                <w:szCs w:val="1"/>
                <w:color w:val="auto"/>
              </w:rPr>
            </w:pPr>
          </w:p>
        </w:tc>
      </w:tr>
      <w:tr>
        <w:trPr>
          <w:trHeight w:val="264"/>
        </w:trPr>
        <w:tc>
          <w:tcPr>
            <w:tcW w:w="3640" w:type="dxa"/>
            <w:vAlign w:val="bottom"/>
          </w:tcPr>
          <w:p>
            <w:pPr>
              <w:ind w:left="260"/>
              <w:spacing w:after="0"/>
              <w:rPr>
                <w:sz w:val="20"/>
                <w:szCs w:val="20"/>
                <w:color w:val="auto"/>
              </w:rPr>
            </w:pPr>
            <w:r>
              <w:rPr>
                <w:rFonts w:ascii="Arial" w:cs="Arial" w:eastAsia="Arial" w:hAnsi="Arial"/>
                <w:sz w:val="14"/>
                <w:szCs w:val="14"/>
                <w:color w:val="auto"/>
              </w:rPr>
              <w:t>Exercise of stock options</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7,033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7,034</w:t>
            </w:r>
          </w:p>
        </w:tc>
        <w:tc>
          <w:tcPr>
            <w:tcW w:w="0" w:type="dxa"/>
            <w:vAlign w:val="bottom"/>
          </w:tcPr>
          <w:p>
            <w:pPr>
              <w:spacing w:after="0"/>
              <w:rPr>
                <w:sz w:val="1"/>
                <w:szCs w:val="1"/>
                <w:color w:val="auto"/>
              </w:rPr>
            </w:pPr>
          </w:p>
        </w:tc>
      </w:tr>
      <w:tr>
        <w:trPr>
          <w:trHeight w:val="276"/>
        </w:trPr>
        <w:tc>
          <w:tcPr>
            <w:tcW w:w="3640" w:type="dxa"/>
            <w:vAlign w:val="bottom"/>
            <w:shd w:val="clear" w:color="auto" w:fill="CFF0FC"/>
          </w:tcPr>
          <w:p>
            <w:pPr>
              <w:ind w:left="260"/>
              <w:spacing w:after="0"/>
              <w:rPr>
                <w:sz w:val="20"/>
                <w:szCs w:val="20"/>
                <w:color w:val="auto"/>
              </w:rPr>
            </w:pPr>
            <w:r>
              <w:rPr>
                <w:rFonts w:ascii="Arial" w:cs="Arial" w:eastAsia="Arial" w:hAnsi="Arial"/>
                <w:sz w:val="14"/>
                <w:szCs w:val="14"/>
                <w:color w:val="auto"/>
                <w:w w:val="97"/>
              </w:rPr>
              <w:t>Fair value of common stock warrants at time of exercise</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4"/>
                <w:szCs w:val="24"/>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36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17,574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17,574</w:t>
            </w:r>
          </w:p>
        </w:tc>
        <w:tc>
          <w:tcPr>
            <w:tcW w:w="0" w:type="dxa"/>
            <w:vAlign w:val="bottom"/>
          </w:tcPr>
          <w:p>
            <w:pPr>
              <w:spacing w:after="0"/>
              <w:rPr>
                <w:sz w:val="1"/>
                <w:szCs w:val="1"/>
                <w:color w:val="auto"/>
              </w:rPr>
            </w:pPr>
          </w:p>
        </w:tc>
      </w:tr>
      <w:tr>
        <w:trPr>
          <w:trHeight w:val="276"/>
        </w:trPr>
        <w:tc>
          <w:tcPr>
            <w:tcW w:w="3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translation</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4"/>
                <w:szCs w:val="2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4"/>
                <w:szCs w:val="2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4"/>
        </w:trPr>
        <w:tc>
          <w:tcPr>
            <w:tcW w:w="3640" w:type="dxa"/>
            <w:vAlign w:val="bottom"/>
          </w:tcPr>
          <w:p>
            <w:pPr>
              <w:ind w:left="260"/>
              <w:spacing w:after="0"/>
              <w:rPr>
                <w:sz w:val="20"/>
                <w:szCs w:val="20"/>
                <w:color w:val="auto"/>
              </w:rPr>
            </w:pPr>
            <w:r>
              <w:rPr>
                <w:rFonts w:ascii="Arial" w:cs="Arial" w:eastAsia="Arial" w:hAnsi="Arial"/>
                <w:sz w:val="14"/>
                <w:szCs w:val="14"/>
                <w:color w:val="auto"/>
              </w:rPr>
              <w:t>Unrealized loss on short-term investments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70"/>
        </w:trPr>
        <w:tc>
          <w:tcPr>
            <w:tcW w:w="3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23"/>
                <w:szCs w:val="23"/>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3"/>
                <w:szCs w:val="23"/>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3"/>
                <w:szCs w:val="23"/>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3"/>
                <w:szCs w:val="2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(2,901)</w:t>
            </w: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(2,901)</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4"/>
                <w:szCs w:val="14"/>
                <w:color w:val="auto"/>
              </w:rPr>
              <w:t>Balance at September 30, 2019</w:t>
            </w: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59,029</w:t>
            </w:r>
          </w:p>
        </w:tc>
        <w:tc>
          <w:tcPr>
            <w:tcW w:w="12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59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794,324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(627,480)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166,994</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September 30,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960" w:type="dxa"/>
            <w:vAlign w:val="bottom"/>
            <w:gridSpan w:val="3"/>
            <w:vMerge w:val="restart"/>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960" w:type="dxa"/>
            <w:vAlign w:val="bottom"/>
            <w:tcBorders>
              <w:bottom w:val="single" w:sz="8" w:color="auto"/>
            </w:tcBorders>
            <w:gridSpan w:val="3"/>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0"/>
                <w:szCs w:val="10"/>
                <w:color w:val="auto"/>
              </w:rPr>
            </w:pPr>
          </w:p>
        </w:tc>
        <w:tc>
          <w:tcPr>
            <w:tcW w:w="14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0"/>
                <w:szCs w:val="10"/>
                <w:color w:val="auto"/>
              </w:rPr>
            </w:pPr>
          </w:p>
        </w:tc>
        <w:tc>
          <w:tcPr>
            <w:tcW w:w="1180" w:type="dxa"/>
            <w:vAlign w:val="bottom"/>
          </w:tcPr>
          <w:p>
            <w:pPr>
              <w:jc w:val="center"/>
              <w:ind w:right="128"/>
              <w:spacing w:after="0" w:line="119"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366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Balance at December 31, 2018</w:t>
            </w:r>
          </w:p>
        </w:tc>
        <w:tc>
          <w:tcPr>
            <w:tcW w:w="104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57,554</w:t>
            </w:r>
          </w:p>
        </w:tc>
        <w:tc>
          <w:tcPr>
            <w:tcW w:w="120" w:type="dxa"/>
            <w:vAlign w:val="bottom"/>
            <w:tcBorders>
              <w:top w:val="single" w:sz="8" w:color="CFF0FC"/>
            </w:tcBorders>
            <w:shd w:val="clear" w:color="auto" w:fill="CFF0FC"/>
          </w:tcPr>
          <w:p>
            <w:pPr>
              <w:spacing w:after="0"/>
              <w:rPr>
                <w:sz w:val="22"/>
                <w:szCs w:val="22"/>
                <w:color w:val="auto"/>
              </w:rPr>
            </w:pPr>
          </w:p>
        </w:tc>
        <w:tc>
          <w:tcPr>
            <w:tcW w:w="800" w:type="dxa"/>
            <w:vAlign w:val="bottom"/>
            <w:tcBorders>
              <w:top w:val="single" w:sz="8" w:color="auto"/>
            </w:tcBorders>
            <w:shd w:val="clear" w:color="auto" w:fill="CFF0FC"/>
          </w:tcPr>
          <w:p>
            <w:pPr>
              <w:jc w:val="right"/>
              <w:ind w:right="62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57</w:t>
            </w:r>
          </w:p>
        </w:tc>
        <w:tc>
          <w:tcPr>
            <w:tcW w:w="120" w:type="dxa"/>
            <w:vAlign w:val="bottom"/>
            <w:tcBorders>
              <w:top w:val="single" w:sz="8" w:color="CFF0FC"/>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731,306</w:t>
            </w:r>
          </w:p>
        </w:tc>
        <w:tc>
          <w:tcPr>
            <w:tcW w:w="120" w:type="dxa"/>
            <w:vAlign w:val="bottom"/>
            <w:tcBorders>
              <w:top w:val="single" w:sz="8" w:color="CFF0FC"/>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FF0FC"/>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(600,075)</w:t>
            </w:r>
          </w:p>
        </w:tc>
        <w:tc>
          <w:tcPr>
            <w:tcW w:w="100" w:type="dxa"/>
            <w:vAlign w:val="bottom"/>
            <w:tcBorders>
              <w:top w:val="single" w:sz="8" w:color="CFF0FC"/>
            </w:tcBorders>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131,275</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Exercise of stock options</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1,214</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14,510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14,512</w:t>
            </w:r>
          </w:p>
        </w:tc>
        <w:tc>
          <w:tcPr>
            <w:tcW w:w="0" w:type="dxa"/>
            <w:vAlign w:val="bottom"/>
          </w:tcPr>
          <w:p>
            <w:pPr>
              <w:spacing w:after="0"/>
              <w:rPr>
                <w:sz w:val="1"/>
                <w:szCs w:val="1"/>
                <w:color w:val="auto"/>
              </w:rPr>
            </w:pPr>
          </w:p>
        </w:tc>
      </w:tr>
      <w:tr>
        <w:trPr>
          <w:trHeight w:val="276"/>
        </w:trPr>
        <w:tc>
          <w:tcPr>
            <w:tcW w:w="3660" w:type="dxa"/>
            <w:vAlign w:val="bottom"/>
            <w:shd w:val="clear" w:color="auto" w:fill="CFF0FC"/>
          </w:tcPr>
          <w:p>
            <w:pPr>
              <w:ind w:left="280"/>
              <w:spacing w:after="0"/>
              <w:rPr>
                <w:sz w:val="20"/>
                <w:szCs w:val="20"/>
                <w:color w:val="auto"/>
              </w:rPr>
            </w:pPr>
            <w:r>
              <w:rPr>
                <w:rFonts w:ascii="Arial" w:cs="Arial" w:eastAsia="Arial" w:hAnsi="Arial"/>
                <w:sz w:val="14"/>
                <w:szCs w:val="14"/>
                <w:color w:val="auto"/>
              </w:rPr>
              <w:t>Exercise of common stock warrants</w:t>
            </w: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326</w:t>
            </w:r>
          </w:p>
        </w:tc>
        <w:tc>
          <w:tcPr>
            <w:tcW w:w="1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4"/>
                <w:szCs w:val="24"/>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57"/>
        </w:trPr>
        <w:tc>
          <w:tcPr>
            <w:tcW w:w="3660" w:type="dxa"/>
            <w:vAlign w:val="bottom"/>
          </w:tcPr>
          <w:p>
            <w:pPr>
              <w:ind w:left="280"/>
              <w:spacing w:after="0" w:line="157" w:lineRule="exact"/>
              <w:rPr>
                <w:sz w:val="20"/>
                <w:szCs w:val="20"/>
                <w:color w:val="auto"/>
              </w:rPr>
            </w:pPr>
            <w:r>
              <w:rPr>
                <w:rFonts w:ascii="Arial" w:cs="Arial" w:eastAsia="Arial" w:hAnsi="Arial"/>
                <w:sz w:val="14"/>
                <w:szCs w:val="14"/>
                <w:color w:val="auto"/>
                <w:w w:val="94"/>
              </w:rPr>
              <w:t>Issuance of common stock for Employee Stock Purchase</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60" w:type="dxa"/>
            <w:vAlign w:val="bottom"/>
          </w:tcPr>
          <w:p>
            <w:pPr>
              <w:ind w:left="280"/>
              <w:spacing w:after="0"/>
              <w:rPr>
                <w:sz w:val="20"/>
                <w:szCs w:val="20"/>
                <w:color w:val="auto"/>
              </w:rPr>
            </w:pPr>
            <w:r>
              <w:rPr>
                <w:rFonts w:ascii="Arial" w:cs="Arial" w:eastAsia="Arial" w:hAnsi="Arial"/>
                <w:sz w:val="14"/>
                <w:szCs w:val="14"/>
                <w:color w:val="auto"/>
              </w:rPr>
              <w:t>Plan</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2,951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2,951</w:t>
            </w:r>
          </w:p>
        </w:tc>
        <w:tc>
          <w:tcPr>
            <w:tcW w:w="0" w:type="dxa"/>
            <w:vAlign w:val="bottom"/>
          </w:tcPr>
          <w:p>
            <w:pPr>
              <w:spacing w:after="0"/>
              <w:rPr>
                <w:sz w:val="1"/>
                <w:szCs w:val="1"/>
                <w:color w:val="auto"/>
              </w:rPr>
            </w:pPr>
          </w:p>
        </w:tc>
      </w:tr>
      <w:tr>
        <w:trPr>
          <w:trHeight w:val="276"/>
        </w:trPr>
        <w:tc>
          <w:tcPr>
            <w:tcW w:w="3660" w:type="dxa"/>
            <w:vAlign w:val="bottom"/>
            <w:shd w:val="clear" w:color="auto" w:fill="CFF0FC"/>
          </w:tcPr>
          <w:p>
            <w:pPr>
              <w:ind w:left="280"/>
              <w:spacing w:after="0"/>
              <w:rPr>
                <w:sz w:val="20"/>
                <w:szCs w:val="20"/>
                <w:color w:val="auto"/>
              </w:rPr>
            </w:pPr>
            <w:r>
              <w:rPr>
                <w:rFonts w:ascii="Arial" w:cs="Arial" w:eastAsia="Arial" w:hAnsi="Arial"/>
                <w:sz w:val="14"/>
                <w:szCs w:val="14"/>
                <w:color w:val="auto"/>
                <w:w w:val="97"/>
              </w:rPr>
              <w:t>Fair value of common stock warrants at time of exercise</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5,492</w:t>
            </w:r>
          </w:p>
        </w:tc>
        <w:tc>
          <w:tcPr>
            <w:tcW w:w="1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4"/>
                <w:szCs w:val="24"/>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5,492</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39,739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39,739</w:t>
            </w:r>
          </w:p>
        </w:tc>
        <w:tc>
          <w:tcPr>
            <w:tcW w:w="0" w:type="dxa"/>
            <w:vAlign w:val="bottom"/>
          </w:tcPr>
          <w:p>
            <w:pPr>
              <w:spacing w:after="0"/>
              <w:rPr>
                <w:sz w:val="1"/>
                <w:szCs w:val="1"/>
                <w:color w:val="auto"/>
              </w:rPr>
            </w:pPr>
          </w:p>
        </w:tc>
      </w:tr>
      <w:tr>
        <w:trPr>
          <w:trHeight w:val="276"/>
        </w:trPr>
        <w:tc>
          <w:tcPr>
            <w:tcW w:w="3660" w:type="dxa"/>
            <w:vAlign w:val="bottom"/>
            <w:shd w:val="clear" w:color="auto" w:fill="CFF0FC"/>
          </w:tcPr>
          <w:p>
            <w:pPr>
              <w:ind w:left="280"/>
              <w:spacing w:after="0"/>
              <w:rPr>
                <w:sz w:val="20"/>
                <w:szCs w:val="20"/>
                <w:color w:val="auto"/>
              </w:rPr>
            </w:pPr>
            <w:r>
              <w:rPr>
                <w:rFonts w:ascii="Arial" w:cs="Arial" w:eastAsia="Arial" w:hAnsi="Arial"/>
                <w:sz w:val="14"/>
                <w:szCs w:val="14"/>
                <w:color w:val="auto"/>
              </w:rPr>
              <w:t>Foreign currency translation</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4"/>
                <w:szCs w:val="24"/>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Unrealized gain on short-term investments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70"/>
        </w:trPr>
        <w:tc>
          <w:tcPr>
            <w:tcW w:w="3660" w:type="dxa"/>
            <w:vAlign w:val="bottom"/>
            <w:shd w:val="clear" w:color="auto" w:fill="CFF0FC"/>
          </w:tcPr>
          <w:p>
            <w:pPr>
              <w:ind w:left="280"/>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spacing w:after="0"/>
              <w:rPr>
                <w:sz w:val="23"/>
                <w:szCs w:val="23"/>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3"/>
                <w:szCs w:val="23"/>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3"/>
                <w:szCs w:val="23"/>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3"/>
                <w:szCs w:val="2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(27,405)</w:t>
            </w:r>
          </w:p>
        </w:tc>
        <w:tc>
          <w:tcPr>
            <w:tcW w:w="10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(27,405)</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4"/>
                <w:szCs w:val="14"/>
                <w:color w:val="auto"/>
              </w:rPr>
              <w:t>Balance at September 30, 2019</w:t>
            </w: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59,029</w:t>
            </w:r>
          </w:p>
        </w:tc>
        <w:tc>
          <w:tcPr>
            <w:tcW w:w="12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59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794,324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(627,480)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166,994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September 30, 2018</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5"/>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0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gridSpan w:val="3"/>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3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Paid-in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4"/>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640" w:type="dxa"/>
            <w:vAlign w:val="bottom"/>
            <w:tcBorders>
              <w:top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Balance at June 30, 2018</w:t>
            </w:r>
          </w:p>
        </w:tc>
        <w:tc>
          <w:tcPr>
            <w:tcW w:w="102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53,186</w:t>
            </w:r>
          </w:p>
        </w:tc>
        <w:tc>
          <w:tcPr>
            <w:tcW w:w="20" w:type="dxa"/>
            <w:vAlign w:val="bottom"/>
            <w:tcBorders>
              <w:top w:val="single" w:sz="8" w:color="auto"/>
            </w:tcBorders>
            <w:shd w:val="clear" w:color="auto" w:fill="CFF0FC"/>
          </w:tcPr>
          <w:p>
            <w:pPr>
              <w:spacing w:after="0"/>
              <w:rPr>
                <w:sz w:val="22"/>
                <w:szCs w:val="22"/>
                <w:color w:val="auto"/>
              </w:rPr>
            </w:pPr>
          </w:p>
        </w:tc>
        <w:tc>
          <w:tcPr>
            <w:tcW w:w="100" w:type="dxa"/>
            <w:vAlign w:val="bottom"/>
            <w:tcBorders>
              <w:top w:val="single" w:sz="8" w:color="CFF0FC"/>
            </w:tcBorders>
            <w:shd w:val="clear" w:color="auto" w:fill="CFF0FC"/>
          </w:tcPr>
          <w:p>
            <w:pPr>
              <w:spacing w:after="0"/>
              <w:rPr>
                <w:sz w:val="22"/>
                <w:szCs w:val="22"/>
                <w:color w:val="auto"/>
              </w:rPr>
            </w:pPr>
          </w:p>
        </w:tc>
        <w:tc>
          <w:tcPr>
            <w:tcW w:w="20" w:type="dxa"/>
            <w:vAlign w:val="bottom"/>
            <w:tcBorders>
              <w:top w:val="single" w:sz="8" w:color="CFF0FC"/>
            </w:tcBorders>
            <w:shd w:val="clear" w:color="auto" w:fill="CFF0FC"/>
          </w:tcPr>
          <w:p>
            <w:pPr>
              <w:spacing w:after="0"/>
              <w:rPr>
                <w:sz w:val="22"/>
                <w:szCs w:val="22"/>
                <w:color w:val="auto"/>
              </w:rPr>
            </w:pPr>
          </w:p>
        </w:tc>
        <w:tc>
          <w:tcPr>
            <w:tcW w:w="780" w:type="dxa"/>
            <w:vAlign w:val="bottom"/>
            <w:tcBorders>
              <w:top w:val="single" w:sz="8" w:color="auto"/>
            </w:tcBorders>
            <w:shd w:val="clear" w:color="auto" w:fill="CFF0FC"/>
          </w:tcPr>
          <w:p>
            <w:pPr>
              <w:jc w:val="right"/>
              <w:ind w:right="60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53</w:t>
            </w:r>
          </w:p>
        </w:tc>
        <w:tc>
          <w:tcPr>
            <w:tcW w:w="120" w:type="dxa"/>
            <w:vAlign w:val="bottom"/>
            <w:tcBorders>
              <w:top w:val="single" w:sz="8" w:color="CFF0FC"/>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595,463</w:t>
            </w:r>
          </w:p>
        </w:tc>
        <w:tc>
          <w:tcPr>
            <w:tcW w:w="100" w:type="dxa"/>
            <w:vAlign w:val="bottom"/>
            <w:tcBorders>
              <w:top w:val="single" w:sz="8" w:color="CFF0FC"/>
            </w:tcBorders>
            <w:shd w:val="clear" w:color="auto" w:fill="CFF0FC"/>
          </w:tcPr>
          <w:p>
            <w:pPr>
              <w:spacing w:after="0"/>
              <w:rPr>
                <w:sz w:val="22"/>
                <w:szCs w:val="22"/>
                <w:color w:val="auto"/>
              </w:rPr>
            </w:pPr>
          </w:p>
        </w:tc>
        <w:tc>
          <w:tcPr>
            <w:tcW w:w="180" w:type="dxa"/>
            <w:vAlign w:val="bottom"/>
            <w:tcBorders>
              <w:top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w:t>
            </w:r>
          </w:p>
        </w:tc>
        <w:tc>
          <w:tcPr>
            <w:tcW w:w="20" w:type="dxa"/>
            <w:vAlign w:val="bottom"/>
            <w:tcBorders>
              <w:top w:val="single" w:sz="8" w:color="CFF0FC"/>
            </w:tcBorders>
            <w:shd w:val="clear" w:color="auto" w:fill="CFF0FC"/>
          </w:tcPr>
          <w:p>
            <w:pPr>
              <w:spacing w:after="0"/>
              <w:rPr>
                <w:sz w:val="22"/>
                <w:szCs w:val="22"/>
                <w:color w:val="auto"/>
              </w:rPr>
            </w:pPr>
          </w:p>
        </w:tc>
        <w:tc>
          <w:tcPr>
            <w:tcW w:w="80" w:type="dxa"/>
            <w:vAlign w:val="bottom"/>
            <w:tcBorders>
              <w:top w:val="single" w:sz="8" w:color="CFF0FC"/>
            </w:tcBorders>
            <w:shd w:val="clear" w:color="auto" w:fill="CFF0FC"/>
          </w:tcPr>
          <w:p>
            <w:pPr>
              <w:spacing w:after="0"/>
              <w:rPr>
                <w:sz w:val="22"/>
                <w:szCs w:val="22"/>
                <w:color w:val="auto"/>
              </w:rPr>
            </w:pPr>
          </w:p>
        </w:tc>
        <w:tc>
          <w:tcPr>
            <w:tcW w:w="16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(569,518)</w:t>
            </w:r>
          </w:p>
        </w:tc>
        <w:tc>
          <w:tcPr>
            <w:tcW w:w="20" w:type="dxa"/>
            <w:vAlign w:val="bottom"/>
            <w:tcBorders>
              <w:top w:val="single" w:sz="8" w:color="CFF0FC"/>
            </w:tcBorders>
            <w:shd w:val="clear" w:color="auto" w:fill="CFF0FC"/>
          </w:tcPr>
          <w:p>
            <w:pPr>
              <w:spacing w:after="0"/>
              <w:rPr>
                <w:sz w:val="22"/>
                <w:szCs w:val="22"/>
                <w:color w:val="auto"/>
              </w:rPr>
            </w:pPr>
          </w:p>
        </w:tc>
        <w:tc>
          <w:tcPr>
            <w:tcW w:w="80" w:type="dxa"/>
            <w:vAlign w:val="bottom"/>
            <w:tcBorders>
              <w:top w:val="single" w:sz="8" w:color="CFF0FC"/>
            </w:tcBorders>
            <w:shd w:val="clear" w:color="auto" w:fill="CFF0FC"/>
          </w:tcPr>
          <w:p>
            <w:pPr>
              <w:spacing w:after="0"/>
              <w:rPr>
                <w:sz w:val="22"/>
                <w:szCs w:val="22"/>
                <w:color w:val="auto"/>
              </w:rPr>
            </w:pPr>
          </w:p>
        </w:tc>
        <w:tc>
          <w:tcPr>
            <w:tcW w:w="180" w:type="dxa"/>
            <w:vAlign w:val="bottom"/>
            <w:tcBorders>
              <w:top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26,004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640" w:type="dxa"/>
            <w:vAlign w:val="bottom"/>
            <w:gridSpan w:val="3"/>
          </w:tcPr>
          <w:p>
            <w:pPr>
              <w:ind w:left="260"/>
              <w:spacing w:after="0" w:line="157" w:lineRule="exact"/>
              <w:rPr>
                <w:sz w:val="20"/>
                <w:szCs w:val="20"/>
                <w:color w:val="auto"/>
              </w:rPr>
            </w:pPr>
            <w:r>
              <w:rPr>
                <w:rFonts w:ascii="Arial" w:cs="Arial" w:eastAsia="Arial" w:hAnsi="Arial"/>
                <w:sz w:val="14"/>
                <w:szCs w:val="14"/>
                <w:color w:val="auto"/>
              </w:rPr>
              <w:t>Issuance of common stock in public offering, net of</w:t>
            </w: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640" w:type="dxa"/>
            <w:vAlign w:val="bottom"/>
            <w:gridSpan w:val="3"/>
          </w:tcPr>
          <w:p>
            <w:pPr>
              <w:ind w:left="260"/>
              <w:spacing w:after="0"/>
              <w:rPr>
                <w:sz w:val="20"/>
                <w:szCs w:val="20"/>
                <w:color w:val="auto"/>
              </w:rPr>
            </w:pPr>
            <w:r>
              <w:rPr>
                <w:rFonts w:ascii="Arial" w:cs="Arial" w:eastAsia="Arial" w:hAnsi="Arial"/>
                <w:sz w:val="14"/>
                <w:szCs w:val="14"/>
                <w:color w:val="auto"/>
              </w:rPr>
              <w:t>underwriter’s discount and offering costs</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4,035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108,916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108,920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640" w:type="dxa"/>
            <w:vAlign w:val="bottom"/>
            <w:gridSpan w:val="3"/>
            <w:shd w:val="clear" w:color="auto" w:fill="CFF0FC"/>
          </w:tcPr>
          <w:p>
            <w:pPr>
              <w:ind w:left="260"/>
              <w:spacing w:after="0"/>
              <w:rPr>
                <w:sz w:val="20"/>
                <w:szCs w:val="20"/>
                <w:color w:val="auto"/>
              </w:rPr>
            </w:pPr>
            <w:r>
              <w:rPr>
                <w:rFonts w:ascii="Arial" w:cs="Arial" w:eastAsia="Arial" w:hAnsi="Arial"/>
                <w:sz w:val="14"/>
                <w:szCs w:val="14"/>
                <w:color w:val="auto"/>
              </w:rPr>
              <w:t>Exercise of stock options</w:t>
            </w:r>
          </w:p>
        </w:tc>
        <w:tc>
          <w:tcPr>
            <w:tcW w:w="10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31</w:t>
            </w:r>
          </w:p>
        </w:tc>
        <w:tc>
          <w:tcPr>
            <w:tcW w:w="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467</w:t>
            </w:r>
          </w:p>
        </w:tc>
        <w:tc>
          <w:tcPr>
            <w:tcW w:w="1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28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08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40" w:type="dxa"/>
            <w:vAlign w:val="bottom"/>
            <w:gridSpan w:val="3"/>
          </w:tcPr>
          <w:p>
            <w:pPr>
              <w:ind w:left="260"/>
              <w:spacing w:after="0"/>
              <w:rPr>
                <w:sz w:val="20"/>
                <w:szCs w:val="20"/>
                <w:color w:val="auto"/>
              </w:rPr>
            </w:pPr>
            <w:r>
              <w:rPr>
                <w:rFonts w:ascii="Arial" w:cs="Arial" w:eastAsia="Arial" w:hAnsi="Arial"/>
                <w:sz w:val="14"/>
                <w:szCs w:val="14"/>
                <w:color w:val="auto"/>
              </w:rPr>
              <w:t>Exercise of common stock warrants</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393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640" w:type="dxa"/>
            <w:vAlign w:val="bottom"/>
            <w:gridSpan w:val="3"/>
            <w:shd w:val="clear" w:color="auto" w:fill="CFF0FC"/>
          </w:tcPr>
          <w:p>
            <w:pPr>
              <w:ind w:left="260"/>
              <w:spacing w:after="0"/>
              <w:rPr>
                <w:sz w:val="20"/>
                <w:szCs w:val="20"/>
                <w:color w:val="auto"/>
              </w:rPr>
            </w:pPr>
            <w:r>
              <w:rPr>
                <w:rFonts w:ascii="Arial" w:cs="Arial" w:eastAsia="Arial" w:hAnsi="Arial"/>
                <w:sz w:val="14"/>
                <w:szCs w:val="14"/>
                <w:color w:val="auto"/>
                <w:w w:val="97"/>
              </w:rPr>
              <w:t>Fair value of common stock warrants at time of exercise</w:t>
            </w:r>
          </w:p>
        </w:tc>
        <w:tc>
          <w:tcPr>
            <w:tcW w:w="1160" w:type="dxa"/>
            <w:vAlign w:val="bottom"/>
            <w:gridSpan w:val="4"/>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3,913</w:t>
            </w:r>
          </w:p>
        </w:tc>
        <w:tc>
          <w:tcPr>
            <w:tcW w:w="1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28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08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3,913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40" w:type="dxa"/>
            <w:vAlign w:val="bottom"/>
            <w:gridSpan w:val="3"/>
          </w:tcPr>
          <w:p>
            <w:pPr>
              <w:ind w:left="26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9,996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9,996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640" w:type="dxa"/>
            <w:vAlign w:val="bottom"/>
            <w:gridSpan w:val="3"/>
            <w:shd w:val="clear" w:color="auto" w:fill="CFF0FC"/>
          </w:tcPr>
          <w:p>
            <w:pPr>
              <w:ind w:left="260"/>
              <w:spacing w:after="0"/>
              <w:rPr>
                <w:sz w:val="20"/>
                <w:szCs w:val="20"/>
                <w:color w:val="auto"/>
              </w:rPr>
            </w:pPr>
            <w:r>
              <w:rPr>
                <w:rFonts w:ascii="Arial" w:cs="Arial" w:eastAsia="Arial" w:hAnsi="Arial"/>
                <w:sz w:val="14"/>
                <w:szCs w:val="14"/>
                <w:color w:val="auto"/>
              </w:rPr>
              <w:t>Unrealized loss on short-term investments</w:t>
            </w:r>
          </w:p>
        </w:tc>
        <w:tc>
          <w:tcPr>
            <w:tcW w:w="1160" w:type="dxa"/>
            <w:vAlign w:val="bottom"/>
            <w:gridSpan w:val="4"/>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08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40" w:type="dxa"/>
            <w:vAlign w:val="bottom"/>
            <w:gridSpan w:val="3"/>
          </w:tcPr>
          <w:p>
            <w:pPr>
              <w:ind w:left="260"/>
              <w:spacing w:after="0"/>
              <w:rPr>
                <w:sz w:val="20"/>
                <w:szCs w:val="20"/>
                <w:color w:val="auto"/>
              </w:rPr>
            </w:pPr>
            <w:r>
              <w:rPr>
                <w:rFonts w:ascii="Arial" w:cs="Arial" w:eastAsia="Arial" w:hAnsi="Arial"/>
                <w:sz w:val="14"/>
                <w:szCs w:val="14"/>
                <w:color w:val="auto"/>
              </w:rPr>
              <w:t>Net loss</w:t>
            </w:r>
          </w:p>
        </w:tc>
        <w:tc>
          <w:tcPr>
            <w:tcW w:w="116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(34,245)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(34,245)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40" w:type="dxa"/>
            <w:vAlign w:val="bottom"/>
            <w:tcBorders>
              <w:top w:val="single" w:sz="8" w:color="CFF0FC"/>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Balance at September 30, 2018</w:t>
            </w:r>
          </w:p>
        </w:tc>
        <w:tc>
          <w:tcPr>
            <w:tcW w:w="102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57,364</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ind w:right="60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57</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719,148</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(603,763)</w:t>
            </w: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115,429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Nine Months Ended September 30, 2018</w:t>
            </w: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80" w:type="dxa"/>
            <w:vAlign w:val="bottom"/>
            <w:gridSpan w:val="4"/>
            <w:vMerge w:val="continue"/>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40" w:type="dxa"/>
            <w:vAlign w:val="bottom"/>
            <w:tcBorders>
              <w:top w:val="single" w:sz="8" w:color="auto"/>
            </w:tcBorders>
          </w:tcPr>
          <w:p>
            <w:pPr>
              <w:spacing w:after="0"/>
              <w:rPr>
                <w:sz w:val="24"/>
                <w:szCs w:val="24"/>
                <w:color w:val="auto"/>
              </w:rPr>
            </w:pPr>
          </w:p>
        </w:tc>
        <w:tc>
          <w:tcPr>
            <w:tcW w:w="30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gridSpan w:val="5"/>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0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gridSpan w:val="3"/>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restart"/>
          </w:tcPr>
          <w:p>
            <w:pPr>
              <w:jc w:val="center"/>
              <w:ind w:right="68"/>
              <w:spacing w:after="0" w:line="139"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3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12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CFF0FC"/>
            </w:tcBorders>
          </w:tcPr>
          <w:p>
            <w:pPr>
              <w:spacing w:after="0"/>
              <w:rPr>
                <w:sz w:val="16"/>
                <w:szCs w:val="16"/>
                <w:color w:val="auto"/>
              </w:rPr>
            </w:pPr>
          </w:p>
        </w:tc>
        <w:tc>
          <w:tcPr>
            <w:tcW w:w="3060" w:type="dxa"/>
            <w:vAlign w:val="bottom"/>
            <w:tcBorders>
              <w:bottom w:val="single" w:sz="8" w:color="CFF0FC"/>
            </w:tcBorders>
          </w:tcPr>
          <w:p>
            <w:pPr>
              <w:spacing w:after="0"/>
              <w:rPr>
                <w:sz w:val="16"/>
                <w:szCs w:val="16"/>
                <w:color w:val="auto"/>
              </w:rPr>
            </w:pPr>
          </w:p>
        </w:tc>
        <w:tc>
          <w:tcPr>
            <w:tcW w:w="560" w:type="dxa"/>
            <w:vAlign w:val="bottom"/>
            <w:tcBorders>
              <w:bottom w:val="single" w:sz="8" w:color="CFF0FC"/>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FF0FC"/>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Income (Loss)</w:t>
            </w:r>
          </w:p>
        </w:tc>
        <w:tc>
          <w:tcPr>
            <w:tcW w:w="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7"/>
              </w:rPr>
              <w:t>Equity (Deficit)</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680" w:type="dxa"/>
            <w:vAlign w:val="bottom"/>
            <w:gridSpan w:val="4"/>
            <w:shd w:val="clear" w:color="auto" w:fill="CFF0FC"/>
          </w:tcPr>
          <w:p>
            <w:pPr>
              <w:ind w:left="40"/>
              <w:spacing w:after="0"/>
              <w:rPr>
                <w:sz w:val="20"/>
                <w:szCs w:val="20"/>
                <w:color w:val="auto"/>
              </w:rPr>
            </w:pPr>
            <w:r>
              <w:rPr>
                <w:rFonts w:ascii="Arial" w:cs="Arial" w:eastAsia="Arial" w:hAnsi="Arial"/>
                <w:sz w:val="14"/>
                <w:szCs w:val="14"/>
                <w:color w:val="auto"/>
              </w:rPr>
              <w:t>Balance at December 31, 2017</w:t>
            </w: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10,119</w:t>
            </w: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780" w:type="dxa"/>
            <w:vAlign w:val="bottom"/>
            <w:shd w:val="clear" w:color="auto" w:fill="CFF0FC"/>
          </w:tcPr>
          <w:p>
            <w:pPr>
              <w:jc w:val="right"/>
              <w:ind w:right="628"/>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10</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448,455</w:t>
            </w:r>
          </w:p>
        </w:tc>
        <w:tc>
          <w:tcPr>
            <w:tcW w:w="100" w:type="dxa"/>
            <w:vAlign w:val="bottom"/>
            <w:shd w:val="clear" w:color="auto" w:fill="CFF0FC"/>
          </w:tcPr>
          <w:p>
            <w:pPr>
              <w:spacing w:after="0"/>
              <w:rPr>
                <w:sz w:val="22"/>
                <w:szCs w:val="22"/>
                <w:color w:val="auto"/>
              </w:rPr>
            </w:pPr>
          </w:p>
        </w:tc>
        <w:tc>
          <w:tcPr>
            <w:tcW w:w="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(477,614)</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(29,149)</w:t>
            </w:r>
          </w:p>
        </w:tc>
        <w:tc>
          <w:tcPr>
            <w:tcW w:w="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640" w:type="dxa"/>
            <w:vAlign w:val="bottom"/>
            <w:gridSpan w:val="3"/>
          </w:tcPr>
          <w:p>
            <w:pPr>
              <w:ind w:left="240"/>
              <w:spacing w:after="0" w:line="157" w:lineRule="exact"/>
              <w:rPr>
                <w:sz w:val="20"/>
                <w:szCs w:val="20"/>
                <w:color w:val="auto"/>
              </w:rPr>
            </w:pPr>
            <w:r>
              <w:rPr>
                <w:rFonts w:ascii="Arial" w:cs="Arial" w:eastAsia="Arial" w:hAnsi="Arial"/>
                <w:sz w:val="14"/>
                <w:szCs w:val="14"/>
                <w:color w:val="auto"/>
              </w:rPr>
              <w:t>Adjustment to retained earnings from adoption of ASC</w:t>
            </w: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gridSpan w:val="2"/>
          </w:tcPr>
          <w:p>
            <w:pPr>
              <w:ind w:left="280"/>
              <w:spacing w:after="0"/>
              <w:rPr>
                <w:sz w:val="20"/>
                <w:szCs w:val="20"/>
                <w:color w:val="auto"/>
              </w:rPr>
            </w:pPr>
            <w:r>
              <w:rPr>
                <w:rFonts w:ascii="Arial" w:cs="Arial" w:eastAsia="Arial" w:hAnsi="Arial"/>
                <w:sz w:val="14"/>
                <w:szCs w:val="14"/>
                <w:color w:val="auto"/>
              </w:rPr>
              <w:t>606</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150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FF0FC"/>
          </w:tcPr>
          <w:p>
            <w:pPr>
              <w:spacing w:after="0"/>
              <w:rPr>
                <w:sz w:val="14"/>
                <w:szCs w:val="14"/>
                <w:color w:val="auto"/>
              </w:rPr>
            </w:pPr>
          </w:p>
        </w:tc>
        <w:tc>
          <w:tcPr>
            <w:tcW w:w="364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Issuance of common stock in public offering, net of</w:t>
            </w: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FF0FC"/>
          </w:tcPr>
          <w:p>
            <w:pPr>
              <w:spacing w:after="0"/>
              <w:rPr>
                <w:sz w:val="16"/>
                <w:szCs w:val="16"/>
                <w:color w:val="auto"/>
              </w:rPr>
            </w:pPr>
          </w:p>
        </w:tc>
        <w:tc>
          <w:tcPr>
            <w:tcW w:w="364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underwriter’s discount and offering costs</w:t>
            </w: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38,535</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39</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172,890</w:t>
            </w: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172,929</w:t>
            </w:r>
          </w:p>
        </w:tc>
        <w:tc>
          <w:tcPr>
            <w:tcW w:w="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40" w:type="dxa"/>
            <w:vAlign w:val="bottom"/>
            <w:gridSpan w:val="3"/>
          </w:tcPr>
          <w:p>
            <w:pPr>
              <w:ind w:left="240"/>
              <w:spacing w:after="0"/>
              <w:rPr>
                <w:sz w:val="20"/>
                <w:szCs w:val="20"/>
                <w:color w:val="auto"/>
              </w:rPr>
            </w:pPr>
            <w:r>
              <w:rPr>
                <w:rFonts w:ascii="Arial" w:cs="Arial" w:eastAsia="Arial" w:hAnsi="Arial"/>
                <w:sz w:val="14"/>
                <w:szCs w:val="14"/>
                <w:color w:val="auto"/>
              </w:rPr>
              <w:t>Exercise of stock options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FF0FC"/>
          </w:tcPr>
          <w:p>
            <w:pPr>
              <w:spacing w:after="0"/>
              <w:rPr>
                <w:sz w:val="24"/>
                <w:szCs w:val="24"/>
                <w:color w:val="auto"/>
              </w:rPr>
            </w:pPr>
          </w:p>
        </w:tc>
        <w:tc>
          <w:tcPr>
            <w:tcW w:w="364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Exercise of common stock warrants</w:t>
            </w: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8,598</w:t>
            </w:r>
          </w:p>
        </w:tc>
        <w:tc>
          <w:tcPr>
            <w:tcW w:w="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29,552</w:t>
            </w:r>
          </w:p>
        </w:tc>
        <w:tc>
          <w:tcPr>
            <w:tcW w:w="1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38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1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29,560</w:t>
            </w:r>
          </w:p>
        </w:tc>
        <w:tc>
          <w:tcPr>
            <w:tcW w:w="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40" w:type="dxa"/>
            <w:vAlign w:val="bottom"/>
            <w:gridSpan w:val="3"/>
          </w:tcPr>
          <w:p>
            <w:pPr>
              <w:ind w:left="240"/>
              <w:spacing w:after="0"/>
              <w:rPr>
                <w:sz w:val="20"/>
                <w:szCs w:val="20"/>
                <w:color w:val="auto"/>
              </w:rPr>
            </w:pPr>
            <w:r>
              <w:rPr>
                <w:rFonts w:ascii="Arial" w:cs="Arial" w:eastAsia="Arial" w:hAnsi="Arial"/>
                <w:sz w:val="14"/>
                <w:szCs w:val="14"/>
                <w:color w:val="auto"/>
                <w:w w:val="97"/>
              </w:rPr>
              <w:t>Fair value of common stock warrants at time of exercise</w:t>
            </w:r>
          </w:p>
        </w:tc>
        <w:tc>
          <w:tcPr>
            <w:tcW w:w="11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53,831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53,831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FF0FC"/>
          </w:tcPr>
          <w:p>
            <w:pPr>
              <w:spacing w:after="0"/>
              <w:rPr>
                <w:sz w:val="24"/>
                <w:szCs w:val="24"/>
                <w:color w:val="auto"/>
              </w:rPr>
            </w:pPr>
          </w:p>
        </w:tc>
        <w:tc>
          <w:tcPr>
            <w:tcW w:w="364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Stock-based compensation</w:t>
            </w: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80</w:t>
            </w:r>
          </w:p>
        </w:tc>
        <w:tc>
          <w:tcPr>
            <w:tcW w:w="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13,950</w:t>
            </w:r>
          </w:p>
        </w:tc>
        <w:tc>
          <w:tcPr>
            <w:tcW w:w="1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38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1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13,950</w:t>
            </w:r>
          </w:p>
        </w:tc>
        <w:tc>
          <w:tcPr>
            <w:tcW w:w="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40" w:type="dxa"/>
            <w:vAlign w:val="bottom"/>
            <w:gridSpan w:val="3"/>
          </w:tcPr>
          <w:p>
            <w:pPr>
              <w:ind w:left="240"/>
              <w:spacing w:after="0"/>
              <w:rPr>
                <w:sz w:val="20"/>
                <w:szCs w:val="20"/>
                <w:color w:val="auto"/>
              </w:rPr>
            </w:pPr>
            <w:r>
              <w:rPr>
                <w:rFonts w:ascii="Arial" w:cs="Arial" w:eastAsia="Arial" w:hAnsi="Arial"/>
                <w:sz w:val="14"/>
                <w:szCs w:val="14"/>
                <w:color w:val="auto"/>
              </w:rPr>
              <w:t>Unrealized loss on short-term investments</w:t>
            </w:r>
          </w:p>
        </w:tc>
        <w:tc>
          <w:tcPr>
            <w:tcW w:w="11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FF0FC"/>
          </w:tcPr>
          <w:p>
            <w:pPr>
              <w:spacing w:after="0"/>
              <w:rPr>
                <w:sz w:val="23"/>
                <w:szCs w:val="23"/>
                <w:color w:val="auto"/>
              </w:rPr>
            </w:pPr>
          </w:p>
        </w:tc>
        <w:tc>
          <w:tcPr>
            <w:tcW w:w="36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Net loss</w:t>
            </w:r>
          </w:p>
        </w:tc>
        <w:tc>
          <w:tcPr>
            <w:tcW w:w="20" w:type="dxa"/>
            <w:vAlign w:val="bottom"/>
            <w:tcBorders>
              <w:bottom w:val="single" w:sz="8" w:color="auto"/>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FF0FC"/>
          </w:tcPr>
          <w:p>
            <w:pPr>
              <w:spacing w:after="0"/>
              <w:rPr>
                <w:sz w:val="23"/>
                <w:szCs w:val="23"/>
                <w:color w:val="auto"/>
              </w:rPr>
            </w:pPr>
          </w:p>
        </w:tc>
        <w:tc>
          <w:tcPr>
            <w:tcW w:w="20" w:type="dxa"/>
            <w:vAlign w:val="bottom"/>
            <w:tcBorders>
              <w:bottom w:val="single" w:sz="8" w:color="auto"/>
            </w:tcBorders>
            <w:shd w:val="clear" w:color="auto" w:fill="CFF0FC"/>
          </w:tcPr>
          <w:p>
            <w:pPr>
              <w:spacing w:after="0"/>
              <w:rPr>
                <w:sz w:val="23"/>
                <w:szCs w:val="23"/>
                <w:color w:val="auto"/>
              </w:rPr>
            </w:pPr>
          </w:p>
        </w:tc>
        <w:tc>
          <w:tcPr>
            <w:tcW w:w="780" w:type="dxa"/>
            <w:vAlign w:val="bottom"/>
            <w:tcBorders>
              <w:bottom w:val="single" w:sz="8" w:color="auto"/>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9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13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(126,299)</w:t>
            </w:r>
          </w:p>
        </w:tc>
        <w:tc>
          <w:tcPr>
            <w:tcW w:w="20" w:type="dxa"/>
            <w:vAlign w:val="bottom"/>
            <w:tcBorders>
              <w:bottom w:val="single" w:sz="8" w:color="auto"/>
            </w:tcBorders>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(126,299)</w:t>
            </w:r>
          </w:p>
        </w:tc>
        <w:tc>
          <w:tcPr>
            <w:tcW w:w="20" w:type="dxa"/>
            <w:vAlign w:val="bottom"/>
            <w:tcBorders>
              <w:bottom w:val="single" w:sz="8" w:color="auto"/>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80" w:type="dxa"/>
            <w:vAlign w:val="bottom"/>
            <w:gridSpan w:val="4"/>
          </w:tcPr>
          <w:p>
            <w:pPr>
              <w:ind w:left="40"/>
              <w:spacing w:after="0"/>
              <w:rPr>
                <w:sz w:val="20"/>
                <w:szCs w:val="20"/>
                <w:color w:val="auto"/>
              </w:rPr>
            </w:pPr>
            <w:r>
              <w:rPr>
                <w:rFonts w:ascii="Arial" w:cs="Arial" w:eastAsia="Arial" w:hAnsi="Arial"/>
                <w:sz w:val="14"/>
                <w:szCs w:val="14"/>
                <w:color w:val="auto"/>
              </w:rPr>
              <w:t>Balance at September 30, 2018</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57,364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jc w:val="right"/>
              <w:ind w:right="628"/>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w w:val="76"/>
              </w:rPr>
              <w:t>57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719,148</w:t>
            </w:r>
          </w:p>
        </w:tc>
        <w:tc>
          <w:tcPr>
            <w:tcW w:w="10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(603,763)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115,429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(27,405)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(126,299)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related to amortization of debt discount and 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Provision for allowance for doubtful accounts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inventories reserve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Change in fair value of common stock warrants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10,849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69,042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premium (discount) on short-term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39,386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13,427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Employee-related liabilities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rent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short-term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(100,550)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maturities of short-term investments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96,495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18,500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of short-term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(84,148)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payments on notes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(87,711)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public offering, net of offering costs</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172,929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common stock warrants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29,536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issuance of common stock under Company stock plans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17,462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115,227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Effect of foreign exchange rate changes on cash</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 and 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41,826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23,700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46,060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32,327</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Right-of-use assets obtained in exchange for operating lease obligations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11,445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 included in 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2,484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8890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-98425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125" w:right="239" w:bottom="651"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651"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TANDEM DIABETES CARE, INC.</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ind w:firstLine="1297"/>
        <w:spacing w:after="0" w:line="286" w:lineRule="auto"/>
        <w:rPr>
          <w:sz w:val="20"/>
          <w:szCs w:val="20"/>
          <w:color w:val="auto"/>
        </w:rPr>
      </w:pPr>
      <w:r>
        <w:rPr>
          <w:rFonts w:ascii="Arial" w:cs="Arial" w:eastAsia="Arial" w:hAnsi="Arial"/>
          <w:sz w:val="17"/>
          <w:szCs w:val="17"/>
          <w:color w:val="auto"/>
        </w:rPr>
        <w:t>Tandem Diabetes Care, Inc. is a medical device company with an innovative approach to the design, development and commercialization of products for people with insulin-dependent diabetes. The Company is incorporated in the state of Delaware. Unless the context requires otherwise, the terms the “Company” or “Tandem” refer to Tandem Diabetes Care, Inc., together with its wholly-owned subsidiary in Canada.</w:t>
      </w:r>
    </w:p>
    <w:p>
      <w:pPr>
        <w:spacing w:after="0" w:line="166" w:lineRule="exact"/>
        <w:rPr>
          <w:sz w:val="20"/>
          <w:szCs w:val="20"/>
          <w:color w:val="auto"/>
        </w:rPr>
      </w:pPr>
    </w:p>
    <w:p>
      <w:pPr>
        <w:ind w:right="60" w:firstLine="1297"/>
        <w:spacing w:after="0" w:line="271" w:lineRule="auto"/>
        <w:rPr>
          <w:sz w:val="20"/>
          <w:szCs w:val="20"/>
          <w:color w:val="auto"/>
        </w:rPr>
      </w:pPr>
      <w:r>
        <w:rPr>
          <w:rFonts w:ascii="Arial" w:cs="Arial" w:eastAsia="Arial" w:hAnsi="Arial"/>
          <w:sz w:val="17"/>
          <w:szCs w:val="17"/>
          <w:color w:val="auto"/>
        </w:rPr>
        <w:t>The Company manufactures, sells and supports insulin pump products that are designed to address the evolving needs and preferences of differentiated segments of the insulin-dependent diabetes market. The Company’s manufacturing, sales and support activities principally focus on the t:slim X2 Insulin Delivery System (t:slim X2), the Company’s flagship pump platform which is capable of remote feature updates and is designed to display continuous glucose monitoring (CGM) sensor information directly on the pump home screen. The Company’s insulin pump products are compatible with the Tandem Device Updater, a Mac and PC-compatible tool for the remote update of the Company's insulin pump software. The Company’s insulin pump products are generally considered durable medical equipment and have an expected lifespan of at least four years. In addition to insulin pumps, the Company sells disposable products that are used together with the pumps and are replaced every few days, including cartridges for storing and delivering insulin, and infusion sets that connect the insulin pump to a user’s body.</w:t>
      </w:r>
    </w:p>
    <w:p>
      <w:pPr>
        <w:spacing w:after="0" w:line="179" w:lineRule="exact"/>
        <w:rPr>
          <w:sz w:val="20"/>
          <w:szCs w:val="20"/>
          <w:color w:val="auto"/>
        </w:rPr>
      </w:pPr>
    </w:p>
    <w:p>
      <w:pPr>
        <w:ind w:right="40" w:firstLine="1297"/>
        <w:spacing w:after="0" w:line="272" w:lineRule="auto"/>
        <w:rPr>
          <w:sz w:val="20"/>
          <w:szCs w:val="20"/>
          <w:color w:val="auto"/>
        </w:rPr>
      </w:pPr>
      <w:r>
        <w:rPr>
          <w:rFonts w:ascii="Arial" w:cs="Arial" w:eastAsia="Arial" w:hAnsi="Arial"/>
          <w:sz w:val="17"/>
          <w:szCs w:val="17"/>
          <w:color w:val="auto"/>
        </w:rPr>
        <w:t>The Company began commercial sales of its first product, t:slim, in August 2012 and subsequently commercialized t:flex in May 2015, t:slim G4 in September 2015 and t:slim X2 in October 2016. The t:slim X2 hardware platform now represents 100% of new pump shipments, but the Company continues to provide ongoing service and support to existing t:slim, t:slim G4 and t:flex customers. In August 2017, the Company received approval from the United States Food and Drug Administration (FDA) for the integration of t:slim X2 with the Dexcom G5 Mobile CGM system. In June 2018, the Company received FDA approval for t:slim X2 with Basal-IQ technology, the Company’s first-generation Automated Insulin Delivery (AID) algorithm, and the first insulin pump designated as compatible with integrated CGM (known as iCGM) devices. The Company commenced commercial sales of t:slim X2 with Basal-IQ technology integrated with the Dexcom G6 CGM in August 2018.</w:t>
      </w:r>
    </w:p>
    <w:p>
      <w:pPr>
        <w:spacing w:after="0" w:line="178" w:lineRule="exact"/>
        <w:rPr>
          <w:sz w:val="20"/>
          <w:szCs w:val="20"/>
          <w:color w:val="auto"/>
        </w:rPr>
      </w:pPr>
    </w:p>
    <w:p>
      <w:pPr>
        <w:ind w:right="20" w:firstLine="1297"/>
        <w:spacing w:after="0" w:line="312" w:lineRule="auto"/>
        <w:rPr>
          <w:sz w:val="20"/>
          <w:szCs w:val="20"/>
          <w:color w:val="auto"/>
        </w:rPr>
      </w:pPr>
      <w:r>
        <w:rPr>
          <w:rFonts w:ascii="Arial" w:cs="Arial" w:eastAsia="Arial" w:hAnsi="Arial"/>
          <w:sz w:val="16"/>
          <w:szCs w:val="16"/>
          <w:color w:val="auto"/>
        </w:rPr>
        <w:t>During the third quarter of 2018, the Company commenced sales of the t:slim X2 with G5 integration through distribution partners in select European countries, in addition to Australia, New Zealand and South Africa. Direct sales efforts in Canada began in the fourth quarter of 2018. During the second quarter of 2019, the Company began selling the t:slim X2 with Basal-IQ technology in select geographies outside of the United States.</w:t>
      </w:r>
    </w:p>
    <w:p>
      <w:pPr>
        <w:spacing w:after="0" w:line="147" w:lineRule="exact"/>
        <w:rPr>
          <w:sz w:val="20"/>
          <w:szCs w:val="20"/>
          <w:color w:val="auto"/>
        </w:rPr>
      </w:pPr>
    </w:p>
    <w:p>
      <w:pPr>
        <w:ind w:right="220" w:firstLine="1297"/>
        <w:spacing w:after="0" w:line="279" w:lineRule="auto"/>
        <w:rPr>
          <w:sz w:val="20"/>
          <w:szCs w:val="20"/>
          <w:color w:val="auto"/>
        </w:rPr>
      </w:pPr>
      <w:r>
        <w:rPr>
          <w:rFonts w:ascii="Arial" w:cs="Arial" w:eastAsia="Arial" w:hAnsi="Arial"/>
          <w:sz w:val="17"/>
          <w:szCs w:val="17"/>
          <w:color w:val="auto"/>
        </w:rPr>
        <w:t>As of September 30, 2019, the Company had $156.9 million in cash, cash equivalents and short-term investments. The Company has incurred operating losses since its inception and had an accumulated deficit of $627.5 million as of September 30, 2019, which included a net loss of $27.4 million for the nine months ended September 30, 2019. Management believes that the cash, cash equivalents and short-term investments on hand will be sufficient to satisfy the Company’s liquidity requirements for at least the next 12 months from the date of this filing.</w:t>
      </w:r>
    </w:p>
    <w:p>
      <w:pPr>
        <w:spacing w:after="0" w:line="171" w:lineRule="exact"/>
        <w:rPr>
          <w:sz w:val="20"/>
          <w:szCs w:val="20"/>
          <w:color w:val="auto"/>
        </w:rPr>
      </w:pPr>
    </w:p>
    <w:p>
      <w:pPr>
        <w:ind w:right="120" w:firstLine="1297"/>
        <w:spacing w:after="0" w:line="255" w:lineRule="auto"/>
        <w:rPr>
          <w:sz w:val="20"/>
          <w:szCs w:val="20"/>
          <w:color w:val="auto"/>
        </w:rPr>
      </w:pPr>
      <w:r>
        <w:rPr>
          <w:rFonts w:ascii="Arial" w:cs="Arial" w:eastAsia="Arial" w:hAnsi="Arial"/>
          <w:sz w:val="18"/>
          <w:szCs w:val="18"/>
          <w:color w:val="auto"/>
        </w:rPr>
        <w:t>The Company’s ability to execute on its business strategy, meet its future liquidity requirements, and achieve and maintain profitable operations, is dependent on a number of factors, including its ability to continue to gain market acceptance of its products and achieve a level of revenues adequate to support its cost structure, achieve renewal pump sales objectives, develop and launch new products, expand the commercialization of products into new international markets, maximize manufacturing efficiencies, satisfy increasing production requirements, leverage the investments made in its sales, clinical, marketing and customer support organizations, and operate its business and manufacture and sell products without infringing on third party intellectual property rights.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The Company has funded its operations primarily through private and public offerings of equity securities, and through debt financing which has since been fully repaid. The Company may in the future seek additional capital from public or private offerings of equity or debt securities, or it may elect to borrow capital under new credit arrangements or from other sources. If the Company issues equity or debt securities to raise additional funds, its existing stockholders may experience dilution, it may incur significant financing or debt service costs, and the new equity or debt securities may have rights, preferences and privileges senior to those of its existing stockholders. There can be no assurance that equity or debt financing will be available on acceptable terms, or at all.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0" w:firstLine="1297"/>
        <w:spacing w:after="0" w:line="257" w:lineRule="auto"/>
        <w:rPr>
          <w:sz w:val="20"/>
          <w:szCs w:val="20"/>
          <w:color w:val="auto"/>
        </w:rPr>
      </w:pPr>
      <w:r>
        <w:rPr>
          <w:rFonts w:ascii="Arial" w:cs="Arial" w:eastAsia="Arial" w:hAnsi="Arial"/>
          <w:sz w:val="18"/>
          <w:szCs w:val="18"/>
          <w:color w:val="auto"/>
        </w:rPr>
        <w:t>The Company has prepared the accompanying unaudited condensed consolidated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considered necessary for a fair presentation of the financial information contained herein, have been included.</w:t>
      </w:r>
    </w:p>
    <w:p>
      <w:pPr>
        <w:spacing w:after="0" w:line="188"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Interim financial results are not necessarily indicative of results anticipated for the full year or any other period(s). These unaudited condensed consolidated financial statements should be read in conjunction with the Company’s audited consolidated financial statements and accompanying notes included in the Company’s Annual Report on Form 10-K for the year ended December 31, 2018 (Annual Report), from which the balance sheet information herein was derived.</w:t>
      </w:r>
    </w:p>
    <w:p>
      <w:pPr>
        <w:spacing w:after="0" w:line="187"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Tandem Diabetes Care, Inc. and its wholly owned subsidiary in Canada. All significant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There have been no material changes to the Company's significant accounting policies during the nine months ended September 30, 2019, as compared to those disclosed in the Annual Report other than adoption of the new lease accounting standard effective January 1, 2019 (See Note 6, “Leases”).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judgments that affect the reported amounts of assets, liabilities, revenues and expenses and the disclosure of contingent assets and liabilities in the Company’s consolidated financial statements and accompanying notes as of the date of the consolidated financial statements. Some of those judgments can be subjective and complex, and therefore, actual results could differ materially from those estimates under different assumptions or conditions.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Operating segments are identified as components of an enterprise about which discrete financial information is available for evaluation by the chief operating decision-maker (CODM) in making decisions regarding resource allocation and assessing performance. The Company’s current product offering consists primarily of insulin pumps, disposable cartridges and infusion sets for the storage and delivery of insulin. The Company views its operations and manages its business as one segment as key operating decisions and resource allocations are made by the CODM using consolidated financial data.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The Company grants credit to various customers in the ordinary course of business and is paid directly by customers who use the products, distributors and third-party insurance payors. The Company maintains an allowance for doubtful accounts for potential credit losses. Provisions are made based on historical experience, assessment of specific risk, review of outstanding invoices, and various assumptions and estimates that are believed to be reasonable under the circumstances. Uncollectible accounts are written off against the allowance after appropriate collection efforts have been exhausted and when it is deemed that a balance is uncollectible.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20" w:firstLine="1297"/>
        <w:spacing w:after="0" w:line="297" w:lineRule="auto"/>
        <w:rPr>
          <w:sz w:val="20"/>
          <w:szCs w:val="20"/>
          <w:color w:val="auto"/>
        </w:rPr>
      </w:pPr>
      <w:r>
        <w:rPr>
          <w:rFonts w:ascii="Arial" w:cs="Arial" w:eastAsia="Arial" w:hAnsi="Arial"/>
          <w:sz w:val="16"/>
          <w:szCs w:val="16"/>
          <w:color w:val="auto"/>
        </w:rPr>
        <w:t>The Company believes 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 The Company believes the fair value of its operating lease liabilities at September 30, 2019 approximated their carrying value, based on the borrowing rates that were available for loans with similar terms as of that date. The estimated fair value of certain of the Company’s common stock warrants was determined using a Black-Scholes pricing model as of September 30, 2019 and December 31, 2018 (see Note 5, “Fair Value Measurements”).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Revenue is generated primarily from sales of insulin pumps, disposable cartridges and infusion sets to individual customers and third-party distributors that resell the products to insulin-dependent diabetes customers.</w:t>
      </w:r>
    </w:p>
    <w:p>
      <w:pPr>
        <w:spacing w:after="0" w:line="170"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In January 2018, the Company adopted the Revenue from Contracts with Customers Standard which superseded existing revenue guidance under U.S. GAAP and International Financial Reporting Standards. Pursuant to the Revenue from Contracts with Customers Standard’s core principle, subsequent to January 1, 2018, the Company recognizes revenue when it transfers promised goods or services to customers in an amount that reflects the consideration to which the Company expects to be entitled in exchange for those goods or services. The Company elected to implement this new standard utilizing the modified retrospective method. Under this approach, the Company applied the new standard to all new contracts initiated on or after the effective date, and for contracts which had remaining obligations as of the effective date the Company recorded an adjustment to the opening balance of accumulated deficit. The accounting for the significant majority of the Company’s revenues was not impacted by the new guidance. On January 1, 2018, the Company recorded a net reduction to accumulated deficit in the amount of $149,000, to reflect the impact of the accounting change. Prior to the implementation of this new standard, revenue was recognized when persuasive evidence of an arrangement existed, delivery had occurred and title passed, the price was fixed or determinable, and collectability was reasonably assured.</w:t>
      </w:r>
    </w:p>
    <w:p>
      <w:pPr>
        <w:spacing w:after="0" w:line="178"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The Company considers the individual deliverables in its product offering as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is upon delivery, while access to the complementary products, such as the t:connect cloud-based data management application and the Tandem Device Updater, are considered performance obligations satisfied over the typical four-year warranty period of the insulin pumps. There is no standalone value for these complementary products. Therefore, the Company determines their value by applying the expected cost plus a margin approach and then allocates the residual to the insulin pumps. At September 30, 2019 and December 31, 2018, $7.6 million and $3.8 million, respectively, were recorded as deferred revenue for these performance obligations that are satisfied over time.</w:t>
      </w:r>
    </w:p>
    <w:p>
      <w:pPr>
        <w:spacing w:after="0" w:line="178" w:lineRule="exact"/>
        <w:rPr>
          <w:sz w:val="20"/>
          <w:szCs w:val="20"/>
          <w:color w:val="auto"/>
        </w:rPr>
      </w:pPr>
    </w:p>
    <w:p>
      <w:pPr>
        <w:ind w:right="40" w:firstLine="1297"/>
        <w:spacing w:after="0" w:line="294" w:lineRule="auto"/>
        <w:rPr>
          <w:sz w:val="20"/>
          <w:szCs w:val="20"/>
          <w:color w:val="auto"/>
        </w:rPr>
      </w:pPr>
      <w:r>
        <w:rPr>
          <w:rFonts w:ascii="Arial" w:cs="Arial" w:eastAsia="Arial" w:hAnsi="Arial"/>
          <w:sz w:val="16"/>
          <w:szCs w:val="16"/>
          <w:color w:val="auto"/>
        </w:rPr>
        <w:t>Additionally, the Company offers a 30-day right of return to its customers from the date of shipment of any of its insulin pumps, provided a physician’s confirmation of the medical reason for the return is received. Estimated allowances for sales returns are based on historical returned quantities as compared to pump shipments in those same periods of return. The return rate is then applied to the sales of the current period to establish a reserve at the end of the period. The return rates used in the reserve are adjusted for known or expected changes in the marketplace when appropriate. The allowance for sales returns is recorded as a reduction of revenue and an increase in deferred revenue in the period in which the related sale is recorded. The amount recorded on the Company’s balance sheets for allowance for sales returns was $0.2 million and $0.3 million at September 30, 2019 and December 31, 2018, respectively. Actual product returns have not differed materially from estimated amounts reserved in the accompanying condensed consolidated financial statements.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225" w:lineRule="exact"/>
        <w:rPr>
          <w:sz w:val="20"/>
          <w:szCs w:val="20"/>
          <w:color w:val="auto"/>
        </w:rPr>
      </w:pPr>
    </w:p>
    <w:p>
      <w:pPr>
        <w:ind w:right="220" w:firstLine="1297"/>
        <w:spacing w:after="0" w:line="273" w:lineRule="auto"/>
        <w:rPr>
          <w:sz w:val="20"/>
          <w:szCs w:val="20"/>
          <w:color w:val="auto"/>
        </w:rPr>
      </w:pPr>
      <w:r>
        <w:rPr>
          <w:rFonts w:ascii="Arial" w:cs="Arial" w:eastAsia="Arial" w:hAnsi="Arial"/>
          <w:sz w:val="17"/>
          <w:szCs w:val="17"/>
          <w:color w:val="auto"/>
        </w:rPr>
        <w:t>The Company generally provides a four-year warranty on its insulin pumps to end user customers and may replace any pumps that do not function in accordance with the product specifications. Insulin pumps returned to the Company may be refurbished and redeployed. Additionally, the Company offers a six-month warranty on disposable cartridges and infusion sets. Estimated warranty costs are recorded at the time of shipment. Warranty costs are estimated based on the current expected product replacement cost and expected replacement rates based on historical experience. The Company evaluates the reserve quarterly and makes adjustments when appropriate. Changes to the actual replacement rates or the expected product replacement cost could have a material impact on the Company’s estimated warranty reserve.</w:t>
      </w:r>
    </w:p>
    <w:p>
      <w:pPr>
        <w:spacing w:after="0" w:line="178" w:lineRule="exact"/>
        <w:rPr>
          <w:sz w:val="20"/>
          <w:szCs w:val="20"/>
          <w:color w:val="auto"/>
        </w:rPr>
      </w:pPr>
    </w:p>
    <w:p>
      <w:pPr>
        <w:ind w:right="280" w:firstLine="1297"/>
        <w:spacing w:after="0" w:line="342" w:lineRule="auto"/>
        <w:rPr>
          <w:sz w:val="20"/>
          <w:szCs w:val="20"/>
          <w:color w:val="auto"/>
        </w:rPr>
      </w:pPr>
      <w:r>
        <w:rPr>
          <w:rFonts w:ascii="Arial" w:cs="Arial" w:eastAsia="Arial" w:hAnsi="Arial"/>
          <w:sz w:val="16"/>
          <w:szCs w:val="16"/>
          <w:color w:val="auto"/>
        </w:rPr>
        <w:t>As of September 30, 2019 and December 31, 2018, the warranty reserve was $16.1 million and $9.1 million, respectively. The following table provides a reconciliation of the change in product warranty liabilities from December 31, 2018 through September 30, 2019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9,138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Provision for warranties issued during the period</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13,790</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made during the period</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Increases in warranty estimates</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607</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9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Non-current portion</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10,129</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16,092</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00" w:firstLine="1297"/>
        <w:spacing w:after="0" w:line="272" w:lineRule="auto"/>
        <w:rPr>
          <w:sz w:val="20"/>
          <w:szCs w:val="20"/>
          <w:color w:val="auto"/>
        </w:rPr>
      </w:pPr>
      <w:r>
        <w:rPr>
          <w:rFonts w:ascii="Arial" w:cs="Arial" w:eastAsia="Arial" w:hAnsi="Arial"/>
          <w:sz w:val="17"/>
          <w:szCs w:val="17"/>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Amended and Restated 2013 Stock Incentive Plan (2013 Plan), and the fair value of the employees’ purchase rights under the Company’s 2013 Employee Stock Purchase Plan (ESPP), using the Black-Scholes option-pricing model on the date of grant. The Black-Scholes option-pricing model requires the use of assumptions about a number of variables, including stock price volatility, expected term, dividend yield and risk-free interest rate. For awards that vest based on the achievement of service conditions, the Company recognizes expense using the straight-line method less estimated forfeitures based on historical experience.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140" w:firstLine="1297"/>
        <w:spacing w:after="0" w:line="287" w:lineRule="auto"/>
        <w:rPr>
          <w:sz w:val="20"/>
          <w:szCs w:val="20"/>
          <w:color w:val="auto"/>
        </w:rPr>
      </w:pPr>
      <w:r>
        <w:rPr>
          <w:rFonts w:ascii="Arial" w:cs="Arial" w:eastAsia="Arial" w:hAnsi="Arial"/>
          <w:sz w:val="16"/>
          <w:szCs w:val="16"/>
          <w:color w:val="auto"/>
        </w:rPr>
        <w:t>Basic net loss per share is calculated by dividing the net loss by the weighted average number of shares of common stock that were outstanding for the period, without consideration of common stock equivalents. Diluted net loss per share is calculated in accordance with the treasury stock method and reflects the potential dilution that would occur if outstanding securities or other contracts to issue common stock were exercised or converted to common stock. Dilutive common stock equivalents are comprised of warrants, potential awards granted pursuant to the ESPP, and stock options outstanding under the Company’s equity incentive plans. For warrants that are recorded as a liability in the accompanying balance sheets, the calculation of diluted net loss per share requires that, to the extent the average market price of the underlying shares for the reporting period exceeds the exercise price of the warrants and the presumed exercise of the warrants is dilutive to loss per share for the period, an adjustment be made to net loss used in the calculation to remove the change in fair value of the warrants from the numerator for the period. Likewise, an adjustment to the denominator is required to reflect the related dilutive shares, if any, under the treasury stock method. For all periods presented other than the three months ended September 30, 2019, there is no difference in the number of shares used to calculate basic and diluted shares outstanding due to the Company’s net loss position. For the three months ended September 30, 2019, the net loss used in the calculation of diluted net loss per share was increased by $2.3 million to remove the decrease in fair value of common stock warrants based on the dilutive effect of assumed exercise, and the denominator was increased by 394,433 shares calculated under the treasury stock method.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inclusion would be anti-dilutive) are as follows (in thousands, in common stock equivalent shares):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3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214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980" w:type="dxa"/>
            <w:vAlign w:val="bottom"/>
          </w:tcPr>
          <w:p>
            <w:pPr>
              <w:spacing w:after="0"/>
              <w:rPr>
                <w:sz w:val="16"/>
                <w:szCs w:val="16"/>
                <w:color w:val="auto"/>
              </w:rPr>
            </w:pPr>
          </w:p>
        </w:tc>
        <w:tc>
          <w:tcPr>
            <w:tcW w:w="23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c>
          <w:tcPr>
            <w:tcW w:w="214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8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to purchase common stock</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Options to purchase common stock</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6,234</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5,155</w:t>
            </w:r>
          </w:p>
        </w:tc>
        <w:tc>
          <w:tcPr>
            <w:tcW w:w="10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5,868</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3,031</w:t>
            </w:r>
          </w:p>
        </w:tc>
      </w:tr>
      <w:tr>
        <w:trPr>
          <w:trHeight w:val="27"/>
        </w:trPr>
        <w:tc>
          <w:tcPr>
            <w:tcW w:w="6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granted under the ESPP</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r>
      <w:tr>
        <w:trPr>
          <w:trHeight w:val="237"/>
        </w:trPr>
        <w:tc>
          <w:tcPr>
            <w:tcW w:w="6980" w:type="dxa"/>
            <w:vAlign w:val="bottom"/>
          </w:tcPr>
          <w:p>
            <w:pPr>
              <w:spacing w:after="0"/>
              <w:rPr>
                <w:sz w:val="20"/>
                <w:szCs w:val="20"/>
                <w:color w:val="auto"/>
              </w:rPr>
            </w:pPr>
          </w:p>
        </w:tc>
        <w:tc>
          <w:tcPr>
            <w:tcW w:w="10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6,661</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5,926</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6,623</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3,765</w:t>
            </w:r>
          </w:p>
        </w:tc>
      </w:tr>
      <w:tr>
        <w:trPr>
          <w:trHeight w:val="27"/>
        </w:trPr>
        <w:tc>
          <w:tcPr>
            <w:tcW w:w="69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No. 2016-13,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 Credit Losses (Topic 326): Measurement of Credit Losses on Financial Instruments, </w:t>
      </w:r>
      <w:r>
        <w:rPr>
          <w:rFonts w:ascii="Arial" w:cs="Arial" w:eastAsia="Arial" w:hAnsi="Arial"/>
          <w:sz w:val="17"/>
          <w:szCs w:val="17"/>
          <w:color w:val="auto"/>
        </w:rPr>
        <w:t>which modifies the measurement and recognition of credit</w:t>
      </w:r>
      <w:r>
        <w:rPr>
          <w:rFonts w:ascii="Arial" w:cs="Arial" w:eastAsia="Arial" w:hAnsi="Arial"/>
          <w:sz w:val="17"/>
          <w:szCs w:val="17"/>
          <w:i w:val="1"/>
          <w:iCs w:val="1"/>
          <w:color w:val="auto"/>
        </w:rPr>
        <w:t xml:space="preserve"> </w:t>
      </w:r>
      <w:r>
        <w:rPr>
          <w:rFonts w:ascii="Arial" w:cs="Arial" w:eastAsia="Arial" w:hAnsi="Arial"/>
          <w:sz w:val="17"/>
          <w:szCs w:val="17"/>
          <w:color w:val="auto"/>
        </w:rPr>
        <w:t>losses for most financial assets and certain other instruments. The new standard requires the use of forward-looking expected credit loss models based on historical experience, current conditions, and reasonable and supportable forecasts that affect the collectability of the reported amount, which may result in earlier recognition of credit losses under the new standard. The new standard also requires that credit losses related to available-for-sale debt securities be recorded as an allowance through net income (loss) rather than reducing the carrying amount under the current, other-than-temporary-impairment model. The standard is effective for public business entities for annual periods beginning after December 15, 2019, and interim periods within those years. The Company plans to implement the new standard in the first quarter of 2020, and is in the process of reviewing its credit loss models to assess the impact of the adoption of the standard on its consolidated financial statements.</w:t>
      </w:r>
    </w:p>
    <w:p>
      <w:pPr>
        <w:spacing w:after="0" w:line="182" w:lineRule="exact"/>
        <w:rPr>
          <w:sz w:val="20"/>
          <w:szCs w:val="20"/>
          <w:color w:val="auto"/>
        </w:rPr>
      </w:pPr>
    </w:p>
    <w:p>
      <w:pPr>
        <w:ind w:right="240" w:firstLine="1297"/>
        <w:spacing w:after="0" w:line="271"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Disclosure Framework – 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which adds and modifies certain disclosure requirements for fair value measurements. Under the new</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entities will no longer 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The updated guidance is effective for annual periods beginning after December 15, 2019, and interim periods within those periods, with early adoption permitted. The Company is in the process of assessing the impact of the adoption of the updated guidance on its consolidated financial statements, as well as whether to early adopt the new standard.</w:t>
      </w:r>
    </w:p>
    <w:p>
      <w:pPr>
        <w:spacing w:after="0" w:line="179" w:lineRule="exact"/>
        <w:rPr>
          <w:sz w:val="20"/>
          <w:szCs w:val="20"/>
          <w:color w:val="auto"/>
        </w:rPr>
      </w:pPr>
    </w:p>
    <w:p>
      <w:pPr>
        <w:ind w:right="80" w:firstLine="1297"/>
        <w:spacing w:after="0" w:line="272"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Customer's Accounting for Implementation Costs Incurred in a Cloud Computing</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 That Is a Service Contract</w:t>
      </w:r>
      <w:r>
        <w:rPr>
          <w:rFonts w:ascii="Arial" w:cs="Arial" w:eastAsia="Arial" w:hAnsi="Arial"/>
          <w:sz w:val="17"/>
          <w:szCs w:val="17"/>
          <w:color w:val="auto"/>
        </w:rPr>
        <w:t>, which changes the accounting for implementation costs incurred in a cloud computing arrangement that is a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The updated guidance aligns the requirements for capitalizing implementation costs incurred in a hosting arrangement with the requirements for capitalizing implementation costs incurred to develop or obtain internal-use software. The implementation costs should be presented as a prepaid asset on the balance sheets and expensed over the term of the hosting arrangement. The updated guidance is effective for annual periods beginning after December 15, 2019, and interim periods within those periods, with early adoption permitted. The Company is in the process of assessing the impact of the adoption of the updated guidance on its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Short-Term Investments</w:t>
      </w:r>
    </w:p>
    <w:p>
      <w:pPr>
        <w:spacing w:after="0" w:line="229"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The Company invests in marketable securities, principally debt instruments of the U.S. Government, and financial institutions and corporations with strong credit ratings. The following represents a summary of the estimated fair value of short-term investments as of September 30, 2019 and December 31, 2018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At September 30, 2019</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2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Gross Unrealized</w:t>
            </w: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58"/>
        </w:trPr>
        <w:tc>
          <w:tcPr>
            <w:tcW w:w="4120" w:type="dxa"/>
            <w:vAlign w:val="bottom"/>
            <w:gridSpan w:val="4"/>
            <w:vMerge w:val="continue"/>
          </w:tcPr>
          <w:p>
            <w:pPr>
              <w:spacing w:after="0"/>
              <w:rPr>
                <w:sz w:val="13"/>
                <w:szCs w:val="13"/>
                <w:color w:val="auto"/>
              </w:rPr>
            </w:pPr>
          </w:p>
        </w:tc>
        <w:tc>
          <w:tcPr>
            <w:tcW w:w="15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3"/>
                <w:szCs w:val="13"/>
                <w:color w:val="auto"/>
              </w:rPr>
            </w:pPr>
          </w:p>
        </w:tc>
        <w:tc>
          <w:tcPr>
            <w:tcW w:w="12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Gain</w:t>
            </w: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3"/>
                <w:szCs w:val="13"/>
                <w:color w:val="auto"/>
              </w:rPr>
            </w:pPr>
          </w:p>
        </w:tc>
        <w:tc>
          <w:tcPr>
            <w:tcW w:w="112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FF0FC"/>
            </w:tcBorders>
          </w:tcPr>
          <w:p>
            <w:pPr>
              <w:spacing w:after="0" w:line="20" w:lineRule="exact"/>
              <w:rPr>
                <w:sz w:val="1"/>
                <w:szCs w:val="1"/>
                <w:color w:val="auto"/>
              </w:rPr>
            </w:pPr>
          </w:p>
        </w:tc>
        <w:tc>
          <w:tcPr>
            <w:tcW w:w="1340" w:type="dxa"/>
            <w:vAlign w:val="bottom"/>
            <w:tcBorders>
              <w:top w:val="single" w:sz="8" w:color="auto"/>
              <w:bottom w:val="single" w:sz="8" w:color="CFF0FC"/>
            </w:tcBorders>
          </w:tcPr>
          <w:p>
            <w:pPr>
              <w:spacing w:after="0" w:line="20" w:lineRule="exact"/>
              <w:rPr>
                <w:sz w:val="1"/>
                <w:szCs w:val="1"/>
                <w:color w:val="auto"/>
              </w:rPr>
            </w:pPr>
          </w:p>
        </w:tc>
        <w:tc>
          <w:tcPr>
            <w:tcW w:w="40" w:type="dxa"/>
            <w:vAlign w:val="bottom"/>
            <w:tcBorders>
              <w:top w:val="single" w:sz="8" w:color="auto"/>
              <w:bottom w:val="single" w:sz="8" w:color="CFF0FC"/>
            </w:tcBorders>
          </w:tcPr>
          <w:p>
            <w:pPr>
              <w:spacing w:after="0" w:line="20" w:lineRule="exact"/>
              <w:rPr>
                <w:sz w:val="1"/>
                <w:szCs w:val="1"/>
                <w:color w:val="auto"/>
              </w:rPr>
            </w:pPr>
          </w:p>
        </w:tc>
        <w:tc>
          <w:tcPr>
            <w:tcW w:w="2700" w:type="dxa"/>
            <w:vAlign w:val="bottom"/>
            <w:tcBorders>
              <w:bottom w:val="single" w:sz="8" w:color="CFF0FC"/>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FF0FC"/>
            </w:tcBorders>
            <w:gridSpan w:val="4"/>
            <w:shd w:val="clear" w:color="auto" w:fill="CFF0FC"/>
          </w:tcPr>
          <w:p>
            <w:pPr>
              <w:ind w:left="40"/>
              <w:spacing w:after="0"/>
              <w:rPr>
                <w:sz w:val="20"/>
                <w:szCs w:val="20"/>
                <w:color w:val="auto"/>
              </w:rPr>
            </w:pPr>
            <w:r>
              <w:rPr>
                <w:rFonts w:ascii="Arial" w:cs="Arial" w:eastAsia="Arial" w:hAnsi="Arial"/>
                <w:sz w:val="18"/>
                <w:szCs w:val="18"/>
                <w:color w:val="auto"/>
              </w:rPr>
              <w:t>Available-for-sale securities:</w:t>
            </w:r>
          </w:p>
        </w:tc>
        <w:tc>
          <w:tcPr>
            <w:tcW w:w="13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3"/>
          </w:tcPr>
          <w:p>
            <w:pPr>
              <w:ind w:left="140"/>
              <w:spacing w:after="0"/>
              <w:rPr>
                <w:sz w:val="20"/>
                <w:szCs w:val="20"/>
                <w:color w:val="auto"/>
              </w:rPr>
            </w:pPr>
            <w:r>
              <w:rPr>
                <w:rFonts w:ascii="Arial" w:cs="Arial" w:eastAsia="Arial" w:hAnsi="Arial"/>
                <w:sz w:val="18"/>
                <w:szCs w:val="18"/>
                <w:color w:val="auto"/>
              </w:rPr>
              <w:t>Commercial paper</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Less than 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24,997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25,004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FF0FC"/>
            </w:tcBorders>
            <w:shd w:val="clear" w:color="auto" w:fill="CFF0FC"/>
          </w:tcPr>
          <w:p>
            <w:pPr>
              <w:spacing w:after="0"/>
              <w:rPr>
                <w:sz w:val="21"/>
                <w:szCs w:val="21"/>
                <w:color w:val="auto"/>
              </w:rPr>
            </w:pPr>
          </w:p>
        </w:tc>
        <w:tc>
          <w:tcPr>
            <w:tcW w:w="408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U.S. Government-sponsored enterprise</w:t>
            </w:r>
          </w:p>
        </w:tc>
        <w:tc>
          <w:tcPr>
            <w:tcW w:w="1500" w:type="dxa"/>
            <w:vAlign w:val="bottom"/>
            <w:tcBorders>
              <w:bottom w:val="single" w:sz="8" w:color="CFF0FC"/>
            </w:tcBorders>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Less than 2</w:t>
            </w: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21,830</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21,835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3"/>
          </w:tcPr>
          <w:p>
            <w:pPr>
              <w:ind w:left="140"/>
              <w:spacing w:after="0"/>
              <w:rPr>
                <w:sz w:val="20"/>
                <w:szCs w:val="20"/>
                <w:color w:val="auto"/>
              </w:rPr>
            </w:pPr>
            <w:r>
              <w:rPr>
                <w:rFonts w:ascii="Arial" w:cs="Arial" w:eastAsia="Arial" w:hAnsi="Arial"/>
                <w:sz w:val="18"/>
                <w:szCs w:val="18"/>
                <w:color w:val="auto"/>
              </w:rPr>
              <w:t>U.S. Treasury securities</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Less than 1</w:t>
            </w:r>
          </w:p>
        </w:tc>
        <w:tc>
          <w:tcPr>
            <w:tcW w:w="2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12,710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12,728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FF0FC"/>
            </w:tcBorders>
            <w:shd w:val="clear" w:color="auto" w:fill="CFF0FC"/>
          </w:tcPr>
          <w:p>
            <w:pPr>
              <w:spacing w:after="0"/>
              <w:rPr>
                <w:sz w:val="23"/>
                <w:szCs w:val="23"/>
                <w:color w:val="auto"/>
              </w:rPr>
            </w:pPr>
          </w:p>
        </w:tc>
        <w:tc>
          <w:tcPr>
            <w:tcW w:w="408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Corporate debt securities</w:t>
            </w:r>
          </w:p>
        </w:tc>
        <w:tc>
          <w:tcPr>
            <w:tcW w:w="1500" w:type="dxa"/>
            <w:vAlign w:val="bottom"/>
            <w:tcBorders>
              <w:bottom w:val="single" w:sz="8" w:color="CFF0FC"/>
            </w:tcBorders>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Less than 2</w:t>
            </w:r>
          </w:p>
        </w:tc>
        <w:tc>
          <w:tcPr>
            <w:tcW w:w="2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51,242</w:t>
            </w:r>
          </w:p>
        </w:tc>
        <w:tc>
          <w:tcPr>
            <w:tcW w:w="1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51,320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110,779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110,887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1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At December 31, 2018</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24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24"/>
                <w:szCs w:val="24"/>
                <w:color w:val="auto"/>
              </w:rPr>
            </w:pPr>
          </w:p>
        </w:tc>
        <w:tc>
          <w:tcPr>
            <w:tcW w:w="1120" w:type="dxa"/>
            <w:vAlign w:val="bottom"/>
          </w:tcPr>
          <w:p>
            <w:pPr>
              <w:ind w:lef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58"/>
        </w:trPr>
        <w:tc>
          <w:tcPr>
            <w:tcW w:w="4120" w:type="dxa"/>
            <w:vAlign w:val="bottom"/>
            <w:gridSpan w:val="4"/>
            <w:vMerge w:val="continue"/>
          </w:tcPr>
          <w:p>
            <w:pPr>
              <w:spacing w:after="0"/>
              <w:rPr>
                <w:sz w:val="13"/>
                <w:szCs w:val="13"/>
                <w:color w:val="auto"/>
              </w:rPr>
            </w:pPr>
          </w:p>
        </w:tc>
        <w:tc>
          <w:tcPr>
            <w:tcW w:w="15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3"/>
                <w:szCs w:val="13"/>
                <w:color w:val="auto"/>
              </w:rPr>
            </w:pPr>
          </w:p>
        </w:tc>
        <w:tc>
          <w:tcPr>
            <w:tcW w:w="12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Gain</w:t>
            </w: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3"/>
                <w:szCs w:val="13"/>
                <w:color w:val="auto"/>
              </w:rPr>
            </w:pPr>
          </w:p>
        </w:tc>
        <w:tc>
          <w:tcPr>
            <w:tcW w:w="112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FF0FC"/>
            </w:tcBorders>
          </w:tcPr>
          <w:p>
            <w:pPr>
              <w:spacing w:after="0" w:line="20" w:lineRule="exact"/>
              <w:rPr>
                <w:sz w:val="1"/>
                <w:szCs w:val="1"/>
                <w:color w:val="auto"/>
              </w:rPr>
            </w:pPr>
          </w:p>
        </w:tc>
        <w:tc>
          <w:tcPr>
            <w:tcW w:w="1340" w:type="dxa"/>
            <w:vAlign w:val="bottom"/>
            <w:tcBorders>
              <w:top w:val="single" w:sz="8" w:color="auto"/>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2700" w:type="dxa"/>
            <w:vAlign w:val="bottom"/>
            <w:tcBorders>
              <w:bottom w:val="single" w:sz="8" w:color="CFF0FC"/>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FF0FC"/>
            </w:tcBorders>
            <w:gridSpan w:val="4"/>
            <w:shd w:val="clear" w:color="auto" w:fill="CFF0FC"/>
          </w:tcPr>
          <w:p>
            <w:pPr>
              <w:ind w:left="40"/>
              <w:spacing w:after="0"/>
              <w:rPr>
                <w:sz w:val="20"/>
                <w:szCs w:val="20"/>
                <w:color w:val="auto"/>
              </w:rPr>
            </w:pPr>
            <w:r>
              <w:rPr>
                <w:rFonts w:ascii="Arial" w:cs="Arial" w:eastAsia="Arial" w:hAnsi="Arial"/>
                <w:sz w:val="18"/>
                <w:szCs w:val="18"/>
                <w:color w:val="auto"/>
              </w:rPr>
              <w:t>Available-for-sale securities:</w:t>
            </w:r>
          </w:p>
        </w:tc>
        <w:tc>
          <w:tcPr>
            <w:tcW w:w="13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3"/>
          </w:tcPr>
          <w:p>
            <w:pPr>
              <w:ind w:left="140"/>
              <w:spacing w:after="0"/>
              <w:rPr>
                <w:sz w:val="20"/>
                <w:szCs w:val="20"/>
                <w:color w:val="auto"/>
              </w:rPr>
            </w:pPr>
            <w:r>
              <w:rPr>
                <w:rFonts w:ascii="Arial" w:cs="Arial" w:eastAsia="Arial" w:hAnsi="Arial"/>
                <w:sz w:val="18"/>
                <w:szCs w:val="18"/>
                <w:color w:val="auto"/>
              </w:rPr>
              <w:t>Commercial paper</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Less than 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53,559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53,537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FF0FC"/>
            </w:tcBorders>
            <w:shd w:val="clear" w:color="auto" w:fill="CFF0FC"/>
          </w:tcPr>
          <w:p>
            <w:pPr>
              <w:spacing w:after="0"/>
              <w:rPr>
                <w:sz w:val="21"/>
                <w:szCs w:val="21"/>
                <w:color w:val="auto"/>
              </w:rPr>
            </w:pPr>
          </w:p>
        </w:tc>
        <w:tc>
          <w:tcPr>
            <w:tcW w:w="408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U.S. Treasury securities</w:t>
            </w:r>
          </w:p>
        </w:tc>
        <w:tc>
          <w:tcPr>
            <w:tcW w:w="1500" w:type="dxa"/>
            <w:vAlign w:val="bottom"/>
            <w:tcBorders>
              <w:bottom w:val="single" w:sz="8" w:color="CFF0FC"/>
            </w:tcBorders>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Less than 1</w:t>
            </w: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17,937</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17,935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3"/>
          </w:tcPr>
          <w:p>
            <w:pPr>
              <w:ind w:left="140"/>
              <w:spacing w:after="0"/>
              <w:rPr>
                <w:sz w:val="20"/>
                <w:szCs w:val="20"/>
                <w:color w:val="auto"/>
              </w:rPr>
            </w:pPr>
            <w:r>
              <w:rPr>
                <w:rFonts w:ascii="Arial" w:cs="Arial" w:eastAsia="Arial" w:hAnsi="Arial"/>
                <w:sz w:val="18"/>
                <w:szCs w:val="18"/>
                <w:color w:val="auto"/>
              </w:rPr>
              <w:t>Corporate debt securities</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Less than 1</w:t>
            </w:r>
          </w:p>
        </w:tc>
        <w:tc>
          <w:tcPr>
            <w:tcW w:w="2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15,718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15,729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FF0FC"/>
            </w:tcBorders>
          </w:tcPr>
          <w:p>
            <w:pPr>
              <w:spacing w:after="0"/>
              <w:rPr>
                <w:sz w:val="2"/>
                <w:szCs w:val="2"/>
                <w:color w:val="auto"/>
              </w:rPr>
            </w:pPr>
          </w:p>
        </w:tc>
        <w:tc>
          <w:tcPr>
            <w:tcW w:w="134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2700" w:type="dxa"/>
            <w:vAlign w:val="bottom"/>
            <w:tcBorders>
              <w:bottom w:val="single" w:sz="8" w:color="CFF0FC"/>
            </w:tcBorders>
          </w:tcPr>
          <w:p>
            <w:pPr>
              <w:spacing w:after="0"/>
              <w:rPr>
                <w:sz w:val="2"/>
                <w:szCs w:val="2"/>
                <w:color w:val="auto"/>
              </w:rPr>
            </w:pPr>
          </w:p>
        </w:tc>
        <w:tc>
          <w:tcPr>
            <w:tcW w:w="13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FF0FC"/>
            </w:tcBorders>
            <w:shd w:val="clear" w:color="auto" w:fill="CFF0FC"/>
          </w:tcPr>
          <w:p>
            <w:pPr>
              <w:spacing w:after="0"/>
              <w:rPr>
                <w:sz w:val="22"/>
                <w:szCs w:val="22"/>
                <w:color w:val="auto"/>
              </w:rPr>
            </w:pPr>
          </w:p>
        </w:tc>
        <w:tc>
          <w:tcPr>
            <w:tcW w:w="4080" w:type="dxa"/>
            <w:vAlign w:val="bottom"/>
            <w:tcBorders>
              <w:bottom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87,214</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87,201</w:t>
            </w:r>
          </w:p>
        </w:tc>
        <w:tc>
          <w:tcPr>
            <w:tcW w:w="0" w:type="dxa"/>
            <w:vAlign w:val="bottom"/>
          </w:tcPr>
          <w:p>
            <w:pPr>
              <w:spacing w:after="0"/>
              <w:rPr>
                <w:sz w:val="1"/>
                <w:szCs w:val="1"/>
                <w:color w:val="auto"/>
              </w:rPr>
            </w:pPr>
          </w:p>
        </w:tc>
      </w:tr>
      <w:tr>
        <w:trPr>
          <w:trHeight w:val="20"/>
        </w:trPr>
        <w:tc>
          <w:tcPr>
            <w:tcW w:w="4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70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The Company has classified all marketable securities, regardless of maturity, as short-term investments based upon the Company's ability and intent to use any and all of those marketable securities to satisfy the Company's current liquidity requirements.</w:t>
      </w:r>
    </w:p>
    <w:p>
      <w:pPr>
        <w:spacing w:after="0" w:line="170"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The Company periodically reviews the portfolio of available-for-sale debt securities to determine if any investment is other-than-temporarily impaired due to changes in credit risk or other potential valuation concerns. The Company believes that the short-term investments held at September 30, 2019 were not other-than-temporarily impaired. Unrealized losses on available-for-sale debt securities at that date were not significant and were due to changes in interest rates, including credit spreads, and not due to increased credit risks associated with specific securities. The Company does not intend to sell the available-for-sale debt securities that are in an unrealized loss position, and it is not more likely than not that the Company will be required to sell these debt securities before recovery of their amortized cost bases, which may be at maturity.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Inventories consisted of the following as of September 30, 2019 and December 31, 2018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CFF0FC"/>
            </w:tcBorders>
          </w:tcPr>
          <w:p>
            <w:pPr>
              <w:spacing w:after="0"/>
              <w:rPr>
                <w:sz w:val="16"/>
                <w:szCs w:val="16"/>
                <w:color w:val="auto"/>
              </w:rPr>
            </w:pPr>
          </w:p>
        </w:tc>
        <w:tc>
          <w:tcPr>
            <w:tcW w:w="49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Raw materials</w:t>
            </w:r>
          </w:p>
        </w:tc>
        <w:tc>
          <w:tcPr>
            <w:tcW w:w="51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12,488</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6,622</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4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11,051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Finished goods</w:t>
            </w:r>
          </w:p>
        </w:tc>
        <w:tc>
          <w:tcPr>
            <w:tcW w:w="49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17,192</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10,564</w:t>
            </w:r>
          </w:p>
        </w:tc>
        <w:tc>
          <w:tcPr>
            <w:tcW w:w="0" w:type="dxa"/>
            <w:vAlign w:val="bottom"/>
          </w:tcPr>
          <w:p>
            <w:pPr>
              <w:spacing w:after="0"/>
              <w:rPr>
                <w:sz w:val="1"/>
                <w:szCs w:val="1"/>
                <w:color w:val="auto"/>
              </w:rPr>
            </w:pPr>
          </w:p>
        </w:tc>
      </w:tr>
      <w:tr>
        <w:trPr>
          <w:trHeight w:val="237"/>
        </w:trPr>
        <w:tc>
          <w:tcPr>
            <w:tcW w:w="3420" w:type="dxa"/>
            <w:vAlign w:val="bottom"/>
          </w:tcPr>
          <w:p>
            <w:pPr>
              <w:ind w:left="280"/>
              <w:spacing w:after="0"/>
              <w:rPr>
                <w:sz w:val="20"/>
                <w:szCs w:val="20"/>
                <w:color w:val="auto"/>
              </w:rPr>
            </w:pPr>
            <w:r>
              <w:rPr>
                <w:rFonts w:ascii="Arial" w:cs="Arial" w:eastAsia="Arial" w:hAnsi="Arial"/>
                <w:sz w:val="18"/>
                <w:szCs w:val="18"/>
                <w:b w:val="1"/>
                <w:bCs w:val="1"/>
                <w:color w:val="auto"/>
              </w:rPr>
              <w:t>Total</w:t>
            </w:r>
          </w:p>
        </w:tc>
        <w:tc>
          <w:tcPr>
            <w:tcW w:w="49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40,732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19,896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4920" w:type="dxa"/>
            <w:vAlign w:val="bottom"/>
            <w:vMerge w:val="restart"/>
          </w:tcPr>
          <w:p>
            <w:pPr>
              <w:jc w:val="right"/>
              <w:ind w:right="245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92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2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color w:val="auto"/>
        </w:rPr>
        <w:t>Authoritative guidance on fair value measurements defines fair value and provides a consistent framework for both measuring fair value as well as for disclosures of each major asset and liability category measured at fair value on either a recurring or a nonrecurring basis. Fair value is intended to reflect an assumed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provides a three-tier fair value hierarchy, which prioritizes the inputs used in measuring fair value as follows:</w:t>
      </w:r>
    </w:p>
    <w:p>
      <w:pPr>
        <w:sectPr>
          <w:pgSz w:w="11900" w:h="16838" w:orient="portrait"/>
          <w:cols w:equalWidth="0" w:num="1">
            <w:col w:w="11420"/>
          </w:cols>
          <w:pgMar w:left="240" w:top="125" w:right="2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Level 1:</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Observable inputs such as unadjusted quoted prices in active markets that are accessible at the measurement date for identical, unrestricted assets or liabilities.</w:t>
      </w:r>
    </w:p>
    <w:p>
      <w:pPr>
        <w:spacing w:after="0" w:line="170" w:lineRule="exact"/>
        <w:rPr>
          <w:sz w:val="20"/>
          <w:szCs w:val="20"/>
          <w:color w:val="auto"/>
        </w:rPr>
      </w:pPr>
    </w:p>
    <w:p>
      <w:pPr>
        <w:sectPr>
          <w:pgSz w:w="11900" w:h="16838" w:orient="portrait"/>
          <w:cols w:equalWidth="0" w:num="2">
            <w:col w:w="1240" w:space="720"/>
            <w:col w:w="9460"/>
          </w:cols>
          <w:pgMar w:left="240" w:top="125" w:right="239" w:bottom="1440" w:gutter="0" w:footer="0" w:header="0"/>
          <w:type w:val="continuous"/>
        </w:sectPr>
      </w:pPr>
    </w:p>
    <w:p>
      <w:pPr>
        <w:spacing w:after="0"/>
        <w:rPr>
          <w:sz w:val="20"/>
          <w:szCs w:val="20"/>
          <w:color w:val="auto"/>
        </w:rPr>
      </w:pPr>
      <w:r>
        <w:rPr>
          <w:rFonts w:ascii="Arial" w:cs="Arial" w:eastAsia="Arial" w:hAnsi="Arial"/>
          <w:sz w:val="17"/>
          <w:szCs w:val="17"/>
          <w:color w:val="auto"/>
        </w:rPr>
        <w:t>Level 2:</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Inputs, other than quoted prices in active markets, that are observable either directly or indirectly for substantially the full term of the asset or liability.</w:t>
      </w:r>
    </w:p>
    <w:p>
      <w:pPr>
        <w:spacing w:after="0" w:line="170" w:lineRule="exact"/>
        <w:rPr>
          <w:sz w:val="20"/>
          <w:szCs w:val="20"/>
          <w:color w:val="auto"/>
        </w:rPr>
      </w:pPr>
    </w:p>
    <w:p>
      <w:pPr>
        <w:sectPr>
          <w:pgSz w:w="11900" w:h="16838" w:orient="portrait"/>
          <w:cols w:equalWidth="0" w:num="2">
            <w:col w:w="1240" w:space="720"/>
            <w:col w:w="9460"/>
          </w:cols>
          <w:pgMar w:left="240" w:top="125" w:right="239" w:bottom="1440" w:gutter="0" w:footer="0" w:header="0"/>
          <w:type w:val="continuous"/>
        </w:sectPr>
      </w:pPr>
    </w:p>
    <w:p>
      <w:pPr>
        <w:spacing w:after="0"/>
        <w:rPr>
          <w:sz w:val="20"/>
          <w:szCs w:val="20"/>
          <w:color w:val="auto"/>
        </w:rPr>
      </w:pPr>
      <w:r>
        <w:rPr>
          <w:rFonts w:ascii="Arial" w:cs="Arial" w:eastAsia="Arial" w:hAnsi="Arial"/>
          <w:sz w:val="17"/>
          <w:szCs w:val="17"/>
          <w:color w:val="auto"/>
        </w:rPr>
        <w:t>Level 3:</w:t>
      </w:r>
    </w:p>
    <w:p>
      <w:pPr>
        <w:spacing w:after="0" w:line="20" w:lineRule="exact"/>
        <w:rPr>
          <w:sz w:val="20"/>
          <w:szCs w:val="20"/>
          <w:color w:val="auto"/>
        </w:rPr>
      </w:pPr>
      <w:r>
        <w:rPr>
          <w:sz w:val="20"/>
          <w:szCs w:val="20"/>
          <w:color w:val="auto"/>
        </w:rPr>
        <w:br w:type="column"/>
      </w:r>
    </w:p>
    <w:p>
      <w:pPr>
        <w:ind w:right="300"/>
        <w:spacing w:after="0" w:line="308" w:lineRule="auto"/>
        <w:rPr>
          <w:sz w:val="20"/>
          <w:szCs w:val="20"/>
          <w:color w:val="auto"/>
        </w:rPr>
      </w:pPr>
      <w:r>
        <w:rPr>
          <w:rFonts w:ascii="Arial" w:cs="Arial" w:eastAsia="Arial" w:hAnsi="Arial"/>
          <w:sz w:val="17"/>
          <w:szCs w:val="17"/>
          <w:color w:val="auto"/>
        </w:rPr>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147" w:lineRule="exact"/>
        <w:rPr>
          <w:sz w:val="20"/>
          <w:szCs w:val="20"/>
          <w:color w:val="auto"/>
        </w:rPr>
      </w:pPr>
    </w:p>
    <w:p>
      <w:pPr>
        <w:sectPr>
          <w:pgSz w:w="11900" w:h="16838" w:orient="portrait"/>
          <w:cols w:equalWidth="0" w:num="2">
            <w:col w:w="1240" w:space="720"/>
            <w:col w:w="9460"/>
          </w:cols>
          <w:pgMar w:left="240" w:top="125" w:right="239" w:bottom="1440" w:gutter="0" w:footer="0" w:header="0"/>
          <w:type w:val="continuous"/>
        </w:sectPr>
      </w:pPr>
    </w:p>
    <w:p>
      <w:pPr>
        <w:jc w:val="both"/>
        <w:ind w:right="120" w:firstLine="1297"/>
        <w:spacing w:after="0" w:line="264"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as of September 30, 2019 and December 31, 2018, and indicates the fair value hierarchy of the valuation techniques utilized by the Company to determine such fair value (in thousands):</w:t>
      </w:r>
    </w:p>
    <w:p>
      <w:pPr>
        <w:spacing w:after="0" w:line="335"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Fair Value Measurements at</w:t>
      </w:r>
    </w:p>
    <w:p>
      <w:pPr>
        <w:spacing w:after="0" w:line="4"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13335</wp:posOffset>
            </wp:positionV>
            <wp:extent cx="2941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12"/>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180" w:type="dxa"/>
            <w:vAlign w:val="bottom"/>
          </w:tcPr>
          <w:p>
            <w:pPr>
              <w:jc w:val="right"/>
              <w:ind w:right="372"/>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Cash equivalents</w:t>
            </w:r>
            <w:r>
              <w:rPr>
                <w:rFonts w:ascii="Arial" w:cs="Arial" w:eastAsia="Arial" w:hAnsi="Arial"/>
                <w:sz w:val="21"/>
                <w:szCs w:val="21"/>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37,987</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37,987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25,004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U.S. Government-sponsored enterprise</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21,835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21,835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51,320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51,320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148,874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50,715</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98,159</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Common stock warrants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23,283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23,283</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23,283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23,283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484"/>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at</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1"/>
              </w:rPr>
              <w:t>December 31, 2018</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312"/>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22"/>
                <w:szCs w:val="22"/>
                <w:color w:val="auto"/>
              </w:rPr>
            </w:pPr>
          </w:p>
        </w:tc>
        <w:tc>
          <w:tcPr>
            <w:tcW w:w="1180" w:type="dxa"/>
            <w:vAlign w:val="bottom"/>
          </w:tcPr>
          <w:p>
            <w:pPr>
              <w:jc w:val="right"/>
              <w:ind w:right="372"/>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Cash equivalents</w:t>
            </w:r>
            <w:r>
              <w:rPr>
                <w:rFonts w:ascii="Arial" w:cs="Arial" w:eastAsia="Arial" w:hAnsi="Arial"/>
                <w:sz w:val="21"/>
                <w:szCs w:val="21"/>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37,373</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37,373</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53,537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17,935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17,935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15,729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15,729</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124,574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55,308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69,266</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Common stock warrants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17,926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17,926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17,926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  Generally, cash equivalents include money market funds and investments with a maturity of three months or less from the date of purchase.</w:t>
      </w:r>
    </w:p>
    <w:p>
      <w:pPr>
        <w:spacing w:after="0" w:line="237"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 There were no transfers between Level 1 and Level 2 assets during the nine months ended September 30, 2019 and 2018.</w:t>
      </w:r>
    </w:p>
    <w:p>
      <w:pPr>
        <w:spacing w:after="0" w:line="188"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The Company’s Level 3 liabilities at September 30, 2019 and December 31, 2018 include the Series A warrants issued by the Company in connection with the public offering of common stock in October 2017. The Series A warrants have a term of five years and initially provided holders the right to purchase 4,630,000 shares of the Company’s common stock at an exercise price of $3.50 per share. The Series A warrants were initially valued in the aggregate amount of $5.2 million on the date of issuance utilizing a Black-Scholes pricing model.</w:t>
      </w:r>
    </w:p>
    <w:p>
      <w:pPr>
        <w:spacing w:after="0" w:line="187" w:lineRule="exact"/>
        <w:rPr>
          <w:sz w:val="20"/>
          <w:szCs w:val="20"/>
          <w:color w:val="auto"/>
        </w:rPr>
      </w:pPr>
    </w:p>
    <w:p>
      <w:pPr>
        <w:jc w:val="both"/>
        <w:ind w:right="60" w:firstLine="1297"/>
        <w:spacing w:after="0" w:line="302" w:lineRule="auto"/>
        <w:rPr>
          <w:sz w:val="20"/>
          <w:szCs w:val="20"/>
          <w:color w:val="auto"/>
        </w:rPr>
      </w:pPr>
      <w:r>
        <w:rPr>
          <w:rFonts w:ascii="Arial" w:cs="Arial" w:eastAsia="Arial" w:hAnsi="Arial"/>
          <w:sz w:val="16"/>
          <w:szCs w:val="16"/>
          <w:color w:val="auto"/>
        </w:rPr>
        <w:t>The Company reassesses the fair value of the outstanding Series A warrants at each reporting date utilizing a Black-Scholes pricing model. Variables used in the pricing model include the market price of the Company’s common stock and estimates of stock price volatility, dividend yield, expected warrant term and risk-free interest rate. The Company develops its estimates based on publicly available historical data. The assumptions used to estimate the fair values of the outstanding Series A warrants at September 30, 2019 and December 31, 2018 are presented below:</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1900" w:type="dxa"/>
            <w:vAlign w:val="bottom"/>
            <w:gridSpan w:val="2"/>
          </w:tcPr>
          <w:p>
            <w:pPr>
              <w:ind w:left="300"/>
              <w:spacing w:after="0"/>
              <w:rPr>
                <w:sz w:val="20"/>
                <w:szCs w:val="20"/>
                <w:color w:val="auto"/>
              </w:rPr>
            </w:pPr>
            <w:r>
              <w:rPr>
                <w:rFonts w:ascii="Arial" w:cs="Arial" w:eastAsia="Arial" w:hAnsi="Arial"/>
                <w:sz w:val="14"/>
                <w:szCs w:val="14"/>
                <w:b w:val="1"/>
                <w:bCs w:val="1"/>
                <w:color w:val="auto"/>
              </w:rPr>
              <w:t>September 30, 2019</w:t>
            </w:r>
          </w:p>
        </w:tc>
        <w:tc>
          <w:tcPr>
            <w:tcW w:w="178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78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7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780" w:type="dxa"/>
            <w:vAlign w:val="bottom"/>
          </w:tcPr>
          <w:p>
            <w:pPr>
              <w:jc w:val="right"/>
              <w:ind w:right="94"/>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780" w:type="dxa"/>
            <w:vAlign w:val="bottom"/>
          </w:tcPr>
          <w:p>
            <w:pPr>
              <w:jc w:val="right"/>
              <w:ind w:right="94"/>
              <w:spacing w:after="0"/>
              <w:rPr>
                <w:sz w:val="20"/>
                <w:szCs w:val="20"/>
                <w:color w:val="auto"/>
              </w:rPr>
            </w:pPr>
            <w:r>
              <w:rPr>
                <w:rFonts w:ascii="Arial" w:cs="Arial" w:eastAsia="Arial" w:hAnsi="Arial"/>
                <w:sz w:val="18"/>
                <w:szCs w:val="18"/>
                <w:color w:val="auto"/>
              </w:rPr>
              <w:t>3.8</w:t>
            </w:r>
          </w:p>
        </w:tc>
      </w:tr>
    </w:tbl>
    <w:p>
      <w:pPr>
        <w:spacing w:after="0" w:line="200" w:lineRule="exact"/>
        <w:rPr>
          <w:sz w:val="20"/>
          <w:szCs w:val="20"/>
          <w:color w:val="auto"/>
        </w:rPr>
      </w:pPr>
    </w:p>
    <w:p>
      <w:pPr>
        <w:spacing w:after="0" w:line="245"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The following table presents a summary of changes in the fair value of the Company’s Level 3 financial liabilities for the nine months ended September 30, 2019 and 2018:</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17,926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Increase in fair value included in change in fair value of common stock warrants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10,849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69,042</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fair value from warrants exercised during the period</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(53,831)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4"/>
              </w:rPr>
              <w:t>23,283</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20,643</w:t>
            </w:r>
          </w:p>
        </w:tc>
      </w:tr>
      <w:tr>
        <w:trPr>
          <w:trHeight w:val="27"/>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During the nine months ended September 30, 2019, the Company issued 93,470 shares of common stock upon the exercise of Series A warrants. During the nine months ended September 30, 2018, the Company issued 8,598,076 shares of common stock upon the exercise of certain warrants issued in October 2017, and 13,450 warrants expired unexercised. As of September 30, 2019, there were Series A warrants outstanding to purchase 417,315 shares of the Company's common stock (see Note 8, “Stockholders’ Equity”).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The new standard and its related amendments (collectively referred to as ASC 842) requires lessees to recognize right-of-use assets and corresponding lease liabilities for all leases with lease terms of greater than 12 months. It also changed the definition of a lease and expanded the disclosure requirements of lease arrangements. In July 2018, the FASB added a transition option for implementation of the standard that allowed companies to continue to use the legacy guidance in ASC 840, </w:t>
      </w:r>
      <w:r>
        <w:rPr>
          <w:rFonts w:ascii="Arial" w:cs="Arial" w:eastAsia="Arial" w:hAnsi="Arial"/>
          <w:sz w:val="17"/>
          <w:szCs w:val="17"/>
          <w:i w:val="1"/>
          <w:iCs w:val="1"/>
          <w:color w:val="auto"/>
        </w:rPr>
        <w:t>Leases</w:t>
      </w:r>
      <w:r>
        <w:rPr>
          <w:rFonts w:ascii="Arial" w:cs="Arial" w:eastAsia="Arial" w:hAnsi="Arial"/>
          <w:sz w:val="17"/>
          <w:szCs w:val="17"/>
          <w:color w:val="auto"/>
        </w:rPr>
        <w:t>, including its disclosure requirements, in the comparative periods presented in the year of adoption. The new standard must be adopted using the modified retrospective approach and was effective for the Company starting in the first quarter of fiscal 2019. The Company elected the transition option and certain practical expedients, and recognized a cumulative-effect transition adjustment for the recognition of right-of-use leased assets and corresponding operating lease liabilities of $12.4 million on the consolidated balance sheets upon adoption of the standard as of January 1, 2019. The Company did not restate prior periods. Deferred rent of $1.0 million and $3.8 million as of January 1, 2019 was reclassified from other current liabilities and deferred rent long-term, respectively, to a reduction of the right-of-use leased assets in connection with the adoption of the standard.</w:t>
      </w:r>
    </w:p>
    <w:p>
      <w:pPr>
        <w:spacing w:after="0" w:line="178" w:lineRule="exact"/>
        <w:rPr>
          <w:sz w:val="20"/>
          <w:szCs w:val="20"/>
          <w:color w:val="auto"/>
        </w:rPr>
      </w:pPr>
    </w:p>
    <w:p>
      <w:pPr>
        <w:ind w:right="140" w:firstLine="1297"/>
        <w:spacing w:after="0" w:line="273" w:lineRule="auto"/>
        <w:rPr>
          <w:sz w:val="20"/>
          <w:szCs w:val="20"/>
          <w:color w:val="auto"/>
        </w:rPr>
      </w:pPr>
      <w:r>
        <w:rPr>
          <w:rFonts w:ascii="Arial" w:cs="Arial" w:eastAsia="Arial" w:hAnsi="Arial"/>
          <w:sz w:val="17"/>
          <w:szCs w:val="17"/>
          <w:color w:val="auto"/>
        </w:rPr>
        <w:t>The Company's leases consist primarily of operating leases for general office space, laboratory, manufacturing, and warehouse facilities, and equipment. Leases with an initial term of 12 months or less are not recorded on the balance sheets. The Company recognizes lease expense for these leases on a straight-line basis over the lease term. Because the Company's leases do not provide an implicit interest rate, the Company uses its incremental borrowing rate based on the information available at the lease commencement date in determining the present value of future lease payments. The Company used the incremental borrowing rate on January 1, 2019 for operating leases that commenced prior to that date. For lease agreements entered into or reassessed after the adoption of ASC 842, the Company combines lease and non-lease components.</w:t>
      </w:r>
    </w:p>
    <w:p>
      <w:pPr>
        <w:spacing w:after="0" w:line="178"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Certain leases include an option to renew, with renewal terms that can extend the lease term for additional periods. The exercise of lease renewal options is at the Company's sole discretion. The depreciable life of assets and leasehold improvements are limited by the expected lease term, unless there is a transfer of title or purchase option that is reasonably certain to be exercised.</w:t>
      </w:r>
    </w:p>
    <w:p>
      <w:pPr>
        <w:spacing w:after="0" w:line="181" w:lineRule="exact"/>
        <w:rPr>
          <w:sz w:val="20"/>
          <w:szCs w:val="20"/>
          <w:color w:val="auto"/>
        </w:rPr>
      </w:pPr>
    </w:p>
    <w:p>
      <w:pPr>
        <w:ind w:right="120" w:firstLine="1297"/>
        <w:spacing w:after="0" w:line="289" w:lineRule="auto"/>
        <w:rPr>
          <w:sz w:val="20"/>
          <w:szCs w:val="20"/>
          <w:color w:val="auto"/>
        </w:rPr>
      </w:pPr>
      <w:r>
        <w:rPr>
          <w:rFonts w:ascii="Arial" w:cs="Arial" w:eastAsia="Arial" w:hAnsi="Arial"/>
          <w:sz w:val="16"/>
          <w:szCs w:val="16"/>
          <w:color w:val="auto"/>
        </w:rPr>
        <w:t>In January 2019, the Company entered into a lease agreement for approximately 25,332 square feet of additional general administrative office space (Initial Premises) located at 10935 Vista Sorrento Parkway, San Diego, California (Vista Sorrento Parkway Lease). The lease term for the Initial Premises commenced in March 2019 and expires in September 2022. In May 2019, the Company entered into a First Amendment to the Vista Sorrento Parkway Lease (First Amendment) to expand the leased premises by adding approximately 33,681 square feet of additional general administrative office space (Expansion Space), and to extend the lease term for the Initial Premises through December 2022. The lease term for the Expansion Space commenced in May 2019 and expires in December 2022. The Company has a one-time option to extend the term of the Vista Sorrento Parkway Lease, covering both the Initial Premises and the Expansion Space, for a period of four years. The Company recognized right-of-use leased assets and corresponding operating lease liabilities of $3.1 million on the consolidated balance sheets in the first quarter of 2019 related to the Initial Premises, and $4.5 million in the second quarter of 2019 related to the First Amendment to the Vista Sorrento Parkway Lease.</w:t>
      </w:r>
    </w:p>
    <w:p>
      <w:pPr>
        <w:spacing w:after="0" w:line="167"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In March 2019, the Company entered into a lease agreement for approximately 40,490 square feet of space located at 6495 Marindustry Place, San Diego, California to house additional operations functions, including warehousing and shipping (Marindustry Place Lease). The lease term commenced in May 2019 and expires in April 2026. The Company has a one-time option to extend the term of the Marindustry Place Lease for a period of no less than three years and no more than five years. The Company recognized right-of-use leased assets and corresponding operating lease liabilities of $3.4 million on the consolidated balance sheets in the second quarter of 2019 related to the Marindustry Place Lease.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Future minimum lease payments under non-cancellable operating leases as of September 30, 2019 were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7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(remaining)</w:t>
            </w:r>
          </w:p>
        </w:tc>
        <w:tc>
          <w:tcPr>
            <w:tcW w:w="700" w:type="dxa"/>
            <w:vAlign w:val="bottom"/>
            <w:tcBorders>
              <w:bottom w:val="single" w:sz="8" w:color="CFF0FC"/>
            </w:tcBorders>
            <w:shd w:val="clear" w:color="auto" w:fill="CFF0FC"/>
          </w:tcPr>
          <w:p>
            <w:pPr>
              <w:jc w:val="right"/>
              <w:ind w:right="4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867</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2020</w:t>
            </w:r>
          </w:p>
        </w:tc>
        <w:tc>
          <w:tcPr>
            <w:tcW w:w="7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6,831</w:t>
            </w:r>
          </w:p>
        </w:tc>
      </w:tr>
      <w:tr>
        <w:trPr>
          <w:trHeight w:val="27"/>
        </w:trPr>
        <w:tc>
          <w:tcPr>
            <w:tcW w:w="7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7,100</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2022</w:t>
            </w:r>
          </w:p>
        </w:tc>
        <w:tc>
          <w:tcPr>
            <w:tcW w:w="7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5,880</w:t>
            </w:r>
          </w:p>
        </w:tc>
      </w:tr>
      <w:tr>
        <w:trPr>
          <w:trHeight w:val="27"/>
        </w:trPr>
        <w:tc>
          <w:tcPr>
            <w:tcW w:w="7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1,577</w:t>
            </w:r>
          </w:p>
        </w:tc>
      </w:tr>
      <w:tr>
        <w:trPr>
          <w:trHeight w:val="27"/>
        </w:trPr>
        <w:tc>
          <w:tcPr>
            <w:tcW w:w="79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lease payments</w:t>
            </w:r>
          </w:p>
        </w:tc>
        <w:tc>
          <w:tcPr>
            <w:tcW w:w="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24,246</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7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(3,037)</w:t>
            </w:r>
          </w:p>
        </w:tc>
      </w:tr>
      <w:tr>
        <w:trPr>
          <w:trHeight w:val="27"/>
        </w:trPr>
        <w:tc>
          <w:tcPr>
            <w:tcW w:w="79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future minimum lease payments</w:t>
            </w:r>
          </w:p>
        </w:tc>
        <w:tc>
          <w:tcPr>
            <w:tcW w:w="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21,209</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Less: current portion of operating lease liabilities</w:t>
            </w:r>
          </w:p>
        </w:tc>
        <w:tc>
          <w:tcPr>
            <w:tcW w:w="7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(5,951)</w:t>
            </w:r>
          </w:p>
        </w:tc>
      </w:tr>
      <w:tr>
        <w:trPr>
          <w:trHeight w:val="27"/>
        </w:trPr>
        <w:tc>
          <w:tcPr>
            <w:tcW w:w="79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 long-term</w:t>
            </w:r>
          </w:p>
        </w:tc>
        <w:tc>
          <w:tcPr>
            <w:tcW w:w="70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15,258</w:t>
            </w:r>
          </w:p>
        </w:tc>
      </w:tr>
      <w:tr>
        <w:trPr>
          <w:trHeight w:val="20"/>
        </w:trPr>
        <w:tc>
          <w:tcPr>
            <w:tcW w:w="79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Loan Agreement</w:t>
      </w:r>
    </w:p>
    <w:p>
      <w:pPr>
        <w:spacing w:after="0" w:line="229"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In August 2018, the Company fully repaid the term loan made by Capital Royalty Partners II, L.P. and its affiliated funds (CRG) pursuant to the Amended and Restated Term Loan Agreement (Term Loan Agreement). The balance of the outstanding debt during 2018 up until the time of repayment was $82.7 million. The repayment included approximately $1.1 million in accrued interest and approximately $5.0 million in associated financing fees that became due. As a result of the repayment, the Company did not have any borrowings outstanding under the Term Loan Agreement as of September 30, 2019 or December 31, 2018.</w:t>
      </w:r>
    </w:p>
    <w:p>
      <w:pPr>
        <w:spacing w:after="0" w:line="188" w:lineRule="exact"/>
        <w:rPr>
          <w:sz w:val="20"/>
          <w:szCs w:val="20"/>
          <w:color w:val="auto"/>
        </w:rPr>
      </w:pPr>
    </w:p>
    <w:p>
      <w:pPr>
        <w:ind w:right="100" w:firstLine="1297"/>
        <w:spacing w:after="0" w:line="342" w:lineRule="auto"/>
        <w:rPr>
          <w:sz w:val="20"/>
          <w:szCs w:val="20"/>
          <w:color w:val="auto"/>
        </w:rPr>
      </w:pPr>
      <w:r>
        <w:rPr>
          <w:rFonts w:ascii="Arial" w:cs="Arial" w:eastAsia="Arial" w:hAnsi="Arial"/>
          <w:sz w:val="16"/>
          <w:szCs w:val="16"/>
          <w:color w:val="auto"/>
        </w:rPr>
        <w:t>Under the Term Loan Agreement, interest was payable at the Company’s option, (i) in cash at a rate of 11.5% per annum, or (ii) at a rate of 9.5% of the 11.5% per annum in cash and 2.0% of the 11.5% per annum (PIK Loan) to be added to the principal of the loan and subject to accruing interest.</w:t>
      </w:r>
    </w:p>
    <w:p>
      <w:pPr>
        <w:spacing w:after="0" w:line="124"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The Company entered into a series of amendments to the Term Loan Agreement between 2016 and 2018, which included the addition of a financing fee payable at the maturity of the Company’s loans, the issuance of 193,788 ten-year warrants to CRG to purchase shares of the Company’s common stock at an exercise price of $23.50 per share and certain other minimum financing covenants. The financing fee was applicable to the entire aggregate principal amount of borrowings outstanding, including total PIK Loans issued. As of September 30, 2019, the warrants to purchase 193,788 shares of the Company's common stock at an exercise price of $23.50 per share remained outstanding.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Offerings</w:t>
      </w:r>
    </w:p>
    <w:p>
      <w:pPr>
        <w:spacing w:after="0" w:line="225"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In the first quarter of 2018, the Company completed a public offering of 34,500,000 shares of common stock at a public offering price of $2.00 per share. The gross proceeds to the Company from the offering were approximately $69.0 million, before deducting underwriting discounts and commissions and other offering expenses payable by the Company.</w:t>
      </w:r>
    </w:p>
    <w:p>
      <w:pPr>
        <w:spacing w:after="0" w:line="181"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In the third quarter of 2018, the Company completed a public offering of 4,035,085 shares of common stock at a public offering price of $28.50 per share. The gross proceeds to the Company from the offering were $115.0 million, before deducting underwriting discounts and commissions and other offering expenses payable by the Company.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following shares of the Company’s common stock were reserved for future issuance as of September 30, 2019 (in thousands):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FF0FC"/>
          </w:tcPr>
          <w:p>
            <w:pPr>
              <w:ind w:left="40"/>
              <w:spacing w:after="0"/>
              <w:rPr>
                <w:sz w:val="20"/>
                <w:szCs w:val="20"/>
                <w:color w:val="auto"/>
              </w:rPr>
            </w:pPr>
            <w:r>
              <w:rPr>
                <w:rFonts w:ascii="Arial" w:cs="Arial" w:eastAsia="Arial" w:hAnsi="Arial"/>
                <w:sz w:val="18"/>
                <w:szCs w:val="18"/>
                <w:color w:val="auto"/>
              </w:rPr>
              <w:t>Shares underlying outstanding warrants</w:t>
            </w: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710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Shares underlying outstanding stock options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7,358</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Shares authorized for future equity award grants</w:t>
            </w:r>
          </w:p>
        </w:tc>
        <w:tc>
          <w:tcPr>
            <w:tcW w:w="14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3,165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Shares authorized for issuance pursuant to awards granted under the ESPP</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1,852</w:t>
            </w:r>
          </w:p>
        </w:tc>
      </w:tr>
      <w:tr>
        <w:trPr>
          <w:trHeight w:val="27"/>
        </w:trPr>
        <w:tc>
          <w:tcPr>
            <w:tcW w:w="994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13,085</w:t>
            </w:r>
          </w:p>
        </w:tc>
      </w:tr>
      <w:tr>
        <w:trPr>
          <w:trHeight w:val="20"/>
        </w:trPr>
        <w:tc>
          <w:tcPr>
            <w:tcW w:w="994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1297"/>
        <w:spacing w:after="0" w:line="254" w:lineRule="auto"/>
        <w:rPr>
          <w:sz w:val="20"/>
          <w:szCs w:val="20"/>
          <w:color w:val="auto"/>
        </w:rPr>
      </w:pPr>
      <w:r>
        <w:rPr>
          <w:rFonts w:ascii="Arial" w:cs="Arial" w:eastAsia="Arial" w:hAnsi="Arial"/>
          <w:sz w:val="18"/>
          <w:szCs w:val="18"/>
          <w:color w:val="auto"/>
        </w:rPr>
        <w:t>As of September 30, 2019, there were Series A warrants outstanding to purchase 417,315 shares of the Company's common stock at an exercise price of $3.50 per share, which were issued in connection with the October 2017 Financing, and which expire in October 2022. Also outstanding as of September 30, 2019, were warrants to purchase 193,788 shares of the Company's common stock at an exercise price of $23.50 per share, which were issued in March 2017, and which expire in March 2027 (see Note 7, “Term Loan Agreement”), and warrants to purchase 98,965 shares of the Company's common stock at an exercise price of $73.73 per share, which were issued between August 2011 and August 2012, and which expire between August 2021 and August 2022. The Company issued 200 and 93,470 shares of its common stock upon the exercise of warrants during the three and nine months ended September 30, 2019, respectively. The Company issued 8,603,321 shares of its common stock upon the exercise of warrants during the year ended December 31, 2018.</w:t>
      </w:r>
    </w:p>
    <w:p>
      <w:pPr>
        <w:spacing w:after="0" w:line="192"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In both June 2019 and 2018, the Company received approval from its stockholders to increase the number of shares of its common stock reserved for issuance under the 2013 Plan by 5,000,000 and 5,500,000 shares, respectively. The Company issued 439,646 and 1,213,428 shares of its common stock upon the exercise of stock options during the three and nine months ended September 30, 2019, respectively. The Company issued 136,042 shares of its common stock upon the exercise of stock options during the year ended December 31, 2018.</w:t>
      </w:r>
    </w:p>
    <w:p>
      <w:pPr>
        <w:spacing w:after="0" w:line="171"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The ESPP enables eligible employees to purchase shares of the Company's common stock using their after-tax payroll deductions, subject to certain conditions. Historically, offerings under the ESPP consisted of a two-year offering period with four six-month purchase periods which begin in May and November of each year. The Company previously suspended the ESPP in May 2017 due to a lack of available shares. In June 2018, the Company received approval from its stockholders to increase the number of shares of its common stock reserved for issuance under the ESPP by 2,000,000 shares. A new offering commenced under the ESPP on June 15, 2018, and the first purchase date was November 15, 2018. There were 168,165 shares of common stock purchased under the ESPP in the nine months ended September 30, 2019. There were 80,581 shares of common stock purchased under the ESPP during the year ended December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In June 2019, the Company granted options to purchase 1,644,715 shares of common stock under the 2013 Plan, which were originally awarded between February 2019 and June 2019, subject to and conditioned upon the approval by its stockholders of an increase in the number of shares of common stock reserved for issuance under the 2013 Plan. In total, the Company granted options to purchase 2,916,906 shares of common stock under the 2013 Plan during the nine months ended September 30, 2019. These options have an exercise price equal to the closing price of the Company's common stock on the applicable award date, and generally vest as to 25% of the underlying shares on the first anniversary of the award, with the balance of the options vesting monthly over the following three years.</w:t>
      </w:r>
    </w:p>
    <w:p>
      <w:pPr>
        <w:spacing w:after="0" w:line="193"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In June 2018, the Company granted options to purchase 811,800 shares of common stock under the 2013 Plan, which were originally awarded on December 1, 2017, subject to and conditioned upon the approval by its stockholders of an increase in the number of shares of common stock authorized under the 2013 Plan. These options have an exercise price equal to the closing price of the Company's common stock on the applicable award date, and generally vest as to 50% of the underlying shares on the first anniversary of the award, with the balance of the options vesting monthly over the following year.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The Company also granted options to purchase 3,661,220 shares of common stock under the 2013 Plan during the nine months ended September 30, 2018. These options have an exercise price equal to the closing price of the Company's common stock on the applicable award date, and generally vest as to 25% of the underlying shares on the first anniversary of the award, with the balance of the options vesting monthly over the following three years, except with respect to options to purchase 3,389,300 shares of common stock granted in June 2018, which vest as to 50% of the underlying shares on the first anniversary of the award, with the balance of the options vesting monthly over the following year.</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assumptions used in the Black-Scholes option-pricing model are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rPr>
              <w:t>Stock Options</w:t>
            </w: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52"/>
        </w:trPr>
        <w:tc>
          <w:tcPr>
            <w:tcW w:w="6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40" w:type="dxa"/>
            <w:vAlign w:val="bottom"/>
            <w:gridSpan w:val="4"/>
          </w:tcPr>
          <w:p>
            <w:pPr>
              <w:jc w:val="center"/>
              <w:ind w:right="135"/>
              <w:spacing w:after="0" w:line="153" w:lineRule="exact"/>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40" w:type="dxa"/>
            <w:vAlign w:val="bottom"/>
            <w:gridSpan w:val="5"/>
          </w:tcPr>
          <w:p>
            <w:pPr>
              <w:jc w:val="center"/>
              <w:ind w:right="153"/>
              <w:spacing w:after="0" w:line="153" w:lineRule="exact"/>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6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337"/>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ind w:right="153"/>
              <w:spacing w:after="0"/>
              <w:rPr>
                <w:sz w:val="20"/>
                <w:szCs w:val="20"/>
                <w:color w:val="auto"/>
              </w:rPr>
            </w:pPr>
            <w:r>
              <w:rPr>
                <w:rFonts w:ascii="Arial" w:cs="Arial" w:eastAsia="Arial" w:hAnsi="Arial"/>
                <w:sz w:val="14"/>
                <w:szCs w:val="14"/>
                <w:b w:val="1"/>
                <w:bCs w:val="1"/>
                <w:color w:val="auto"/>
                <w:w w:val="91"/>
              </w:rPr>
              <w:t>September 30,</w:t>
            </w:r>
          </w:p>
        </w:tc>
      </w:tr>
      <w:tr>
        <w:trPr>
          <w:trHeight w:val="264"/>
        </w:trPr>
        <w:tc>
          <w:tcPr>
            <w:tcW w:w="68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83"/>
              </w:rPr>
              <w:t>2018</w:t>
            </w:r>
          </w:p>
        </w:tc>
        <w:tc>
          <w:tcPr>
            <w:tcW w:w="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6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Weighted average grant date fair value (per share)</w:t>
            </w: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8"/>
                <w:szCs w:val="18"/>
                <w:color w:val="auto"/>
              </w:rPr>
              <w:t>38.74</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8"/>
                <w:szCs w:val="18"/>
                <w:color w:val="auto"/>
                <w:w w:val="93"/>
              </w:rPr>
              <w:t>21.77</w:t>
            </w:r>
          </w:p>
        </w:tc>
        <w:tc>
          <w:tcPr>
            <w:tcW w:w="36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8"/>
                <w:szCs w:val="18"/>
                <w:color w:val="auto"/>
              </w:rPr>
              <w:t>39.08</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12.35</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Expected dividend yield</w:t>
            </w:r>
          </w:p>
        </w:tc>
        <w:tc>
          <w:tcPr>
            <w:tcW w:w="2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71.4%</w:t>
            </w:r>
          </w:p>
        </w:tc>
      </w:tr>
      <w:tr>
        <w:trPr>
          <w:trHeight w:val="27"/>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Expected term (in years)</w:t>
            </w:r>
          </w:p>
        </w:tc>
        <w:tc>
          <w:tcPr>
            <w:tcW w:w="2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5.7</w:t>
            </w:r>
          </w:p>
        </w:tc>
      </w:tr>
      <w:tr>
        <w:trPr>
          <w:trHeight w:val="548"/>
        </w:trPr>
        <w:tc>
          <w:tcPr>
            <w:tcW w:w="6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left="357"/>
              <w:spacing w:after="0"/>
              <w:rPr>
                <w:sz w:val="20"/>
                <w:szCs w:val="20"/>
                <w:color w:val="auto"/>
              </w:rPr>
            </w:pPr>
            <w:r>
              <w:rPr>
                <w:rFonts w:ascii="Arial" w:cs="Arial" w:eastAsia="Arial" w:hAnsi="Arial"/>
                <w:sz w:val="14"/>
                <w:szCs w:val="14"/>
                <w:b w:val="1"/>
                <w:bCs w:val="1"/>
                <w:color w:val="auto"/>
                <w:w w:val="90"/>
              </w:rPr>
              <w:t>ESPP</w:t>
            </w:r>
          </w:p>
        </w:tc>
        <w:tc>
          <w:tcPr>
            <w:tcW w:w="700" w:type="dxa"/>
            <w:vAlign w:val="bottom"/>
            <w:tcBorders>
              <w:bottom w:val="single" w:sz="8" w:color="auto"/>
            </w:tcBorders>
          </w:tcPr>
          <w:p>
            <w:pPr>
              <w:spacing w:after="0"/>
              <w:rPr>
                <w:sz w:val="24"/>
                <w:szCs w:val="24"/>
                <w:color w:val="auto"/>
              </w:rPr>
            </w:pPr>
          </w:p>
        </w:tc>
      </w:tr>
      <w:tr>
        <w:trPr>
          <w:trHeight w:val="152"/>
        </w:trPr>
        <w:tc>
          <w:tcPr>
            <w:tcW w:w="6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40" w:type="dxa"/>
            <w:vAlign w:val="bottom"/>
            <w:gridSpan w:val="5"/>
          </w:tcPr>
          <w:p>
            <w:pPr>
              <w:jc w:val="center"/>
              <w:ind w:right="173"/>
              <w:spacing w:after="0" w:line="153" w:lineRule="exact"/>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left="377"/>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r>
      <w:tr>
        <w:trPr>
          <w:trHeight w:val="264"/>
        </w:trPr>
        <w:tc>
          <w:tcPr>
            <w:tcW w:w="682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8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CFF0FC"/>
            </w:tcBorders>
          </w:tcPr>
          <w:p>
            <w:pPr>
              <w:spacing w:after="0"/>
              <w:rPr>
                <w:sz w:val="22"/>
                <w:szCs w:val="22"/>
                <w:color w:val="auto"/>
              </w:rPr>
            </w:pPr>
          </w:p>
        </w:tc>
        <w:tc>
          <w:tcPr>
            <w:tcW w:w="6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6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Weighted average grant date fair value (per share)</w:t>
            </w:r>
          </w:p>
        </w:tc>
        <w:tc>
          <w:tcPr>
            <w:tcW w:w="2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8"/>
                <w:szCs w:val="18"/>
                <w:color w:val="auto"/>
              </w:rPr>
              <w:t>33.49</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9.62</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Expected dividend yield</w:t>
            </w:r>
          </w:p>
        </w:tc>
        <w:tc>
          <w:tcPr>
            <w:tcW w:w="2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27"/>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6820" w:type="dxa"/>
            <w:vAlign w:val="bottom"/>
            <w:shd w:val="clear" w:color="auto" w:fill="CFF0FC"/>
          </w:tcPr>
          <w:p>
            <w:pPr>
              <w:ind w:left="40"/>
              <w:spacing w:after="0"/>
              <w:rPr>
                <w:sz w:val="20"/>
                <w:szCs w:val="20"/>
                <w:color w:val="auto"/>
              </w:rPr>
            </w:pPr>
            <w:r>
              <w:rPr>
                <w:rFonts w:ascii="Arial" w:cs="Arial" w:eastAsia="Arial" w:hAnsi="Arial"/>
                <w:sz w:val="18"/>
                <w:szCs w:val="18"/>
                <w:color w:val="auto"/>
              </w:rPr>
              <w:t>Expected term (in years)</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97"/>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1.3</w:t>
            </w:r>
          </w:p>
        </w:tc>
      </w:tr>
      <w:tr>
        <w:trPr>
          <w:trHeight w:val="27"/>
        </w:trPr>
        <w:tc>
          <w:tcPr>
            <w:tcW w:w="682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Company records stock-based compensation expense associated with the ESPP using the Black-Scholes option-pricing model.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Valuations are performed on the grant date at the beginning of the purchase period, which generally occurs in May and November of each year.</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table summarizes the allocation of stock-based compensation expense included in the consolidated statement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65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1,751</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4,178</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1,129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Selling, general &amp; administrative</w:t>
            </w:r>
          </w:p>
        </w:tc>
        <w:tc>
          <w:tcPr>
            <w:tcW w:w="280" w:type="dxa"/>
            <w:vAlign w:val="bottom"/>
          </w:tcPr>
          <w:p>
            <w:pPr>
              <w:spacing w:after="0"/>
              <w:rPr>
                <w:sz w:val="21"/>
                <w:szCs w:val="21"/>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13,110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6,821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29,060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9,833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1,932</w:t>
            </w:r>
          </w:p>
        </w:tc>
        <w:tc>
          <w:tcPr>
            <w:tcW w:w="1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6,148</w:t>
            </w:r>
          </w:p>
        </w:tc>
        <w:tc>
          <w:tcPr>
            <w:tcW w:w="1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2,465</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17,230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9,537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39,386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13,427</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20" w:firstLine="1297"/>
        <w:spacing w:after="0" w:line="277" w:lineRule="auto"/>
        <w:rPr>
          <w:sz w:val="20"/>
          <w:szCs w:val="20"/>
          <w:color w:val="auto"/>
        </w:rPr>
      </w:pPr>
      <w:r>
        <w:rPr>
          <w:rFonts w:ascii="Arial" w:cs="Arial" w:eastAsia="Arial" w:hAnsi="Arial"/>
          <w:sz w:val="18"/>
          <w:szCs w:val="18"/>
          <w:color w:val="auto"/>
        </w:rPr>
        <w:t>The total stock-based compensation expense capitalized as part of the cost of the Company’s inventories was $0.8 million and $0.4 million as of September 30, 2019 and December 31, 2018,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From time to time, the Company may be subject to legal proceedings or regulatory matters arising in the ordinary course of business, including actions with respect to intellectual property, employment, regulatory, product liability and contractual matters. In connection with these proceedings or matters, the Company regularly assesses the probability and amount (or range) of possible issues based on the developments 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 As of September 30, 2019 and December 31, 2018, there were no 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our financial statements and related notes in Part I, Item 1 of this Quarterly Report on Form 10-Q for the quarter ended September 30, 2019 (Quarterly Report).</w:t>
      </w:r>
    </w:p>
    <w:p>
      <w:pPr>
        <w:spacing w:after="0" w:line="170"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i w:val="1"/>
          <w:iCs w:val="1"/>
          <w:color w:val="auto"/>
        </w:rPr>
        <w:t>This Quarterly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or assumed financial condition, results of operations, liquidity, business forecasts and plans, research and product development plans, manufacturing plans, strategic plans and objectives, capital needs, financing plans and objectives, product launches, distribution plans, clinical trials, regulatory approvals and competitive environment. We caution you that the foregoing list may not include all of the forward-looking statements made in this Quarterly Report.</w:t>
      </w:r>
    </w:p>
    <w:p>
      <w:pPr>
        <w:spacing w:after="0" w:line="178" w:lineRule="exact"/>
        <w:rPr>
          <w:sz w:val="20"/>
          <w:szCs w:val="20"/>
          <w:color w:val="auto"/>
        </w:rPr>
      </w:pPr>
    </w:p>
    <w:p>
      <w:pPr>
        <w:ind w:right="40" w:firstLine="1297"/>
        <w:spacing w:after="0" w:line="272" w:lineRule="auto"/>
        <w:rPr>
          <w:sz w:val="20"/>
          <w:szCs w:val="20"/>
          <w:color w:val="auto"/>
        </w:rPr>
      </w:pPr>
      <w:r>
        <w:rPr>
          <w:rFonts w:ascii="Arial" w:cs="Arial" w:eastAsia="Arial" w:hAnsi="Arial"/>
          <w:sz w:val="17"/>
          <w:szCs w:val="17"/>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Part II, Item 1A, and elsewhere in this Quarterly Report, as well as the other public filings we make with the Securities and Exchange Commission. You should read this Quarterly Report with the understanding that our actual future financial condition and results may be materially different from and worse than what we expect.</w:t>
      </w:r>
    </w:p>
    <w:p>
      <w:pPr>
        <w:spacing w:after="0" w:line="178" w:lineRule="exact"/>
        <w:rPr>
          <w:sz w:val="20"/>
          <w:szCs w:val="20"/>
          <w:color w:val="auto"/>
        </w:rPr>
      </w:pPr>
    </w:p>
    <w:p>
      <w:pPr>
        <w:ind w:right="20" w:firstLine="1297"/>
        <w:spacing w:after="0" w:line="286" w:lineRule="auto"/>
        <w:rPr>
          <w:sz w:val="20"/>
          <w:szCs w:val="20"/>
          <w:color w:val="auto"/>
        </w:rPr>
      </w:pPr>
      <w:r>
        <w:rPr>
          <w:rFonts w:ascii="Arial" w:cs="Arial" w:eastAsia="Arial" w:hAnsi="Arial"/>
          <w:sz w:val="17"/>
          <w:szCs w:val="17"/>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66"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i w:val="1"/>
          <w:iCs w:val="1"/>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We qualify all of our forward-looking statements by these cautionary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1297"/>
        <w:spacing w:after="0" w:line="271" w:lineRule="auto"/>
        <w:rPr>
          <w:sz w:val="20"/>
          <w:szCs w:val="20"/>
          <w:color w:val="auto"/>
        </w:rPr>
      </w:pPr>
      <w:r>
        <w:rPr>
          <w:rFonts w:ascii="Arial" w:cs="Arial" w:eastAsia="Arial" w:hAnsi="Arial"/>
          <w:sz w:val="17"/>
          <w:szCs w:val="17"/>
          <w:color w:val="auto"/>
        </w:rPr>
        <w:t>We are a medical device company with an innovative approach to the design, development and commercialization of products for people with insulin-dependent diabetes. We believe our competitive advantage is rooted in our consumer-focused approach, and the incorporation of modern and innovative technology into our product offerings. Our manufacturing, sales and support activities principally focus on our flagship pump platform, the t:slim X2 Insulin Delivery System (t:slim X2), and our complementary product offerings. The simple-to-use t:slim X2 is based on our proprietary technology platform and is the smallest durable insulin pump available. It is the only pump currently available in the United States that is capable of remote feature updates, which positions us well to address the evolving needs and preferences of differentiated segments of the insulin-dependent diabetes market. By delivering innovative hardware and software solutions, as well as best-in-class customer support, we aim to improve and simplify the lives of people with diabetes and those of their healthcare providers.</w:t>
      </w:r>
    </w:p>
    <w:p>
      <w:pPr>
        <w:spacing w:after="0" w:line="179"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We have commercially launched six insulin pumps in the United States since inception, all of which have been developed using our proprietary technology platform. Three of our insulin pumps have featured continuous glucose monitoring (CGM) technology, and one features an automated insulin delivery (AID) algorithm. In addition, the United States Food and Drug Administration (FDA) has classified two categories for the interoperability of devices for AID. In June 2018, the t:slim X2 was the first insulin pump designated as compatible with integrated continuous glucose monitoring (known as iCGM) devices, and in February 2019, the t:slim X2 was the first in a new device category called Alternate Controller Enabled Infusion Pumps (ACE pumps).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In the four-year period ended September 30, 2019, we shipped approximately 129,000 insulin pumps, which is representative of our estimated global installed customer base on the typical four-year reimbursement cycle. Approximately 107,000 of these pumps were shipped to customers in the United States and approximately 22,000 were shipped to international markets.</w:t>
      </w:r>
    </w:p>
    <w:p>
      <w:pPr>
        <w:spacing w:after="0" w:line="181" w:lineRule="exact"/>
        <w:rPr>
          <w:sz w:val="20"/>
          <w:szCs w:val="20"/>
          <w:color w:val="auto"/>
        </w:rPr>
      </w:pPr>
    </w:p>
    <w:p>
      <w:pPr>
        <w:ind w:right="400" w:firstLine="1297"/>
        <w:spacing w:after="0" w:line="286" w:lineRule="auto"/>
        <w:rPr>
          <w:sz w:val="20"/>
          <w:szCs w:val="20"/>
          <w:color w:val="auto"/>
        </w:rPr>
      </w:pPr>
      <w:r>
        <w:rPr>
          <w:rFonts w:ascii="Arial" w:cs="Arial" w:eastAsia="Arial" w:hAnsi="Arial"/>
          <w:sz w:val="17"/>
          <w:szCs w:val="17"/>
          <w:color w:val="auto"/>
        </w:rPr>
        <w:t>During the third quarter of 2018, we began selling our t:slim X2 with G5 integration through distribution partners in select European countries, in addition to Australia, New Zealand, and South Africa. Direct sales efforts in Canada began in the fourth quarter of 2018. During the second quarter of 2019, we began selling our t:slim X2 with Basal-IQ technology in select geographies outside of the United States.</w:t>
      </w:r>
    </w:p>
    <w:p>
      <w:pPr>
        <w:spacing w:after="0" w:line="166" w:lineRule="exact"/>
        <w:rPr>
          <w:sz w:val="20"/>
          <w:szCs w:val="20"/>
          <w:color w:val="auto"/>
        </w:rPr>
      </w:pPr>
    </w:p>
    <w:p>
      <w:pPr>
        <w:ind w:right="20" w:firstLine="1297"/>
        <w:spacing w:after="0" w:line="342" w:lineRule="auto"/>
        <w:rPr>
          <w:sz w:val="20"/>
          <w:szCs w:val="20"/>
          <w:color w:val="auto"/>
        </w:rPr>
      </w:pPr>
      <w:r>
        <w:rPr>
          <w:rFonts w:ascii="Arial" w:cs="Arial" w:eastAsia="Arial" w:hAnsi="Arial"/>
          <w:sz w:val="16"/>
          <w:szCs w:val="16"/>
          <w:color w:val="auto"/>
        </w:rPr>
        <w:t>We have discontinued sales of our original t:slim, t:slim G4 and t:flex pumps, and our t:slim X2 hardware platform now represents 100% of new pump shipments. However, we continue to provide pump supplies, and ongoing service and support to customers using our earlier products.</w:t>
      </w:r>
    </w:p>
    <w:p>
      <w:pPr>
        <w:spacing w:after="0" w:line="124"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Our insulin pump products are generally considered durable medical equipment and have an expected lifespan of at least four years. In addition to insulin pumps, we sell disposable products that are used together with our pumps and are replaced every few days, including cartridges for storing and delivering insulin, and infusion sets that connect the insulin pump to a user’s body.</w:t>
      </w:r>
    </w:p>
    <w:p>
      <w:pPr>
        <w:spacing w:after="0" w:line="181"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Our insulin pumps are compatible with the Tandem Device Updater, a revolutionary tool that allows pump users to update their pumps’ software quickly and easily from a personal computer. The Tandem Device Updater launched in the United States in the first quarter of 2017 and outside of the United States in the third quarter of 2019. This unique offering provides our in-warranty customers potential access to new and enhanced features and functionality faster than the industry has been able to in the past. The first use of our Tandem Device Updater was to provide t:slim pumps with enhanced features, including an expedited fill cycle. We set a new standard of care in our industry by offering existing in-warranty t:slim X2 customers in the United States two significant software updates: (i) integration with the Dexcom G5 Mobile CGM system in August 2017 and (ii) an upgrade to our new Basal-IQ technology and integration with Dexcom’s G6 CGM system in August 2018. We are preparing to offer these customers a third significant software update, Control-IQ technology, subject to FDA approval. Outside of the United States, we plan to begin offering Control-IQ technology to in-warranty t:slim X2 customers in the second half of 2020, subject to required regulatory and reimbursement approvals. Our Tandem Device Updater positions us to bring future innovations, including our next generation AID algorithms, to t:slim X2 customers independent of the typical four-year insurance pump reimbursement cycle.</w:t>
      </w:r>
    </w:p>
    <w:p>
      <w:pPr>
        <w:spacing w:after="0" w:line="169"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For the nine months ended September 30, 2019 and 2018, our consolidated sales were $253.9 million and $107.7 million, respectively. For the nine months ended September 30, 2019 and 2018, our net loss was $27.4 million and $126.3 million, respectively. Worldwide pump sales accounted for 69% and 64% of our total sales, respectively, for the nine months ended September 30, 2019 and 2018, while pump-related supplies and accessories accounted for the remainder in each year. Our accumulated deficit as of September 30, 2019 and December 31, 2018 was $627.5 million and $600.1 million, respectively. These amounts included $197.7 million and $147.4 million of non-cash stock-based compensation charges and non-cash changes in the fair value of common stock warrants as of September 30, 2019 and December 31, 2018, respectively.</w:t>
      </w:r>
    </w:p>
    <w:p>
      <w:pPr>
        <w:spacing w:after="0" w:line="178"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 xml:space="preserve">In the United States, we have rapidly increased sales since the commercial launch of our first product by expanding our sales, clinical and marketing organization, by developing, commercializing and marketing multiple differentiated products that utilize our proprietary technology platform and consumer-focused approach, and by providing strong customer support. Our sales have further increased following our scaled product launches in geographies outside of the United States. We believe that by demonstrating our product benefits and the shortcomings of existing insulin therapies, more people will choose our insulin pumps for their therapy needs, allowing us to further penetrate and expand the market both domestically and outside of the United States. In addition, we believe publications, such as the results from the study using Control-IQ technology that was published in the </w:t>
      </w:r>
      <w:r>
        <w:rPr>
          <w:rFonts w:ascii="Arial" w:cs="Arial" w:eastAsia="Arial" w:hAnsi="Arial"/>
          <w:sz w:val="17"/>
          <w:szCs w:val="17"/>
          <w:i w:val="1"/>
          <w:iCs w:val="1"/>
          <w:color w:val="auto"/>
        </w:rPr>
        <w:t>New England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Journal of Medicine </w:t>
      </w:r>
      <w:r>
        <w:rPr>
          <w:rFonts w:ascii="Arial" w:cs="Arial" w:eastAsia="Arial" w:hAnsi="Arial"/>
          <w:sz w:val="17"/>
          <w:szCs w:val="17"/>
          <w:color w:val="auto"/>
        </w:rPr>
        <w:t>in October 2019, will be valuable in demonstrating the clinical outcome benefits derived from our system to healthcare providers and</w:t>
      </w:r>
      <w:r>
        <w:rPr>
          <w:rFonts w:ascii="Arial" w:cs="Arial" w:eastAsia="Arial" w:hAnsi="Arial"/>
          <w:sz w:val="17"/>
          <w:szCs w:val="17"/>
          <w:i w:val="1"/>
          <w:iCs w:val="1"/>
          <w:color w:val="auto"/>
        </w:rPr>
        <w:t xml:space="preserve"> </w:t>
      </w:r>
      <w:r>
        <w:rPr>
          <w:rFonts w:ascii="Arial" w:cs="Arial" w:eastAsia="Arial" w:hAnsi="Arial"/>
          <w:sz w:val="17"/>
          <w:szCs w:val="17"/>
          <w:color w:val="auto"/>
        </w:rPr>
        <w:t>payors. We also believe we are positioned well to address consumers’ needs and preferences with our current products and products under development and by offering customers access to our future innovations through the Tandem Device Updater, as they are approved by the local regulating bodies. At the same time, by innovating and offering new product features and benefits using our t:slim X2 platform, we are able to leverage a shared global manufacturing and supply chain infrastructure. In the United States, we are able to leverage a single sales, marketing, and clinical organization, as well as our domestic customer support services. In Canada, we have a separate sales organization and our customer support infrastructure benefits from close collaboration with our United States organization. In other international geographies, we have contracted with experienced distribution partners to commercialize and support our t:slim X2 platform.</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Under Development</w:t>
      </w:r>
    </w:p>
    <w:p>
      <w:pPr>
        <w:spacing w:after="0" w:line="225" w:lineRule="exact"/>
        <w:rPr>
          <w:sz w:val="20"/>
          <w:szCs w:val="20"/>
          <w:color w:val="auto"/>
        </w:rPr>
      </w:pPr>
    </w:p>
    <w:p>
      <w:pPr>
        <w:ind w:right="100" w:firstLine="1297"/>
        <w:spacing w:after="0" w:line="279" w:lineRule="auto"/>
        <w:rPr>
          <w:sz w:val="20"/>
          <w:szCs w:val="20"/>
          <w:color w:val="auto"/>
        </w:rPr>
      </w:pPr>
      <w:r>
        <w:rPr>
          <w:rFonts w:ascii="Arial" w:cs="Arial" w:eastAsia="Arial" w:hAnsi="Arial"/>
          <w:sz w:val="17"/>
          <w:szCs w:val="17"/>
          <w:color w:val="auto"/>
        </w:rPr>
        <w:t>Our products under development support our strategy of focusing on both consumer and clinical needs, and include a new AID system, a connected (mobile) health offerings and a next-generation hardware platform which we call the t:sport Insulin Delivery System. We intend to leverage our consumer-focused approach and proprietary technology platform to continue to develop products that have the features and functionality that will allow us to meet the needs of people in differentiated segments of the insulin-dependent diabetes market, including the following:</w:t>
      </w:r>
    </w:p>
    <w:p>
      <w:pPr>
        <w:spacing w:after="0" w:line="171" w:lineRule="exact"/>
        <w:rPr>
          <w:sz w:val="20"/>
          <w:szCs w:val="20"/>
          <w:color w:val="auto"/>
        </w:rPr>
      </w:pPr>
    </w:p>
    <w:p>
      <w:pPr>
        <w:ind w:left="1960" w:right="40" w:hanging="655"/>
        <w:spacing w:after="0" w:line="269" w:lineRule="auto"/>
        <w:tabs>
          <w:tab w:leader="none" w:pos="19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t:slim X2 with Control-IQ technology </w:t>
      </w:r>
      <w:r>
        <w:rPr>
          <w:rFonts w:ascii="Arial" w:cs="Arial" w:eastAsia="Arial" w:hAnsi="Arial"/>
          <w:sz w:val="17"/>
          <w:szCs w:val="17"/>
          <w:color w:val="auto"/>
        </w:rPr>
        <w:t>– Our second-generation AID system integrates our t:slim X2 with the technology that we</w:t>
      </w:r>
      <w:r>
        <w:rPr>
          <w:rFonts w:ascii="Arial" w:cs="Arial" w:eastAsia="Arial" w:hAnsi="Arial"/>
          <w:sz w:val="17"/>
          <w:szCs w:val="17"/>
          <w:i w:val="1"/>
          <w:iCs w:val="1"/>
          <w:color w:val="auto"/>
        </w:rPr>
        <w:t xml:space="preserve"> </w:t>
      </w:r>
      <w:r>
        <w:rPr>
          <w:rFonts w:ascii="Arial" w:cs="Arial" w:eastAsia="Arial" w:hAnsi="Arial"/>
          <w:sz w:val="17"/>
          <w:szCs w:val="17"/>
          <w:color w:val="auto"/>
        </w:rPr>
        <w:t>licensed from TypeZero Technologies, LLC (TypeZero) and Dexcom’s G6 CGM sensor. Our product is intended to both increase and decrease basal insulin based on a user’s predicted blood glucose levels from a compatible iCGM sensor, as well as deliver automated correction boluses. In conjunction with Dexcom and TypeZero, which was acquired by Dexcom in August 2018, we have integrated our technologies into the U.S. portion of the Clinical Acceptance of the Artificial Pancreas (DCLP3) portion of the International Diabetes Closed Loop (IDCL) trial. The 6-month study was completed in April 2019. In June 2019, positive results from this study were announced with significant time-in-range improvements. Subsequently, we filed a regulatory submission with the FDA for our t:slim X2 insulin pump with Control-IQ technology. Subject to FDA approval, our goal is to commence commercial sales of our t:slim X2 with Control-IQ technology in the United States in the fourth quarter of 2019. We are also awaiting the results of two studies using the t:slim X2 with Control-IQ technology in pediatric populations, which we intend to use to support a future regulatory submission for a lower age indication.</w:t>
      </w:r>
    </w:p>
    <w:p>
      <w:pPr>
        <w:spacing w:after="0" w:line="182" w:lineRule="exact"/>
        <w:rPr>
          <w:rFonts w:ascii="Arial" w:cs="Arial" w:eastAsia="Arial" w:hAnsi="Arial"/>
          <w:sz w:val="17"/>
          <w:szCs w:val="17"/>
          <w:i w:val="1"/>
          <w:iCs w:val="1"/>
          <w:color w:val="auto"/>
        </w:rPr>
      </w:pPr>
    </w:p>
    <w:p>
      <w:pPr>
        <w:ind w:left="1960" w:right="140" w:hanging="655"/>
        <w:spacing w:after="0" w:line="259" w:lineRule="auto"/>
        <w:tabs>
          <w:tab w:leader="none" w:pos="19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Connected (Mobile) Health Offerings – </w:t>
      </w:r>
      <w:r>
        <w:rPr>
          <w:rFonts w:ascii="Arial" w:cs="Arial" w:eastAsia="Arial" w:hAnsi="Arial"/>
          <w:sz w:val="18"/>
          <w:szCs w:val="18"/>
          <w:color w:val="auto"/>
        </w:rPr>
        <w:t>We are currently developing a mobile application that is being designed to utilize the</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capability of the Bluetooth radio integrated with the t:slim X2 to wirelessly upload pump data to t:connect, receive notification of pump alerts and alarms, integrate other health-related information from third party sources, and support future pump-control capabilities for our products under development.</w:t>
      </w:r>
    </w:p>
    <w:p>
      <w:pPr>
        <w:spacing w:after="0" w:line="186" w:lineRule="exact"/>
        <w:rPr>
          <w:rFonts w:ascii="Arial" w:cs="Arial" w:eastAsia="Arial" w:hAnsi="Arial"/>
          <w:sz w:val="18"/>
          <w:szCs w:val="18"/>
          <w:i w:val="1"/>
          <w:iCs w:val="1"/>
          <w:color w:val="auto"/>
        </w:rPr>
      </w:pPr>
    </w:p>
    <w:p>
      <w:pPr>
        <w:ind w:left="2600" w:right="20" w:hanging="647"/>
        <w:spacing w:after="0" w:line="259" w:lineRule="auto"/>
        <w:tabs>
          <w:tab w:leader="none" w:pos="2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are preparing to launch the first generation of this mobile application in the United States in conjunction with our Control-IQ technology, which will allow for the wireless upload of data to t:connect. The t:connect application is intended to reduce patient burden and increase healthcare provider office efficiency by reducing the manual steps historically required for data extraction.</w:t>
      </w:r>
    </w:p>
    <w:p>
      <w:pPr>
        <w:spacing w:after="0" w:line="186" w:lineRule="exact"/>
        <w:rPr>
          <w:rFonts w:ascii="Arial" w:cs="Arial" w:eastAsia="Arial" w:hAnsi="Arial"/>
          <w:sz w:val="18"/>
          <w:szCs w:val="18"/>
          <w:color w:val="auto"/>
        </w:rPr>
      </w:pPr>
    </w:p>
    <w:p>
      <w:pPr>
        <w:ind w:left="2600" w:hanging="647"/>
        <w:spacing w:after="0"/>
        <w:tabs>
          <w:tab w:leader="none" w:pos="2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Over time, we also intend to offer additional features and enhancements to the mobile application.</w:t>
      </w:r>
    </w:p>
    <w:p>
      <w:pPr>
        <w:spacing w:after="0" w:line="225" w:lineRule="exact"/>
        <w:rPr>
          <w:rFonts w:ascii="Arial" w:cs="Arial" w:eastAsia="Arial" w:hAnsi="Arial"/>
          <w:sz w:val="18"/>
          <w:szCs w:val="18"/>
          <w:color w:val="auto"/>
        </w:rPr>
      </w:pPr>
    </w:p>
    <w:p>
      <w:pPr>
        <w:ind w:left="1960" w:right="40" w:hanging="655"/>
        <w:spacing w:after="0" w:line="291" w:lineRule="auto"/>
        <w:tabs>
          <w:tab w:leader="none" w:pos="19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t:sport Insulin Delivery System – </w:t>
      </w:r>
      <w:r>
        <w:rPr>
          <w:rFonts w:ascii="Arial" w:cs="Arial" w:eastAsia="Arial" w:hAnsi="Arial"/>
          <w:sz w:val="16"/>
          <w:szCs w:val="16"/>
          <w:color w:val="auto"/>
        </w:rPr>
        <w:t>Approximately half the size of our t:slim X2 pump, the t:sport pump is being designed for people</w:t>
      </w:r>
      <w:r>
        <w:rPr>
          <w:rFonts w:ascii="Arial" w:cs="Arial" w:eastAsia="Arial" w:hAnsi="Arial"/>
          <w:sz w:val="16"/>
          <w:szCs w:val="16"/>
          <w:i w:val="1"/>
          <w:iCs w:val="1"/>
          <w:color w:val="auto"/>
        </w:rPr>
        <w:t xml:space="preserve"> </w:t>
      </w:r>
      <w:r>
        <w:rPr>
          <w:rFonts w:ascii="Arial" w:cs="Arial" w:eastAsia="Arial" w:hAnsi="Arial"/>
          <w:sz w:val="16"/>
          <w:szCs w:val="16"/>
          <w:color w:val="auto"/>
        </w:rPr>
        <w:t>who seek even greater discretion and flexibility with the use of their insulin pump. We anticipate that t:sport will feature a 200-unit cartridge, an on-pump bolus button, a rechargeable battery, an AID algorithm, and a Bluetooth radio. t:sport is being designed for use with leading U-100 insulins, and we are evaluating the use of insulin concentrates to provide to people with greater insulin needs. t:sport is expected to utilize a pumping mechanism that differs from our current Micro-Delivery technology. We anticipate that t:sport will be our first insulin pump to support full pump-control from our mobile application, subject to FDA review and approval. A separate controller may be offered in addition to or in advance of full mobile control availability.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Pump Shipments</w:t>
      </w:r>
    </w:p>
    <w:p>
      <w:pPr>
        <w:spacing w:after="0" w:line="225" w:lineRule="exact"/>
        <w:rPr>
          <w:sz w:val="20"/>
          <w:szCs w:val="20"/>
          <w:color w:val="auto"/>
        </w:rPr>
      </w:pPr>
    </w:p>
    <w:p>
      <w:pPr>
        <w:ind w:right="220" w:firstLine="1297"/>
        <w:spacing w:after="0" w:line="312" w:lineRule="auto"/>
        <w:rPr>
          <w:sz w:val="20"/>
          <w:szCs w:val="20"/>
          <w:color w:val="auto"/>
        </w:rPr>
      </w:pPr>
      <w:r>
        <w:rPr>
          <w:rFonts w:ascii="Arial" w:cs="Arial" w:eastAsia="Arial" w:hAnsi="Arial"/>
          <w:sz w:val="16"/>
          <w:szCs w:val="16"/>
          <w:color w:val="auto"/>
        </w:rPr>
        <w:t>From inception through June 2018, we derived nearly all of our sales from the shipment of insulin pumps and associated supplies to customers in the United States. Starting in the third quarter of 2018, we commenced sales of our t:slim X2 insulin pump in select international geographies. We consider the number of insulin pump units shipped per quarter domestically and internationally to be an important metric for managing our business.</w:t>
      </w:r>
    </w:p>
    <w:p>
      <w:pPr>
        <w:spacing w:after="0" w:line="147"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In the four-year period ended September 30, 2019, we shipped approximately 129,000 insulin pumps, of which approximately 107,000 were shipped to customers in the United States and approximately 22,000 were shipped to international markets. In the third quarter of 2019, we shipped 17,839 insulin pumps worldwide compared to 8,434 insulin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pumps shipped in the third quarter of 2018. For the nine months ended September 30, 2019, we shipped 53,829 insulin pumps worldwide compared to 18,325 in the nine months ended September 30, 2018.</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Pump shipments to customers in the United States by fiscal quarter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6800" w:type="dxa"/>
            <w:vAlign w:val="bottom"/>
            <w:tcBorders>
              <w:bottom w:val="single" w:sz="8" w:color="auto"/>
            </w:tcBorders>
            <w:gridSpan w:val="9"/>
          </w:tcPr>
          <w:p>
            <w:pPr>
              <w:ind w:left="1300"/>
              <w:spacing w:after="0"/>
              <w:rPr>
                <w:sz w:val="20"/>
                <w:szCs w:val="20"/>
                <w:color w:val="auto"/>
              </w:rPr>
            </w:pPr>
            <w:r>
              <w:rPr>
                <w:rFonts w:ascii="Arial" w:cs="Arial" w:eastAsia="Arial" w:hAnsi="Arial"/>
                <w:sz w:val="14"/>
                <w:szCs w:val="14"/>
                <w:b w:val="1"/>
                <w:bCs w:val="1"/>
                <w:color w:val="auto"/>
                <w:w w:val="96"/>
              </w:rPr>
              <w:t>Pump Units Shipped for Each of the Three Months Ended in Respective Years</w:t>
            </w:r>
            <w:r>
              <w:rPr>
                <w:rFonts w:ascii="Arial" w:cs="Arial" w:eastAsia="Arial" w:hAnsi="Arial"/>
                <w:sz w:val="10"/>
                <w:szCs w:val="10"/>
                <w:b w:val="1"/>
                <w:bCs w:val="1"/>
                <w:color w:val="auto"/>
                <w:w w:val="96"/>
              </w:rPr>
              <w:t>(1)</w:t>
            </w:r>
            <w:r>
              <w:rPr>
                <w:rFonts w:ascii="Arial" w:cs="Arial" w:eastAsia="Arial" w:hAnsi="Arial"/>
                <w:sz w:val="14"/>
                <w:szCs w:val="14"/>
                <w:b w:val="1"/>
                <w:bCs w:val="1"/>
                <w:color w:val="auto"/>
                <w:w w:val="96"/>
              </w:rPr>
              <w:t xml:space="preserve"> - U.S.</w:t>
            </w:r>
          </w:p>
        </w:tc>
        <w:tc>
          <w:tcPr>
            <w:tcW w:w="1080" w:type="dxa"/>
            <w:vAlign w:val="bottom"/>
            <w:tcBorders>
              <w:bottom w:val="single" w:sz="8" w:color="auto"/>
            </w:tcBorders>
          </w:tcPr>
          <w:p>
            <w:pPr>
              <w:spacing w:after="0"/>
              <w:rPr>
                <w:sz w:val="16"/>
                <w:szCs w:val="16"/>
                <w:color w:val="auto"/>
              </w:rPr>
            </w:pPr>
          </w:p>
        </w:tc>
      </w:tr>
      <w:tr>
        <w:trPr>
          <w:trHeight w:val="264"/>
        </w:trPr>
        <w:tc>
          <w:tcPr>
            <w:tcW w:w="3540" w:type="dxa"/>
            <w:vAlign w:val="bottom"/>
            <w:tcBorders>
              <w:bottom w:val="single" w:sz="8" w:color="CFF0FC"/>
            </w:tcBorders>
          </w:tcPr>
          <w:p>
            <w:pPr>
              <w:spacing w:after="0"/>
              <w:rPr>
                <w:sz w:val="22"/>
                <w:szCs w:val="22"/>
                <w:color w:val="auto"/>
              </w:rPr>
            </w:pPr>
          </w:p>
        </w:tc>
        <w:tc>
          <w:tcPr>
            <w:tcW w:w="15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CFF0FC"/>
            </w:tcBorders>
          </w:tcPr>
          <w:p>
            <w:pPr>
              <w:spacing w:after="0"/>
              <w:rPr>
                <w:sz w:val="22"/>
                <w:szCs w:val="22"/>
                <w:color w:val="auto"/>
              </w:rPr>
            </w:pPr>
          </w:p>
        </w:tc>
        <w:tc>
          <w:tcPr>
            <w:tcW w:w="15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CFF0FC"/>
            </w:tcBorders>
          </w:tcPr>
          <w:p>
            <w:pPr>
              <w:spacing w:after="0"/>
              <w:rPr>
                <w:sz w:val="22"/>
                <w:szCs w:val="22"/>
                <w:color w:val="auto"/>
              </w:rPr>
            </w:pPr>
          </w:p>
        </w:tc>
        <w:tc>
          <w:tcPr>
            <w:tcW w:w="14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FF0FC"/>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w:t>
            </w:r>
          </w:p>
        </w:tc>
        <w:tc>
          <w:tcPr>
            <w:tcW w:w="10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35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2012</w:t>
            </w:r>
          </w:p>
        </w:tc>
        <w:tc>
          <w:tcPr>
            <w:tcW w:w="16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1,057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2013</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6,472</w:t>
            </w: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2014</w:t>
            </w:r>
          </w:p>
        </w:tc>
        <w:tc>
          <w:tcPr>
            <w:tcW w:w="150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1,723</w:t>
            </w:r>
          </w:p>
        </w:tc>
        <w:tc>
          <w:tcPr>
            <w:tcW w:w="1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2,235</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2,935</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3,929</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10,822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2015</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2,487</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6,234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15,483</w:t>
            </w: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540" w:type="dxa"/>
            <w:vAlign w:val="bottom"/>
            <w:shd w:val="clear" w:color="auto" w:fill="CFF0FC"/>
          </w:tcPr>
          <w:p>
            <w:pPr>
              <w:ind w:left="40"/>
              <w:spacing w:after="0" w:line="270" w:lineRule="exact"/>
              <w:rPr>
                <w:sz w:val="20"/>
                <w:szCs w:val="20"/>
                <w:color w:val="auto"/>
              </w:rPr>
            </w:pPr>
            <w:r>
              <w:rPr>
                <w:rFonts w:ascii="Arial" w:cs="Arial" w:eastAsia="Arial" w:hAnsi="Arial"/>
                <w:sz w:val="18"/>
                <w:szCs w:val="18"/>
                <w:color w:val="auto"/>
              </w:rPr>
              <w:t>2016</w:t>
            </w:r>
            <w:r>
              <w:rPr>
                <w:rFonts w:ascii="Arial" w:cs="Arial" w:eastAsia="Arial" w:hAnsi="Arial"/>
                <w:sz w:val="25"/>
                <w:szCs w:val="25"/>
                <w:color w:val="auto"/>
                <w:vertAlign w:val="superscript"/>
              </w:rPr>
              <w:t>(2)</w:t>
            </w:r>
          </w:p>
        </w:tc>
        <w:tc>
          <w:tcPr>
            <w:tcW w:w="15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4,042</w:t>
            </w:r>
          </w:p>
        </w:tc>
        <w:tc>
          <w:tcPr>
            <w:tcW w:w="120" w:type="dxa"/>
            <w:vAlign w:val="bottom"/>
            <w:shd w:val="clear" w:color="auto" w:fill="CFF0FC"/>
          </w:tcPr>
          <w:p>
            <w:pPr>
              <w:spacing w:after="0"/>
              <w:rPr>
                <w:sz w:val="23"/>
                <w:szCs w:val="23"/>
                <w:color w:val="auto"/>
              </w:rPr>
            </w:pP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4,582</w:t>
            </w:r>
          </w:p>
        </w:tc>
        <w:tc>
          <w:tcPr>
            <w:tcW w:w="120" w:type="dxa"/>
            <w:vAlign w:val="bottom"/>
            <w:shd w:val="clear" w:color="auto" w:fill="CFF0FC"/>
          </w:tcPr>
          <w:p>
            <w:pPr>
              <w:spacing w:after="0"/>
              <w:rPr>
                <w:sz w:val="23"/>
                <w:szCs w:val="23"/>
                <w:color w:val="auto"/>
              </w:rPr>
            </w:pPr>
          </w:p>
        </w:tc>
        <w:tc>
          <w:tcPr>
            <w:tcW w:w="14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3,896</w:t>
            </w:r>
          </w:p>
        </w:tc>
        <w:tc>
          <w:tcPr>
            <w:tcW w:w="100" w:type="dxa"/>
            <w:vAlign w:val="bottom"/>
            <w:shd w:val="clear" w:color="auto" w:fill="CFF0FC"/>
          </w:tcPr>
          <w:p>
            <w:pPr>
              <w:spacing w:after="0"/>
              <w:rPr>
                <w:sz w:val="23"/>
                <w:szCs w:val="23"/>
                <w:color w:val="auto"/>
              </w:rPr>
            </w:pPr>
          </w:p>
        </w:tc>
        <w:tc>
          <w:tcPr>
            <w:tcW w:w="14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4,418</w:t>
            </w:r>
          </w:p>
        </w:tc>
        <w:tc>
          <w:tcPr>
            <w:tcW w:w="10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10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16,938</w:t>
            </w: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2017</w:t>
            </w:r>
            <w:r>
              <w:rPr>
                <w:rFonts w:ascii="Arial" w:cs="Arial" w:eastAsia="Arial" w:hAnsi="Arial"/>
                <w:sz w:val="25"/>
                <w:szCs w:val="25"/>
                <w:color w:val="auto"/>
                <w:vertAlign w:val="superscript"/>
              </w:rPr>
              <w:t>(2)</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2,816</w:t>
            </w:r>
          </w:p>
        </w:tc>
        <w:tc>
          <w:tcPr>
            <w:tcW w:w="120" w:type="dxa"/>
            <w:vAlign w:val="bottom"/>
          </w:tcPr>
          <w:p>
            <w:pPr>
              <w:spacing w:after="0"/>
              <w:rPr>
                <w:sz w:val="23"/>
                <w:szCs w:val="23"/>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3,427</w:t>
            </w:r>
          </w:p>
        </w:tc>
        <w:tc>
          <w:tcPr>
            <w:tcW w:w="120" w:type="dxa"/>
            <w:vAlign w:val="bottom"/>
          </w:tcPr>
          <w:p>
            <w:pPr>
              <w:spacing w:after="0"/>
              <w:rPr>
                <w:sz w:val="23"/>
                <w:szCs w:val="23"/>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3"/>
                <w:szCs w:val="23"/>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6,950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17,061</w:t>
            </w:r>
          </w:p>
        </w:tc>
      </w:tr>
      <w:tr>
        <w:trPr>
          <w:trHeight w:val="250"/>
        </w:trPr>
        <w:tc>
          <w:tcPr>
            <w:tcW w:w="35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2018</w:t>
            </w:r>
          </w:p>
        </w:tc>
        <w:tc>
          <w:tcPr>
            <w:tcW w:w="150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4,444</w:t>
            </w:r>
          </w:p>
        </w:tc>
        <w:tc>
          <w:tcPr>
            <w:tcW w:w="1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5,447</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7,379</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12,935</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30,205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2019</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9,669</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12,799</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13,814</w:t>
            </w:r>
          </w:p>
        </w:tc>
        <w:tc>
          <w:tcPr>
            <w:tcW w:w="100" w:type="dxa"/>
            <w:vAlign w:val="bottom"/>
          </w:tcPr>
          <w:p>
            <w:pPr>
              <w:spacing w:after="0"/>
              <w:rPr>
                <w:sz w:val="21"/>
                <w:szCs w:val="21"/>
                <w:color w:val="auto"/>
              </w:rPr>
            </w:pPr>
          </w:p>
        </w:tc>
        <w:tc>
          <w:tcPr>
            <w:tcW w:w="1980" w:type="dxa"/>
            <w:vAlign w:val="bottom"/>
            <w:gridSpan w:val="3"/>
          </w:tcPr>
          <w:p>
            <w:pPr>
              <w:jc w:val="center"/>
              <w:ind w:right="500"/>
              <w:spacing w:after="0"/>
              <w:rPr>
                <w:sz w:val="20"/>
                <w:szCs w:val="20"/>
                <w:color w:val="auto"/>
              </w:rPr>
            </w:pPr>
            <w:r>
              <w:rPr>
                <w:rFonts w:ascii="Arial" w:cs="Arial" w:eastAsia="Arial" w:hAnsi="Arial"/>
                <w:sz w:val="18"/>
                <w:szCs w:val="18"/>
                <w:color w:val="auto"/>
              </w:rPr>
              <w:t>N/A</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36,282</w:t>
            </w:r>
          </w:p>
        </w:tc>
      </w:tr>
    </w:tbl>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Pump shipments to international customers by fiscal quarter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6940" w:type="dxa"/>
            <w:vAlign w:val="bottom"/>
            <w:tcBorders>
              <w:bottom w:val="single" w:sz="8" w:color="auto"/>
            </w:tcBorders>
            <w:gridSpan w:val="9"/>
          </w:tcPr>
          <w:p>
            <w:pPr>
              <w:ind w:left="1020"/>
              <w:spacing w:after="0"/>
              <w:rPr>
                <w:sz w:val="20"/>
                <w:szCs w:val="20"/>
                <w:color w:val="auto"/>
              </w:rPr>
            </w:pPr>
            <w:r>
              <w:rPr>
                <w:rFonts w:ascii="Arial" w:cs="Arial" w:eastAsia="Arial" w:hAnsi="Arial"/>
                <w:sz w:val="14"/>
                <w:szCs w:val="14"/>
                <w:b w:val="1"/>
                <w:bCs w:val="1"/>
                <w:color w:val="auto"/>
                <w:w w:val="94"/>
              </w:rPr>
              <w:t>Pump Units Shipped for Each of the Three Months Ended in Respective Years</w:t>
            </w:r>
            <w:r>
              <w:rPr>
                <w:rFonts w:ascii="Arial" w:cs="Arial" w:eastAsia="Arial" w:hAnsi="Arial"/>
                <w:sz w:val="10"/>
                <w:szCs w:val="10"/>
                <w:b w:val="1"/>
                <w:bCs w:val="1"/>
                <w:color w:val="auto"/>
                <w:w w:val="94"/>
              </w:rPr>
              <w:t>(1)</w:t>
            </w:r>
            <w:r>
              <w:rPr>
                <w:rFonts w:ascii="Arial" w:cs="Arial" w:eastAsia="Arial" w:hAnsi="Arial"/>
                <w:sz w:val="14"/>
                <w:szCs w:val="14"/>
                <w:b w:val="1"/>
                <w:bCs w:val="1"/>
                <w:color w:val="auto"/>
                <w:w w:val="94"/>
              </w:rPr>
              <w:t xml:space="preserve"> - International</w:t>
            </w:r>
          </w:p>
        </w:tc>
        <w:tc>
          <w:tcPr>
            <w:tcW w:w="940" w:type="dxa"/>
            <w:vAlign w:val="bottom"/>
            <w:tcBorders>
              <w:bottom w:val="single" w:sz="8" w:color="auto"/>
            </w:tcBorders>
          </w:tcPr>
          <w:p>
            <w:pPr>
              <w:spacing w:after="0"/>
              <w:rPr>
                <w:sz w:val="16"/>
                <w:szCs w:val="16"/>
                <w:color w:val="auto"/>
              </w:rPr>
            </w:pPr>
          </w:p>
        </w:tc>
      </w:tr>
      <w:tr>
        <w:trPr>
          <w:trHeight w:val="264"/>
        </w:trPr>
        <w:tc>
          <w:tcPr>
            <w:tcW w:w="3540" w:type="dxa"/>
            <w:vAlign w:val="bottom"/>
            <w:tcBorders>
              <w:bottom w:val="single" w:sz="8" w:color="CFF0FC"/>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March 31</w:t>
            </w:r>
          </w:p>
        </w:tc>
        <w:tc>
          <w:tcPr>
            <w:tcW w:w="120" w:type="dxa"/>
            <w:vAlign w:val="bottom"/>
            <w:tcBorders>
              <w:bottom w:val="single" w:sz="8" w:color="CFF0FC"/>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June 30</w:t>
            </w:r>
          </w:p>
        </w:tc>
        <w:tc>
          <w:tcPr>
            <w:tcW w:w="120" w:type="dxa"/>
            <w:vAlign w:val="bottom"/>
            <w:tcBorders>
              <w:bottom w:val="single" w:sz="8" w:color="CFF0FC"/>
            </w:tcBorders>
          </w:tcPr>
          <w:p>
            <w:pPr>
              <w:spacing w:after="0"/>
              <w:rPr>
                <w:sz w:val="22"/>
                <w:szCs w:val="22"/>
                <w:color w:val="auto"/>
              </w:rPr>
            </w:pPr>
          </w:p>
        </w:tc>
        <w:tc>
          <w:tcPr>
            <w:tcW w:w="14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FF0FC"/>
            </w:tcBorders>
          </w:tcPr>
          <w:p>
            <w:pPr>
              <w:spacing w:after="0"/>
              <w:rPr>
                <w:sz w:val="22"/>
                <w:szCs w:val="22"/>
                <w:color w:val="auto"/>
              </w:rPr>
            </w:pPr>
          </w:p>
        </w:tc>
        <w:tc>
          <w:tcPr>
            <w:tcW w:w="14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50"/>
        </w:trPr>
        <w:tc>
          <w:tcPr>
            <w:tcW w:w="3540" w:type="dxa"/>
            <w:vAlign w:val="bottom"/>
            <w:tcBorders>
              <w:bottom w:val="single" w:sz="8" w:color="CFF0FC"/>
            </w:tcBorders>
            <w:shd w:val="clear" w:color="auto" w:fill="CFF0FC"/>
          </w:tcPr>
          <w:p>
            <w:pPr>
              <w:jc w:val="right"/>
              <w:ind w:right="3050"/>
              <w:spacing w:after="0"/>
              <w:rPr>
                <w:sz w:val="20"/>
                <w:szCs w:val="20"/>
                <w:color w:val="auto"/>
              </w:rPr>
            </w:pPr>
            <w:r>
              <w:rPr>
                <w:rFonts w:ascii="Arial" w:cs="Arial" w:eastAsia="Arial" w:hAnsi="Arial"/>
                <w:sz w:val="18"/>
                <w:szCs w:val="18"/>
                <w:color w:val="auto"/>
                <w:w w:val="94"/>
              </w:rPr>
              <w:t>2018</w:t>
            </w:r>
          </w:p>
        </w:tc>
        <w:tc>
          <w:tcPr>
            <w:tcW w:w="1620" w:type="dxa"/>
            <w:vAlign w:val="bottom"/>
            <w:tcBorders>
              <w:bottom w:val="single" w:sz="8" w:color="CFF0FC"/>
            </w:tcBorders>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N/A</w:t>
            </w:r>
          </w:p>
        </w:tc>
        <w:tc>
          <w:tcPr>
            <w:tcW w:w="1620" w:type="dxa"/>
            <w:vAlign w:val="bottom"/>
            <w:tcBorders>
              <w:bottom w:val="single" w:sz="8" w:color="CFF0FC"/>
            </w:tcBorders>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N/A</w:t>
            </w:r>
          </w:p>
        </w:tc>
        <w:tc>
          <w:tcPr>
            <w:tcW w:w="148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3,233</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4,288</w:t>
            </w:r>
          </w:p>
        </w:tc>
      </w:tr>
      <w:tr>
        <w:trPr>
          <w:trHeight w:val="243"/>
        </w:trPr>
        <w:tc>
          <w:tcPr>
            <w:tcW w:w="3540" w:type="dxa"/>
            <w:vAlign w:val="bottom"/>
          </w:tcPr>
          <w:p>
            <w:pPr>
              <w:jc w:val="right"/>
              <w:ind w:right="3050"/>
              <w:spacing w:after="0"/>
              <w:rPr>
                <w:sz w:val="20"/>
                <w:szCs w:val="20"/>
                <w:color w:val="auto"/>
              </w:rPr>
            </w:pPr>
            <w:r>
              <w:rPr>
                <w:rFonts w:ascii="Arial" w:cs="Arial" w:eastAsia="Arial" w:hAnsi="Arial"/>
                <w:sz w:val="18"/>
                <w:szCs w:val="18"/>
                <w:color w:val="auto"/>
                <w:w w:val="94"/>
              </w:rPr>
              <w:t>2019</w:t>
            </w: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5,063</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8,459</w:t>
            </w:r>
          </w:p>
        </w:tc>
        <w:tc>
          <w:tcPr>
            <w:tcW w:w="1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4,025</w:t>
            </w:r>
          </w:p>
        </w:tc>
        <w:tc>
          <w:tcPr>
            <w:tcW w:w="100" w:type="dxa"/>
            <w:vAlign w:val="bottom"/>
          </w:tcPr>
          <w:p>
            <w:pPr>
              <w:spacing w:after="0"/>
              <w:rPr>
                <w:sz w:val="21"/>
                <w:szCs w:val="21"/>
                <w:color w:val="auto"/>
              </w:rPr>
            </w:pPr>
          </w:p>
        </w:tc>
        <w:tc>
          <w:tcPr>
            <w:tcW w:w="2120" w:type="dxa"/>
            <w:vAlign w:val="bottom"/>
            <w:gridSpan w:val="3"/>
          </w:tcPr>
          <w:p>
            <w:pPr>
              <w:jc w:val="right"/>
              <w:ind w:right="740"/>
              <w:spacing w:after="0"/>
              <w:rPr>
                <w:sz w:val="20"/>
                <w:szCs w:val="20"/>
                <w:color w:val="auto"/>
              </w:rPr>
            </w:pPr>
            <w:r>
              <w:rPr>
                <w:rFonts w:ascii="Arial" w:cs="Arial" w:eastAsia="Arial" w:hAnsi="Arial"/>
                <w:sz w:val="18"/>
                <w:szCs w:val="18"/>
                <w:color w:val="auto"/>
              </w:rPr>
              <w:t>N/A</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17,547</w:t>
            </w:r>
          </w:p>
        </w:tc>
      </w:tr>
    </w:tbl>
    <w:p>
      <w:pPr>
        <w:spacing w:after="0" w:line="6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pump units shipped do not reflect returns or exchanges of pump products that occur in the ordinary course of business.</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2016 and 2017 U.S. shipments do not include approximately 3,300 pump trade-ins fulfilled under the Technology Upgrade Program related to our commercial launch of t:slim X2.</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Impacting Financial Results</w:t>
      </w:r>
    </w:p>
    <w:p>
      <w:pPr>
        <w:spacing w:after="0" w:line="225" w:lineRule="exact"/>
        <w:rPr>
          <w:sz w:val="20"/>
          <w:szCs w:val="20"/>
          <w:color w:val="auto"/>
        </w:rPr>
      </w:pPr>
    </w:p>
    <w:p>
      <w:pPr>
        <w:ind w:right="80" w:firstLine="1297"/>
        <w:spacing w:after="0" w:line="279" w:lineRule="auto"/>
        <w:rPr>
          <w:sz w:val="20"/>
          <w:szCs w:val="20"/>
          <w:color w:val="auto"/>
        </w:rPr>
      </w:pPr>
      <w:r>
        <w:rPr>
          <w:rFonts w:ascii="Arial" w:cs="Arial" w:eastAsia="Arial" w:hAnsi="Arial"/>
          <w:sz w:val="17"/>
          <w:szCs w:val="17"/>
          <w:color w:val="auto"/>
        </w:rPr>
        <w:t>Overall, we have experienced considerable sales growth since the commercial launch of our first product in the third quarter of 2012, while incurring operating losses since our inception. Our operating results have historically fluctuated on a quarterly or annual basis, particularly in periods surrounding anticipated regulatory approvals, the commercial launch of new products by us and our competitors, and the commercial launch of our products in geographies outside of the United States. We expect these periodic fluctuations in our operating results to continue.</w:t>
      </w:r>
    </w:p>
    <w:p>
      <w:pPr>
        <w:spacing w:after="0" w:line="171"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We believe that our financial condition and operating results, as well as the decision-making process of our current and potential customers, has been and will continue to be impacted by a number of general trends, including the following:</w:t>
      </w:r>
    </w:p>
    <w:p>
      <w:pPr>
        <w:spacing w:after="0" w:line="170" w:lineRule="exact"/>
        <w:rPr>
          <w:sz w:val="20"/>
          <w:szCs w:val="20"/>
          <w:color w:val="auto"/>
        </w:rPr>
      </w:pPr>
    </w:p>
    <w:p>
      <w:pPr>
        <w:ind w:left="1960" w:right="540" w:hanging="655"/>
        <w:spacing w:after="0" w:line="277"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acceptance of our products and competitive products by people with insulin-dependent diabetes, their caregivers and healthcare providers;</w:t>
      </w:r>
    </w:p>
    <w:p>
      <w:pPr>
        <w:spacing w:after="0" w:line="170" w:lineRule="exact"/>
        <w:rPr>
          <w:rFonts w:ascii="Arial" w:cs="Arial" w:eastAsia="Arial" w:hAnsi="Arial"/>
          <w:sz w:val="18"/>
          <w:szCs w:val="18"/>
          <w:color w:val="auto"/>
        </w:rPr>
      </w:pPr>
    </w:p>
    <w:p>
      <w:pPr>
        <w:ind w:left="1960" w:right="300" w:hanging="655"/>
        <w:spacing w:after="0" w:line="277"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introduction of new products, treatment techniques or technologies for the treatment of diabetes, including the timing of the commercialization of new products by us and our competitors;</w:t>
      </w:r>
    </w:p>
    <w:p>
      <w:pPr>
        <w:spacing w:after="0" w:line="170" w:lineRule="exact"/>
        <w:rPr>
          <w:rFonts w:ascii="Arial" w:cs="Arial" w:eastAsia="Arial" w:hAnsi="Arial"/>
          <w:sz w:val="18"/>
          <w:szCs w:val="18"/>
          <w:color w:val="auto"/>
        </w:rPr>
      </w:pPr>
    </w:p>
    <w:p>
      <w:pPr>
        <w:ind w:left="1960" w:right="320" w:hanging="655"/>
        <w:spacing w:after="0" w:line="277"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seasonality in the United States associated with annual insurance deductibles and coinsurance requirements associated with the medical insurance plans utilized by our customers and the customers of our distributors;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of holidays and summer vacations, which may vary by geography;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buying patterns of our distributors and other customers, both domestically and internationally;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the competitive landscape, including as a result of companies entering or exiting the diabetes therapy market;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960" w:right="340" w:hanging="655"/>
        <w:spacing w:after="0" w:line="277" w:lineRule="auto"/>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access to adequate coverage and reimbursement for our current and future products by third-party payors, and reimbursement decisions by third-party payors;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magnitude and timing of any changes to our facilities, manufacturing operations and other infrastructure;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anticipated and actual regulatory approvals of our products and competitive products; and</w:t>
      </w:r>
    </w:p>
    <w:p>
      <w:pPr>
        <w:spacing w:after="0" w:line="225" w:lineRule="exact"/>
        <w:rPr>
          <w:rFonts w:ascii="Arial" w:cs="Arial" w:eastAsia="Arial" w:hAnsi="Arial"/>
          <w:sz w:val="18"/>
          <w:szCs w:val="18"/>
          <w:color w:val="auto"/>
        </w:rPr>
      </w:pPr>
    </w:p>
    <w:p>
      <w:pPr>
        <w:ind w:left="1960" w:right="340" w:hanging="655"/>
        <w:spacing w:after="0" w:line="277" w:lineRule="auto"/>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recalls impacting, or the suspension or withdrawal of regulatory clearance or approval relating to, our products or the products of our competitors.</w:t>
      </w:r>
    </w:p>
    <w:p>
      <w:pPr>
        <w:spacing w:after="0" w:line="170"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In addition to these general trends, we believe the following specific factors have materially impacted, and could continue to materially impact our business going forward:</w:t>
      </w:r>
    </w:p>
    <w:p>
      <w:pPr>
        <w:spacing w:after="0" w:line="170" w:lineRule="exact"/>
        <w:rPr>
          <w:sz w:val="20"/>
          <w:szCs w:val="20"/>
          <w:color w:val="auto"/>
        </w:rPr>
      </w:pPr>
    </w:p>
    <w:p>
      <w:pPr>
        <w:ind w:left="1960" w:right="60" w:hanging="655"/>
        <w:spacing w:after="0" w:line="277"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increase in demand following the commercial launch of t:slim X2 and the demonstrated success of our Tandem Device Updater;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anticipated new product launches;</w:t>
      </w:r>
    </w:p>
    <w:p>
      <w:pPr>
        <w:spacing w:after="0" w:line="225" w:lineRule="exact"/>
        <w:rPr>
          <w:rFonts w:ascii="Arial" w:cs="Arial" w:eastAsia="Arial" w:hAnsi="Arial"/>
          <w:sz w:val="18"/>
          <w:szCs w:val="18"/>
          <w:color w:val="auto"/>
        </w:rPr>
      </w:pPr>
    </w:p>
    <w:p>
      <w:pPr>
        <w:ind w:left="1960" w:right="20" w:hanging="655"/>
        <w:spacing w:after="0" w:line="277"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opportunity to achieve customer renewals as customers become eligible for insurance reimbursement to purchase a new insulin pump at the end of the typical four-year reimbursement cycle;</w:t>
      </w:r>
    </w:p>
    <w:p>
      <w:pPr>
        <w:spacing w:after="0" w:line="170" w:lineRule="exact"/>
        <w:rPr>
          <w:rFonts w:ascii="Arial" w:cs="Arial" w:eastAsia="Arial" w:hAnsi="Arial"/>
          <w:sz w:val="18"/>
          <w:szCs w:val="18"/>
          <w:color w:val="auto"/>
        </w:rPr>
      </w:pPr>
    </w:p>
    <w:p>
      <w:pPr>
        <w:ind w:left="1960" w:right="380" w:hanging="655"/>
        <w:spacing w:after="0" w:line="342" w:lineRule="auto"/>
        <w:tabs>
          <w:tab w:leader="none" w:pos="1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opportunity to attract customers of Animas Corporation (Animas) following the announcement by Johnson &amp; Johnson that it discontinued the operations of Animas and discontinued availability of Animas pump supplies on September 30, 2019;</w:t>
      </w:r>
    </w:p>
    <w:p>
      <w:pPr>
        <w:spacing w:after="0" w:line="123" w:lineRule="exact"/>
        <w:rPr>
          <w:rFonts w:ascii="Arial" w:cs="Arial" w:eastAsia="Arial" w:hAnsi="Arial"/>
          <w:sz w:val="16"/>
          <w:szCs w:val="16"/>
          <w:color w:val="auto"/>
        </w:rPr>
      </w:pPr>
    </w:p>
    <w:p>
      <w:pPr>
        <w:ind w:left="1960" w:right="280" w:hanging="655"/>
        <w:spacing w:after="0" w:line="277"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designation by UnitedHealthcare of one of our competitors as its preferred, in-network durable medical equipment provider of insulin pumps for most customers age seven and above;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enter into and maintain agreements with CGM partners for CGM integration;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expansion and new product launches in select international geographies; and</w:t>
      </w:r>
    </w:p>
    <w:p>
      <w:pPr>
        <w:spacing w:after="0" w:line="225" w:lineRule="exact"/>
        <w:rPr>
          <w:rFonts w:ascii="Arial" w:cs="Arial" w:eastAsia="Arial" w:hAnsi="Arial"/>
          <w:sz w:val="18"/>
          <w:szCs w:val="18"/>
          <w:color w:val="auto"/>
        </w:rPr>
      </w:pPr>
    </w:p>
    <w:p>
      <w:pPr>
        <w:jc w:val="both"/>
        <w:ind w:left="1960" w:right="240" w:hanging="655"/>
        <w:spacing w:after="0" w:line="342" w:lineRule="auto"/>
        <w:tabs>
          <w:tab w:leader="none" w:pos="1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ability to effectively scale our operations to support rapid growth, including expanding our facilities, increasing manufacturing capacity through third party manufacturers, and hiring and retaining employees in the customer service and support functions.</w:t>
      </w:r>
    </w:p>
    <w:p>
      <w:pPr>
        <w:spacing w:after="0" w:line="340"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In addition to working to achieve our sales growth expectations, we intend to continue to leverage our infrastructure investments to realize additional manufacturing, sales, marketing and administration cost efficiencies with the goal of improving our operating margins and ultimately achieving sustained profitability. We achieved profitability for the first time in the fourth quarter of 2018, although we may be unable to achieve profitability from period to period. We believe we can ultimately achieve sustained profitability by driving incremental sales growth in U.S. and international markets, meeting our pump renewal sales objectives, increasing gross profits from additional sales of infusion sets, maximizing manufacturing efficiencies on increased production volumes, and leveraging the investments made in our sales, clinical, marketing and customer support organizations.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Collaboration with Abbott</w:t>
      </w:r>
    </w:p>
    <w:p>
      <w:pPr>
        <w:spacing w:after="0" w:line="225"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In October 2019, we and Abbott Laboratories (Abbott) announced that we intend to develop and commercialize integrated diabetes solutions that combine Abbott's glucose sensing technology with Tandem's innovative insulin delivery systems to provide additional treatment options for people with insulin-dependence to manage their diabetes. These development and commercialization plans are contingent on the negotiation of a definitive agreement, and while the parties are currently exploring a business relationship, there can be no assurance that an agreement will be reached or that any agreement will be on the terms that are currently being discussed.</w:t>
      </w: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i w:val="1"/>
          <w:iCs w:val="1"/>
          <w:color w:val="auto"/>
        </w:rPr>
        <w:t>International Diabetes Closed Loop trial using the t:slim X2 insulin pump with Control-IQ advanced hybrid closed-loop technology</w:t>
      </w:r>
    </w:p>
    <w:p>
      <w:pPr>
        <w:spacing w:after="0" w:line="237" w:lineRule="exact"/>
        <w:rPr>
          <w:sz w:val="20"/>
          <w:szCs w:val="20"/>
          <w:color w:val="auto"/>
        </w:rPr>
      </w:pPr>
    </w:p>
    <w:p>
      <w:pPr>
        <w:ind w:right="60" w:firstLine="1297"/>
        <w:spacing w:after="0" w:line="272" w:lineRule="auto"/>
        <w:rPr>
          <w:sz w:val="20"/>
          <w:szCs w:val="20"/>
          <w:color w:val="auto"/>
        </w:rPr>
      </w:pPr>
      <w:r>
        <w:rPr>
          <w:rFonts w:ascii="Arial" w:cs="Arial" w:eastAsia="Arial" w:hAnsi="Arial"/>
          <w:sz w:val="17"/>
          <w:szCs w:val="17"/>
          <w:color w:val="auto"/>
        </w:rPr>
        <w:t xml:space="preserve">In October 2019, the </w:t>
      </w:r>
      <w:r>
        <w:rPr>
          <w:rFonts w:ascii="Arial" w:cs="Arial" w:eastAsia="Arial" w:hAnsi="Arial"/>
          <w:sz w:val="17"/>
          <w:szCs w:val="17"/>
          <w:i w:val="1"/>
          <w:iCs w:val="1"/>
          <w:color w:val="auto"/>
        </w:rPr>
        <w:t>New England Journal of Medicine</w:t>
      </w:r>
      <w:r>
        <w:rPr>
          <w:rFonts w:ascii="Arial" w:cs="Arial" w:eastAsia="Arial" w:hAnsi="Arial"/>
          <w:sz w:val="17"/>
          <w:szCs w:val="17"/>
          <w:color w:val="auto"/>
        </w:rPr>
        <w:t xml:space="preserve"> published results from the Protocol 3 study (DCLP3) of the National Institutes of Health (NIH)-funded International Diabetes Closed Loop (iDCL) trial using the t:slim X2 insulin pump with Control-IQ advanced hybrid closed-loop technology. The DCLP3 study was the first-ever large-scale, six-month closed-loop study that included a dedicated control group. The study concluded that over the six-month period, use of Control-IQ technology led to a higher percentage of time spent in range (70-180 mg/dL), less hyper- and hypoglycemia and better glycated hemoglobin (HbA1c) levels than use of a sensor augmented pump. No severe hypoglycemic events were reported, and 100% of participants completed the study. We believe publications such as this will be valuable in demonstrating the clinical outcome benefits derived from our system to people with insulin-dependent diabetes, healthcare providers and payors.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right="120" w:firstLine="1297"/>
        <w:spacing w:after="0" w:line="255" w:lineRule="auto"/>
        <w:rPr>
          <w:sz w:val="20"/>
          <w:szCs w:val="20"/>
          <w:color w:val="auto"/>
        </w:rPr>
      </w:pPr>
      <w:r>
        <w:rPr>
          <w:rFonts w:ascii="Arial" w:cs="Arial" w:eastAsia="Arial" w:hAnsi="Arial"/>
          <w:sz w:val="18"/>
          <w:szCs w:val="18"/>
          <w:color w:val="auto"/>
        </w:rPr>
        <w:t>We offer products for people with insulin-dependent diabetes. We commenced commercial sales of our original t:slim insulin pump platform in the United States in the third quarter of 2012 and continued to launch various iterations of that platform during the following years. In October 2016, we began shipping our flagship pump platform, the t:slim X2 insulin pump. The t:slim X2 hardware platform, which includes remote software update capabilities, now represents 100% of our new pump shipments. Accordingly, in the third quarter of 2018 we discontinued new sales of all prior platform versions. Our products also include disposable cartridges and infusion sets. In addition, we offer accessories including protective cases, belt clips, and power adapters, although sales of these products are not significant.</w:t>
      </w:r>
    </w:p>
    <w:p>
      <w:pPr>
        <w:spacing w:after="0" w:line="193" w:lineRule="exact"/>
        <w:rPr>
          <w:sz w:val="20"/>
          <w:szCs w:val="20"/>
          <w:color w:val="auto"/>
        </w:rPr>
      </w:pPr>
    </w:p>
    <w:p>
      <w:pPr>
        <w:ind w:right="20" w:firstLine="1297"/>
        <w:spacing w:after="0" w:line="297" w:lineRule="auto"/>
        <w:rPr>
          <w:sz w:val="20"/>
          <w:szCs w:val="20"/>
          <w:color w:val="auto"/>
        </w:rPr>
      </w:pPr>
      <w:r>
        <w:rPr>
          <w:rFonts w:ascii="Arial" w:cs="Arial" w:eastAsia="Arial" w:hAnsi="Arial"/>
          <w:sz w:val="16"/>
          <w:szCs w:val="16"/>
          <w:color w:val="auto"/>
        </w:rPr>
        <w:t>We primarily sell our products through national and regional distributors in the United States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our existing sales, clinical, and marketing infrastructure will allow us to continue to increase sales by allowing us to promote our products to a greater number of potential customers, caregivers and healthcare providers.</w:t>
      </w:r>
    </w:p>
    <w:p>
      <w:pPr>
        <w:spacing w:after="0" w:line="158"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In the third quarter of 2018, we began selling our t:slim X2 with G5 through distribution partners in select European countries, Canada, Australia, New Zealand, and South Africa. During the second quarter of 2019, we began selling our t:slim X2 with Basal-IQ technology in select geographies outside of the United States. In Canada, we market with a direct sales force and, similar to the United States, use a distributor partner for certain billing and fulfillment activities. In other international markets, we expect that most of our commercial sales will initially be to independent distributors who will perform all sales, customer support and training in their respective markets. Historically, we have experienced consistent levels of reimbursement for our products in the United States, but we expect the average sales price will vary in international markets based on a number of factors, such as the geographical mix, nature of the reimbursement environment, government regulations and the extent to which we rely on distributor relationships to provide sales, clinical and marketing support.</w:t>
      </w:r>
    </w:p>
    <w:p>
      <w:pPr>
        <w:spacing w:after="0" w:line="192"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In general, in the United States we have experienced, and expect to continue to experience, pump shipments being weighted heavily towards the second half of the year, with the highest percentage of pump shipments expected in the fourth quarter of the year due to the nature of the reimbursement environment. Consistent with our historical seasonality, we also expect domestic pump shipments from the fourth quarter to the following first quarter to decrease significantly. Internationally, we do not expect this same impact from seasonality. We also believe the opportunity to transition former Animas customers during 2019 has, and will continue to, impact our quarterly sales trends worldwide.</w:t>
      </w:r>
    </w:p>
    <w:p>
      <w:pPr>
        <w:spacing w:after="0" w:line="173" w:lineRule="exact"/>
        <w:rPr>
          <w:sz w:val="20"/>
          <w:szCs w:val="20"/>
          <w:color w:val="auto"/>
        </w:rPr>
      </w:pPr>
    </w:p>
    <w:p>
      <w:pPr>
        <w:ind w:right="80" w:firstLine="1297"/>
        <w:spacing w:after="0" w:line="272" w:lineRule="auto"/>
        <w:rPr>
          <w:sz w:val="20"/>
          <w:szCs w:val="20"/>
          <w:color w:val="auto"/>
        </w:rPr>
      </w:pPr>
      <w:r>
        <w:rPr>
          <w:rFonts w:ascii="Arial" w:cs="Arial" w:eastAsia="Arial" w:hAnsi="Arial"/>
          <w:sz w:val="17"/>
          <w:szCs w:val="17"/>
          <w:color w:val="auto"/>
        </w:rPr>
        <w:t>In addition, our quarterly sales have fluctuated, and may continue to fluctuate, substantially in the periods surrounding anticipated and actual regulatory approvals and commercial launches of new products by us or our competitors. We believe customers may defer purchasing decisions if they believe a new product may be launched in the future. Additionally, upon the announcement of FDA approval or commercial launch of a new product, either by us or one of our competitors, potential new customers may reconsider their purchasing decisions or take additional time to consider the anticipated or new approval or product launch in making their purchasing decisions. For instance, we believe certain customers paused in their decision-making during the third quarter of 2019 in anticipation of the commercial availability of the t:slim X2 with Control-IQ technology. However, we are not able to quantify the extent of the impact of these or similar events on future purchasing decisions.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We manufacture our pumps and disposable cartridges at our manufacturing facility in San Diego, California. Infusion sets and pump accessories are manufactured by third-party suppliers. Cost of sales includes raw materials, labor costs, manufacturing overhead expenses, product training costs, freight, reserves for expected warranty costs, scrap and excess and obsolete inventories. Manufacturing overhead expenses include expenses relating to quality assurance, manufacturing engineering, material procurement, inventory control, facilities, equipment, information technology and operations supervision and management. We anticipate that our cost of sales will continue to increase as our product sales increase.</w:t>
      </w:r>
    </w:p>
    <w:p>
      <w:pPr>
        <w:spacing w:after="0" w:line="173" w:lineRule="exact"/>
        <w:rPr>
          <w:sz w:val="20"/>
          <w:szCs w:val="20"/>
          <w:color w:val="auto"/>
        </w:rPr>
      </w:pPr>
    </w:p>
    <w:p>
      <w:pPr>
        <w:ind w:firstLine="1297"/>
        <w:spacing w:after="0" w:line="289" w:lineRule="auto"/>
        <w:rPr>
          <w:sz w:val="20"/>
          <w:szCs w:val="20"/>
          <w:color w:val="auto"/>
        </w:rPr>
      </w:pPr>
      <w:r>
        <w:rPr>
          <w:rFonts w:ascii="Arial" w:cs="Arial" w:eastAsia="Arial" w:hAnsi="Arial"/>
          <w:sz w:val="16"/>
          <w:szCs w:val="16"/>
          <w:color w:val="auto"/>
        </w:rPr>
        <w:t>We expect our overall gross margin percentage, which for any given period is calculated as sales less cost of sales divided by sales, to improve over the long-term, as our sales increase and our overhead costs are spread over larger production volumes. We expect we will be able to leverage our manufacturing cost structure across our products that utilize the same proprietary technology platform and manufacturing infrastructure, and will be able to further reduce per unit costs with increased automation, process improvements and raw materials cost reductions. Pumps have, and are expected to continue to have, a higher gross margin than our pump-related supplies. Therefore, the percentage of pump sales relative to total sales will have a significant impact on gross margin. We also expect our warranty cost per unit to decrease as we release additional product features and functionality utilizing the Tandem Device Updater. However, our overall gross margin may fluctuate in future quarterly periods as a result of numerous factors aside from those associated with production volumes and product mix. In addition, as demand for our products increases, we have begun, and may continue, to make additional investments in manufacturing capacity or increase our reliance on third parties for manufacturing-related services, which could have a negative impact on gross margin.</w:t>
      </w:r>
    </w:p>
    <w:p>
      <w:pPr>
        <w:spacing w:after="0" w:line="167"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Other factors impacting our overall gross margin may include the changing percentage of products sold to distributors versus directly to individual customers, varying levels of reimbursement among third-party payors in domestic and international markets, the timing and success of new regulatory approvals and product launches, the impact of the valuation and amortization of employee stock option grants on non-cash stock-based compensation expense allocated to cost of sales, warranty and training costs, licensing and royalty costs, cost associated with excess and obsolete inventories, and changes in our manufacturing processes, capacity, costs or output.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Our selling, general and administrative (SG&amp;A) expenses primarily consist of salary, cash-based incentive compensation, fringe benefits and non-cash stock-based compensation for our executive, financial, legal, marketing, sales, clinical, customer support, technical services, insurance verification, regulatory affairs and other administrative functions. We began expanding our U.S. field sales and clinical organization during the third quarter of 2019 to support an expected increase in demand. We expect to have approximately 90 territories by early 2020. Our existing territories are maintained by sales representatives and field clinical specialists, and supported by managed care liaisons, additional sales management and other customer support personnel. Our operations in Canada are supported by a direct sales force of approximately 10 field representatives. Other significant SG&amp;A expenses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Overall, we expect our SG&amp;A expenses, including the cost of our customer support infrastructure, to increase as our customer base grows in the United States and international markets. We will continue to evaluate, and may further increase, the number of our field sales and clinical personnel in order to optimize the coverage of our existing territories. Additionally, we realized a notable increase in non-cash stock-based compensation expense allocated to SG&amp;A beginning in the third quarter of 2018, and again in the second quarter of 2019, due to the valuation of certain employee stock option grants and the impact on the valuation of the significant increase in our stock price over the previous year. We expect higher non-cash stock-based compensation expense will be sustained in future quarters. Our SG&amp;A expenses may also increase due to anticipated costs associated with additional compliance and regulatory reporting requirements.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20" w:firstLine="1297"/>
        <w:spacing w:after="0" w:line="284" w:lineRule="auto"/>
        <w:rPr>
          <w:sz w:val="20"/>
          <w:szCs w:val="20"/>
          <w:color w:val="auto"/>
        </w:rPr>
      </w:pPr>
      <w:r>
        <w:rPr>
          <w:rFonts w:ascii="Arial" w:cs="Arial" w:eastAsia="Arial" w:hAnsi="Arial"/>
          <w:sz w:val="16"/>
          <w:szCs w:val="16"/>
          <w:color w:val="auto"/>
        </w:rPr>
        <w:t>Our research and development (R&amp;D) activities primarily consist of engineering and research programs associated with our products under development, as well as activities associated with our core technologies and processes. R&amp;D expenses are primarily related to employee compensation, including salary, fringe benefits, non-cash stock-based compensation and temporary employee expenses.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We expect our R&amp;D expenses to increase as we advance our products under development and develop new products and technologies, as well as continue to reflect a notable increase in non-cash stock-based</w:t>
      </w:r>
    </w:p>
    <w:p>
      <w:pPr>
        <w:spacing w:after="0" w:line="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compensation expense due to the valuation of certain employee stock option grants and the impact on the valuation of the significant increase in our stock price over the previous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ind w:right="40" w:firstLine="1297"/>
        <w:spacing w:after="0" w:line="284" w:lineRule="auto"/>
        <w:rPr>
          <w:sz w:val="20"/>
          <w:szCs w:val="20"/>
          <w:color w:val="auto"/>
        </w:rPr>
      </w:pPr>
      <w:r>
        <w:rPr>
          <w:rFonts w:ascii="Arial" w:cs="Arial" w:eastAsia="Arial" w:hAnsi="Arial"/>
          <w:sz w:val="16"/>
          <w:szCs w:val="16"/>
          <w:color w:val="auto"/>
        </w:rPr>
        <w:t>Other income and expense primarily consists of changes in the fair value of certain warrants issued in our public offering of common stock in October 2017. In 2018, it also included interest expense and amortization of debt discount and debt issuance costs associated with our Amended and Restated Term Loan Agreement (Term Loan Agreement) with Capital Royalty Partners II, L.P. and its affiliated funds (CRG) and a $5.3 million loss on extinguishment of debt associated with the full repayment of amounts due under the Term Loan Agreement in August 2018. Prior to the repayment, there was $82.7 million of outstanding principal under the Term Loan Agreement, which accrued interest at a rate of 11.5% per annum. As a result of the full repayment, we did not incur any interest expense or costs associated with the Term Loan Agreement subsequent to the third quarter of 2018. Other</w:t>
      </w:r>
    </w:p>
    <w:p>
      <w:pPr>
        <w:spacing w:after="0" w:line="5" w:lineRule="exact"/>
        <w:rPr>
          <w:sz w:val="20"/>
          <w:szCs w:val="20"/>
          <w:color w:val="auto"/>
        </w:rPr>
      </w:pPr>
    </w:p>
    <w:p>
      <w:pPr>
        <w:ind w:right="360"/>
        <w:spacing w:after="0" w:line="290" w:lineRule="auto"/>
        <w:rPr>
          <w:sz w:val="20"/>
          <w:szCs w:val="20"/>
          <w:color w:val="auto"/>
        </w:rPr>
      </w:pPr>
      <w:r>
        <w:rPr>
          <w:rFonts w:ascii="Arial" w:cs="Arial" w:eastAsia="Arial" w:hAnsi="Arial"/>
          <w:sz w:val="17"/>
          <w:szCs w:val="17"/>
          <w:color w:val="auto"/>
        </w:rPr>
        <w:t>income also includes interest earned on our cash equivalents and short-term investments. We expect other income and expense to fluctuate from period to period primarily due to the revaluation of the outstanding Series A warrants, which expire in the fourth quarter of 2022.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vMerge w:val="restart"/>
          </w:tcPr>
          <w:p>
            <w:pPr>
              <w:spacing w:after="0"/>
              <w:rPr>
                <w:sz w:val="16"/>
                <w:szCs w:val="16"/>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(in thousands, except percentages)</w:t>
            </w:r>
          </w:p>
        </w:tc>
        <w:tc>
          <w:tcPr>
            <w:tcW w:w="326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55"/>
        </w:trPr>
        <w:tc>
          <w:tcPr>
            <w:tcW w:w="40" w:type="dxa"/>
            <w:vAlign w:val="bottom"/>
            <w:tcBorders>
              <w:bottom w:val="single" w:sz="8" w:color="CFF0FC"/>
            </w:tcBorders>
            <w:vMerge w:val="continue"/>
          </w:tcPr>
          <w:p>
            <w:pPr>
              <w:spacing w:after="0"/>
              <w:rPr>
                <w:sz w:val="4"/>
                <w:szCs w:val="4"/>
                <w:color w:val="auto"/>
              </w:rPr>
            </w:pPr>
          </w:p>
        </w:tc>
        <w:tc>
          <w:tcPr>
            <w:tcW w:w="2100" w:type="dxa"/>
            <w:vAlign w:val="bottom"/>
            <w:tcBorders>
              <w:bottom w:val="single" w:sz="8" w:color="CFF0FC"/>
            </w:tcBorders>
          </w:tcPr>
          <w:p>
            <w:pPr>
              <w:spacing w:after="0"/>
              <w:rPr>
                <w:sz w:val="4"/>
                <w:szCs w:val="4"/>
                <w:color w:val="auto"/>
              </w:rPr>
            </w:pPr>
          </w:p>
        </w:tc>
        <w:tc>
          <w:tcPr>
            <w:tcW w:w="3260" w:type="dxa"/>
            <w:vAlign w:val="bottom"/>
            <w:tcBorders>
              <w:bottom w:val="single" w:sz="8" w:color="CFF0FC"/>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FF0FC"/>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FF0FC"/>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8"/>
                <w:szCs w:val="18"/>
                <w:color w:val="auto"/>
              </w:rPr>
              <w:t>Sales:</w:t>
            </w:r>
          </w:p>
        </w:tc>
        <w:tc>
          <w:tcPr>
            <w:tcW w:w="16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Domestic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78,842</w:t>
            </w:r>
          </w:p>
        </w:tc>
        <w:tc>
          <w:tcPr>
            <w:tcW w:w="120" w:type="dxa"/>
            <w:vAlign w:val="bottom"/>
          </w:tcPr>
          <w:p>
            <w:pPr>
              <w:spacing w:after="0"/>
              <w:rPr>
                <w:sz w:val="21"/>
                <w:szCs w:val="21"/>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43,720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203,867</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105,123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FF0FC"/>
            </w:tcBorders>
            <w:shd w:val="clear" w:color="auto" w:fill="CFF0FC"/>
          </w:tcPr>
          <w:p>
            <w:pPr>
              <w:spacing w:after="0"/>
              <w:rPr>
                <w:sz w:val="23"/>
                <w:szCs w:val="23"/>
                <w:color w:val="auto"/>
              </w:rPr>
            </w:pPr>
          </w:p>
        </w:tc>
        <w:tc>
          <w:tcPr>
            <w:tcW w:w="53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ind w:right="92"/>
              <w:spacing w:after="0"/>
              <w:rPr>
                <w:sz w:val="20"/>
                <w:szCs w:val="20"/>
                <w:color w:val="auto"/>
              </w:rPr>
            </w:pPr>
            <w:r>
              <w:rPr>
                <w:rFonts w:ascii="Arial" w:cs="Arial" w:eastAsia="Arial" w:hAnsi="Arial"/>
                <w:sz w:val="18"/>
                <w:szCs w:val="18"/>
                <w:color w:val="auto"/>
              </w:rPr>
              <w:t>15,815</w:t>
            </w:r>
          </w:p>
        </w:tc>
        <w:tc>
          <w:tcPr>
            <w:tcW w:w="12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ind w:right="111"/>
              <w:spacing w:after="0"/>
              <w:rPr>
                <w:sz w:val="20"/>
                <w:szCs w:val="20"/>
                <w:color w:val="auto"/>
              </w:rPr>
            </w:pPr>
            <w:r>
              <w:rPr>
                <w:rFonts w:ascii="Arial" w:cs="Arial" w:eastAsia="Arial" w:hAnsi="Arial"/>
                <w:sz w:val="18"/>
                <w:szCs w:val="18"/>
                <w:color w:val="auto"/>
              </w:rPr>
              <w:t>2,544</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50,040</w:t>
            </w:r>
          </w:p>
        </w:tc>
        <w:tc>
          <w:tcPr>
            <w:tcW w:w="12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37"/>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Total sales</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94,657</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46,264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253,907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107,667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ind w:right="92"/>
              <w:spacing w:after="0"/>
              <w:rPr>
                <w:sz w:val="20"/>
                <w:szCs w:val="20"/>
                <w:color w:val="auto"/>
              </w:rPr>
            </w:pPr>
            <w:r>
              <w:rPr>
                <w:rFonts w:ascii="Arial" w:cs="Arial" w:eastAsia="Arial" w:hAnsi="Arial"/>
                <w:sz w:val="18"/>
                <w:szCs w:val="18"/>
                <w:color w:val="auto"/>
              </w:rPr>
              <w:t>43,974</w:t>
            </w:r>
          </w:p>
        </w:tc>
        <w:tc>
          <w:tcPr>
            <w:tcW w:w="12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ind w:right="111"/>
              <w:spacing w:after="0"/>
              <w:rPr>
                <w:sz w:val="20"/>
                <w:szCs w:val="20"/>
                <w:color w:val="auto"/>
              </w:rPr>
            </w:pPr>
            <w:r>
              <w:rPr>
                <w:rFonts w:ascii="Arial" w:cs="Arial" w:eastAsia="Arial" w:hAnsi="Arial"/>
                <w:sz w:val="18"/>
                <w:szCs w:val="18"/>
                <w:color w:val="auto"/>
              </w:rPr>
              <w:t>24,468</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119,967</w:t>
            </w:r>
          </w:p>
        </w:tc>
        <w:tc>
          <w:tcPr>
            <w:tcW w:w="12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59,381</w:t>
            </w:r>
          </w:p>
        </w:tc>
        <w:tc>
          <w:tcPr>
            <w:tcW w:w="0" w:type="dxa"/>
            <w:vAlign w:val="bottom"/>
          </w:tcPr>
          <w:p>
            <w:pPr>
              <w:spacing w:after="0"/>
              <w:rPr>
                <w:sz w:val="1"/>
                <w:szCs w:val="1"/>
                <w:color w:val="auto"/>
              </w:rPr>
            </w:pPr>
          </w:p>
        </w:tc>
      </w:tr>
      <w:tr>
        <w:trPr>
          <w:trHeight w:val="237"/>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50,683</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21,796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133,940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48,286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FF0FC"/>
            </w:tcBorders>
            <w:shd w:val="clear" w:color="auto" w:fill="CFF0FC"/>
          </w:tcPr>
          <w:p>
            <w:pPr>
              <w:spacing w:after="0"/>
              <w:rPr>
                <w:sz w:val="21"/>
                <w:szCs w:val="21"/>
                <w:color w:val="auto"/>
              </w:rPr>
            </w:pPr>
          </w:p>
        </w:tc>
        <w:tc>
          <w:tcPr>
            <w:tcW w:w="53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ind w:right="92"/>
              <w:spacing w:after="0"/>
              <w:rPr>
                <w:sz w:val="20"/>
                <w:szCs w:val="20"/>
                <w:color w:val="auto"/>
              </w:rPr>
            </w:pPr>
            <w:r>
              <w:rPr>
                <w:rFonts w:ascii="Arial" w:cs="Arial" w:eastAsia="Arial" w:hAnsi="Arial"/>
                <w:sz w:val="18"/>
                <w:szCs w:val="18"/>
                <w:color w:val="auto"/>
              </w:rPr>
              <w:t>44,649</w:t>
            </w: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111"/>
              <w:spacing w:after="0"/>
              <w:rPr>
                <w:sz w:val="20"/>
                <w:szCs w:val="20"/>
                <w:color w:val="auto"/>
              </w:rPr>
            </w:pPr>
            <w:r>
              <w:rPr>
                <w:rFonts w:ascii="Arial" w:cs="Arial" w:eastAsia="Arial" w:hAnsi="Arial"/>
                <w:sz w:val="18"/>
                <w:szCs w:val="18"/>
                <w:color w:val="auto"/>
              </w:rPr>
              <w:t>29,506</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120,173</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73,048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12,038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7,999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32,632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20,430</w:t>
            </w:r>
          </w:p>
        </w:tc>
        <w:tc>
          <w:tcPr>
            <w:tcW w:w="0" w:type="dxa"/>
            <w:vAlign w:val="bottom"/>
          </w:tcPr>
          <w:p>
            <w:pPr>
              <w:spacing w:after="0"/>
              <w:rPr>
                <w:sz w:val="1"/>
                <w:szCs w:val="1"/>
                <w:color w:val="auto"/>
              </w:rPr>
            </w:pPr>
          </w:p>
        </w:tc>
      </w:tr>
      <w:tr>
        <w:trPr>
          <w:trHeight w:val="27"/>
        </w:trPr>
        <w:tc>
          <w:tcPr>
            <w:tcW w:w="40" w:type="dxa"/>
            <w:vAlign w:val="bottom"/>
            <w:tcBorders>
              <w:bottom w:val="single" w:sz="8" w:color="CFF0FC"/>
            </w:tcBorders>
          </w:tcPr>
          <w:p>
            <w:pPr>
              <w:spacing w:after="0"/>
              <w:rPr>
                <w:sz w:val="2"/>
                <w:szCs w:val="2"/>
                <w:color w:val="auto"/>
              </w:rPr>
            </w:pPr>
          </w:p>
        </w:tc>
        <w:tc>
          <w:tcPr>
            <w:tcW w:w="2100" w:type="dxa"/>
            <w:vAlign w:val="bottom"/>
            <w:tcBorders>
              <w:bottom w:val="single" w:sz="8" w:color="CFF0FC"/>
            </w:tcBorders>
          </w:tcPr>
          <w:p>
            <w:pPr>
              <w:spacing w:after="0"/>
              <w:rPr>
                <w:sz w:val="2"/>
                <w:szCs w:val="2"/>
                <w:color w:val="auto"/>
              </w:rPr>
            </w:pPr>
          </w:p>
        </w:tc>
        <w:tc>
          <w:tcPr>
            <w:tcW w:w="326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0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CFF0FC"/>
            </w:tcBorders>
            <w:shd w:val="clear" w:color="auto" w:fill="CFF0FC"/>
          </w:tcPr>
          <w:p>
            <w:pPr>
              <w:jc w:val="right"/>
              <w:ind w:right="92"/>
              <w:spacing w:after="0"/>
              <w:rPr>
                <w:sz w:val="20"/>
                <w:szCs w:val="20"/>
                <w:color w:val="auto"/>
              </w:rPr>
            </w:pPr>
            <w:r>
              <w:rPr>
                <w:rFonts w:ascii="Arial" w:cs="Arial" w:eastAsia="Arial" w:hAnsi="Arial"/>
                <w:sz w:val="18"/>
                <w:szCs w:val="18"/>
                <w:color w:val="auto"/>
              </w:rPr>
              <w:t>56,687</w:t>
            </w:r>
          </w:p>
        </w:tc>
        <w:tc>
          <w:tcPr>
            <w:tcW w:w="12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ind w:right="111"/>
              <w:spacing w:after="0"/>
              <w:rPr>
                <w:sz w:val="20"/>
                <w:szCs w:val="20"/>
                <w:color w:val="auto"/>
              </w:rPr>
            </w:pPr>
            <w:r>
              <w:rPr>
                <w:rFonts w:ascii="Arial" w:cs="Arial" w:eastAsia="Arial" w:hAnsi="Arial"/>
                <w:sz w:val="18"/>
                <w:szCs w:val="18"/>
                <w:color w:val="auto"/>
              </w:rPr>
              <w:t>37,505</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152,805</w:t>
            </w:r>
          </w:p>
        </w:tc>
        <w:tc>
          <w:tcPr>
            <w:tcW w:w="12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93,478</w:t>
            </w:r>
          </w:p>
        </w:tc>
        <w:tc>
          <w:tcPr>
            <w:tcW w:w="0" w:type="dxa"/>
            <w:vAlign w:val="bottom"/>
          </w:tcPr>
          <w:p>
            <w:pPr>
              <w:spacing w:after="0"/>
              <w:rPr>
                <w:sz w:val="1"/>
                <w:szCs w:val="1"/>
                <w:color w:val="auto"/>
              </w:rPr>
            </w:pPr>
          </w:p>
        </w:tc>
      </w:tr>
      <w:tr>
        <w:trPr>
          <w:trHeight w:val="237"/>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Operating loss</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(6,004)</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(15,709)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(18,865)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(45,192)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Interest and other income</w:t>
            </w:r>
          </w:p>
        </w:tc>
        <w:tc>
          <w:tcPr>
            <w:tcW w:w="16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2,457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FF0FC"/>
            </w:tcBorders>
            <w:shd w:val="clear" w:color="auto" w:fill="CFF0FC"/>
          </w:tcPr>
          <w:p>
            <w:pPr>
              <w:spacing w:after="0"/>
              <w:rPr>
                <w:sz w:val="21"/>
                <w:szCs w:val="21"/>
                <w:color w:val="auto"/>
              </w:rPr>
            </w:pPr>
          </w:p>
        </w:tc>
        <w:tc>
          <w:tcPr>
            <w:tcW w:w="53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Interest and other expense</w:t>
            </w:r>
          </w:p>
        </w:tc>
        <w:tc>
          <w:tcPr>
            <w:tcW w:w="16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51"/>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(7,585)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(5,313)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FF0FC"/>
            </w:tcBorders>
            <w:shd w:val="clear" w:color="auto" w:fill="CFF0FC"/>
          </w:tcPr>
          <w:p>
            <w:pPr>
              <w:spacing w:after="0"/>
              <w:rPr>
                <w:sz w:val="23"/>
                <w:szCs w:val="23"/>
                <w:color w:val="auto"/>
              </w:rPr>
            </w:pPr>
          </w:p>
        </w:tc>
        <w:tc>
          <w:tcPr>
            <w:tcW w:w="53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Change in fair value of stock warrants</w:t>
            </w:r>
          </w:p>
        </w:tc>
        <w:tc>
          <w:tcPr>
            <w:tcW w:w="16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ind w:right="92"/>
              <w:spacing w:after="0"/>
              <w:rPr>
                <w:sz w:val="20"/>
                <w:szCs w:val="20"/>
                <w:color w:val="auto"/>
              </w:rPr>
            </w:pPr>
            <w:r>
              <w:rPr>
                <w:rFonts w:ascii="Arial" w:cs="Arial" w:eastAsia="Arial" w:hAnsi="Arial"/>
                <w:sz w:val="18"/>
                <w:szCs w:val="18"/>
                <w:color w:val="auto"/>
              </w:rPr>
              <w:t>2,321</w:t>
            </w:r>
          </w:p>
        </w:tc>
        <w:tc>
          <w:tcPr>
            <w:tcW w:w="12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ind w:right="51"/>
              <w:spacing w:after="0"/>
              <w:rPr>
                <w:sz w:val="20"/>
                <w:szCs w:val="20"/>
                <w:color w:val="auto"/>
              </w:rPr>
            </w:pPr>
            <w:r>
              <w:rPr>
                <w:rFonts w:ascii="Arial" w:cs="Arial" w:eastAsia="Arial" w:hAnsi="Arial"/>
                <w:sz w:val="18"/>
                <w:szCs w:val="18"/>
                <w:color w:val="auto"/>
              </w:rPr>
              <w:t>(12,265)</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(10,849)</w:t>
            </w:r>
          </w:p>
        </w:tc>
        <w:tc>
          <w:tcPr>
            <w:tcW w:w="12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(69,042)</w:t>
            </w:r>
          </w:p>
        </w:tc>
        <w:tc>
          <w:tcPr>
            <w:tcW w:w="0" w:type="dxa"/>
            <w:vAlign w:val="bottom"/>
          </w:tcPr>
          <w:p>
            <w:pPr>
              <w:spacing w:after="0"/>
              <w:rPr>
                <w:sz w:val="1"/>
                <w:szCs w:val="1"/>
                <w:color w:val="auto"/>
              </w:rPr>
            </w:pPr>
          </w:p>
        </w:tc>
      </w:tr>
      <w:tr>
        <w:trPr>
          <w:trHeight w:val="237"/>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3,175</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(18,536)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(8,468)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(81,107)</w:t>
            </w:r>
          </w:p>
        </w:tc>
        <w:tc>
          <w:tcPr>
            <w:tcW w:w="0" w:type="dxa"/>
            <w:vAlign w:val="bottom"/>
          </w:tcPr>
          <w:p>
            <w:pPr>
              <w:spacing w:after="0"/>
              <w:rPr>
                <w:sz w:val="1"/>
                <w:szCs w:val="1"/>
                <w:color w:val="auto"/>
              </w:rPr>
            </w:pPr>
          </w:p>
        </w:tc>
      </w:tr>
      <w:tr>
        <w:trPr>
          <w:trHeight w:val="27"/>
        </w:trPr>
        <w:tc>
          <w:tcPr>
            <w:tcW w:w="40" w:type="dxa"/>
            <w:vAlign w:val="bottom"/>
            <w:tcBorders>
              <w:bottom w:val="single" w:sz="8" w:color="CFF0FC"/>
            </w:tcBorders>
          </w:tcPr>
          <w:p>
            <w:pPr>
              <w:spacing w:after="0"/>
              <w:rPr>
                <w:sz w:val="2"/>
                <w:szCs w:val="2"/>
                <w:color w:val="auto"/>
              </w:rPr>
            </w:pPr>
          </w:p>
        </w:tc>
        <w:tc>
          <w:tcPr>
            <w:tcW w:w="2100" w:type="dxa"/>
            <w:vAlign w:val="bottom"/>
            <w:tcBorders>
              <w:bottom w:val="single" w:sz="8" w:color="CFF0FC"/>
            </w:tcBorders>
          </w:tcPr>
          <w:p>
            <w:pPr>
              <w:spacing w:after="0"/>
              <w:rPr>
                <w:sz w:val="2"/>
                <w:szCs w:val="2"/>
                <w:color w:val="auto"/>
              </w:rPr>
            </w:pPr>
          </w:p>
        </w:tc>
        <w:tc>
          <w:tcPr>
            <w:tcW w:w="326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8"/>
                <w:szCs w:val="18"/>
                <w:color w:val="auto"/>
              </w:rPr>
              <w:t>Loss before income taxes</w:t>
            </w:r>
          </w:p>
        </w:tc>
        <w:tc>
          <w:tcPr>
            <w:tcW w:w="16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(2,829)</w:t>
            </w: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51"/>
              <w:spacing w:after="0"/>
              <w:rPr>
                <w:sz w:val="20"/>
                <w:szCs w:val="20"/>
                <w:color w:val="auto"/>
              </w:rPr>
            </w:pPr>
            <w:r>
              <w:rPr>
                <w:rFonts w:ascii="Arial" w:cs="Arial" w:eastAsia="Arial" w:hAnsi="Arial"/>
                <w:sz w:val="18"/>
                <w:szCs w:val="18"/>
                <w:color w:val="auto"/>
              </w:rPr>
              <w:t>(34,245)</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(27,333)</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w w:val="95"/>
              </w:rPr>
              <w:t>(126,299)</w:t>
            </w:r>
          </w:p>
        </w:tc>
        <w:tc>
          <w:tcPr>
            <w:tcW w:w="0" w:type="dxa"/>
            <w:vAlign w:val="bottom"/>
          </w:tcPr>
          <w:p>
            <w:pPr>
              <w:spacing w:after="0"/>
              <w:rPr>
                <w:sz w:val="1"/>
                <w:szCs w:val="1"/>
                <w:color w:val="auto"/>
              </w:rPr>
            </w:pPr>
          </w:p>
        </w:tc>
      </w:tr>
      <w:tr>
        <w:trPr>
          <w:trHeight w:val="243"/>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FF0FC"/>
            </w:tcBorders>
          </w:tcPr>
          <w:p>
            <w:pPr>
              <w:spacing w:after="0"/>
              <w:rPr>
                <w:sz w:val="2"/>
                <w:szCs w:val="2"/>
                <w:color w:val="auto"/>
              </w:rPr>
            </w:pPr>
          </w:p>
        </w:tc>
        <w:tc>
          <w:tcPr>
            <w:tcW w:w="2100" w:type="dxa"/>
            <w:vAlign w:val="bottom"/>
            <w:tcBorders>
              <w:bottom w:val="single" w:sz="8" w:color="CFF0FC"/>
            </w:tcBorders>
          </w:tcPr>
          <w:p>
            <w:pPr>
              <w:spacing w:after="0"/>
              <w:rPr>
                <w:sz w:val="2"/>
                <w:szCs w:val="2"/>
                <w:color w:val="auto"/>
              </w:rPr>
            </w:pPr>
          </w:p>
        </w:tc>
        <w:tc>
          <w:tcPr>
            <w:tcW w:w="326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(2,901)</w:t>
            </w:r>
          </w:p>
        </w:tc>
        <w:tc>
          <w:tcPr>
            <w:tcW w:w="12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CFF0FC"/>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FF0FC"/>
            </w:tcBorders>
            <w:shd w:val="clear" w:color="auto" w:fill="CFF0FC"/>
          </w:tcPr>
          <w:p>
            <w:pPr>
              <w:jc w:val="right"/>
              <w:ind w:right="51"/>
              <w:spacing w:after="0"/>
              <w:rPr>
                <w:sz w:val="20"/>
                <w:szCs w:val="20"/>
                <w:color w:val="auto"/>
              </w:rPr>
            </w:pPr>
            <w:r>
              <w:rPr>
                <w:rFonts w:ascii="Arial" w:cs="Arial" w:eastAsia="Arial" w:hAnsi="Arial"/>
                <w:sz w:val="18"/>
                <w:szCs w:val="18"/>
                <w:color w:val="auto"/>
              </w:rPr>
              <w:t>(34,245)</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(27,405)</w:t>
            </w:r>
          </w:p>
        </w:tc>
        <w:tc>
          <w:tcPr>
            <w:tcW w:w="12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w w:val="95"/>
              </w:rPr>
              <w:t>(126,299)</w:t>
            </w:r>
          </w:p>
        </w:tc>
        <w:tc>
          <w:tcPr>
            <w:tcW w:w="0" w:type="dxa"/>
            <w:vAlign w:val="bottom"/>
          </w:tcPr>
          <w:p>
            <w:pPr>
              <w:spacing w:after="0"/>
              <w:rPr>
                <w:sz w:val="1"/>
                <w:szCs w:val="1"/>
                <w:color w:val="auto"/>
              </w:rPr>
            </w:pPr>
          </w:p>
        </w:tc>
      </w:tr>
      <w:tr>
        <w:trPr>
          <w:trHeight w:val="20"/>
        </w:trPr>
        <w:tc>
          <w:tcPr>
            <w:tcW w:w="40" w:type="dxa"/>
            <w:vAlign w:val="bottom"/>
            <w:tcBorders>
              <w:top w:val="single" w:sz="8" w:color="CFF0FC"/>
            </w:tcBorders>
          </w:tcPr>
          <w:p>
            <w:pPr>
              <w:spacing w:after="0" w:line="20" w:lineRule="exact"/>
              <w:rPr>
                <w:sz w:val="1"/>
                <w:szCs w:val="1"/>
                <w:color w:val="auto"/>
              </w:rPr>
            </w:pPr>
          </w:p>
        </w:tc>
        <w:tc>
          <w:tcPr>
            <w:tcW w:w="2100" w:type="dxa"/>
            <w:vAlign w:val="bottom"/>
            <w:tcBorders>
              <w:top w:val="single" w:sz="8" w:color="CFF0FC"/>
            </w:tcBorders>
          </w:tcPr>
          <w:p>
            <w:pPr>
              <w:spacing w:after="0" w:line="20" w:lineRule="exact"/>
              <w:rPr>
                <w:sz w:val="1"/>
                <w:szCs w:val="1"/>
                <w:color w:val="auto"/>
              </w:rPr>
            </w:pPr>
          </w:p>
        </w:tc>
        <w:tc>
          <w:tcPr>
            <w:tcW w:w="3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103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2019 and 2018</w:t>
      </w:r>
    </w:p>
    <w:p>
      <w:pPr>
        <w:spacing w:after="0" w:line="229" w:lineRule="exact"/>
        <w:rPr>
          <w:sz w:val="20"/>
          <w:szCs w:val="20"/>
          <w:color w:val="auto"/>
        </w:rPr>
      </w:pPr>
    </w:p>
    <w:p>
      <w:pPr>
        <w:ind w:right="120" w:firstLine="1297"/>
        <w:spacing w:after="0" w:line="308" w:lineRule="auto"/>
        <w:rPr>
          <w:sz w:val="20"/>
          <w:szCs w:val="20"/>
          <w:color w:val="auto"/>
        </w:rPr>
      </w:pPr>
      <w:r>
        <w:rPr>
          <w:rFonts w:ascii="Arial" w:cs="Arial" w:eastAsia="Arial" w:hAnsi="Arial"/>
          <w:sz w:val="17"/>
          <w:szCs w:val="17"/>
          <w:i w:val="1"/>
          <w:iCs w:val="1"/>
          <w:color w:val="auto"/>
        </w:rPr>
        <w:t>Sales</w:t>
      </w:r>
      <w:r>
        <w:rPr>
          <w:rFonts w:ascii="Arial" w:cs="Arial" w:eastAsia="Arial" w:hAnsi="Arial"/>
          <w:sz w:val="17"/>
          <w:szCs w:val="17"/>
          <w:color w:val="auto"/>
        </w:rPr>
        <w:t>. For the three months ended September 30, 2019, sales were $94.7 million, which included $15.8 million of international sales. Sales</w:t>
      </w:r>
      <w:r>
        <w:rPr>
          <w:rFonts w:ascii="Arial" w:cs="Arial" w:eastAsia="Arial" w:hAnsi="Arial"/>
          <w:sz w:val="17"/>
          <w:szCs w:val="17"/>
          <w:i w:val="1"/>
          <w:iCs w:val="1"/>
          <w:color w:val="auto"/>
        </w:rPr>
        <w:t xml:space="preserve"> </w:t>
      </w:r>
      <w:r>
        <w:rPr>
          <w:rFonts w:ascii="Arial" w:cs="Arial" w:eastAsia="Arial" w:hAnsi="Arial"/>
          <w:sz w:val="17"/>
          <w:szCs w:val="17"/>
          <w:color w:val="auto"/>
        </w:rPr>
        <w:t>were $46.3 million for the same period in 2018, which included $2.5 million of international sales (which commenced in that period).</w:t>
      </w:r>
    </w:p>
    <w:p>
      <w:pPr>
        <w:spacing w:after="0" w:line="147"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The total sales increase of $48.4 million was primarily driven by a 112% increase in worldwide pump shipments to 17,839 in the third quarter of 2019 compared to 8,434 in the third quarter of 2018. Worldwide pump shipments were positively impacted by strong demand for our products following the August 2018 domestic launch of t:slim X2 with Basal-IQ technology, and the commencement of commercial sales in select international geographies beginning in the third quarter of 2018. Additionally, sales from pump-related supplies increased 105% primarily due to an overall increase in our installed base of customers reordering supplies.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Domestic sales by product were as follows (in thousands):</w:t>
      </w:r>
    </w:p>
    <w:p>
      <w:pPr>
        <w:spacing w:after="0" w:line="163"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FF0FC"/>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Pump</w:t>
            </w:r>
          </w:p>
        </w:tc>
        <w:tc>
          <w:tcPr>
            <w:tcW w:w="1060" w:type="dxa"/>
            <w:vAlign w:val="bottom"/>
            <w:tcBorders>
              <w:bottom w:val="single" w:sz="8" w:color="CFF0FC"/>
            </w:tcBorders>
            <w:shd w:val="clear" w:color="auto" w:fill="CFF0FC"/>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52,914</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28,704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Infusion sets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17,646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10,309</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Cartridges</w:t>
            </w:r>
          </w:p>
        </w:tc>
        <w:tc>
          <w:tcPr>
            <w:tcW w:w="10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8,149</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4,594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113</w:t>
            </w:r>
          </w:p>
        </w:tc>
      </w:tr>
      <w:tr>
        <w:trPr>
          <w:trHeight w:val="27"/>
        </w:trPr>
        <w:tc>
          <w:tcPr>
            <w:tcW w:w="79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Total Domestic Sales</w:t>
            </w:r>
          </w:p>
        </w:tc>
        <w:tc>
          <w:tcPr>
            <w:tcW w:w="1060" w:type="dxa"/>
            <w:vAlign w:val="bottom"/>
            <w:tcBorders>
              <w:bottom w:val="single" w:sz="8" w:color="CFF0FC"/>
            </w:tcBorders>
            <w:shd w:val="clear" w:color="auto" w:fill="CFF0FC"/>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78,842</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43,720</w:t>
            </w:r>
          </w:p>
        </w:tc>
      </w:tr>
      <w:tr>
        <w:trPr>
          <w:trHeight w:val="20"/>
        </w:trPr>
        <w:tc>
          <w:tcPr>
            <w:tcW w:w="79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International sales by product were as follows (in thousands):</w:t>
      </w:r>
    </w:p>
    <w:p>
      <w:pPr>
        <w:spacing w:after="0" w:line="163"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FF0FC"/>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Pump</w:t>
            </w:r>
          </w:p>
        </w:tc>
        <w:tc>
          <w:tcPr>
            <w:tcW w:w="1060" w:type="dxa"/>
            <w:vAlign w:val="bottom"/>
            <w:tcBorders>
              <w:bottom w:val="single" w:sz="8" w:color="CFF0FC"/>
            </w:tcBorders>
            <w:shd w:val="clear" w:color="auto" w:fill="CFF0FC"/>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10,310</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2,217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Infusion sets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3,444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67</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Cartridges</w:t>
            </w:r>
          </w:p>
        </w:tc>
        <w:tc>
          <w:tcPr>
            <w:tcW w:w="10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228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7"/>
        </w:trPr>
        <w:tc>
          <w:tcPr>
            <w:tcW w:w="79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Total International Sales</w:t>
            </w:r>
          </w:p>
        </w:tc>
        <w:tc>
          <w:tcPr>
            <w:tcW w:w="1060" w:type="dxa"/>
            <w:vAlign w:val="bottom"/>
            <w:tcBorders>
              <w:bottom w:val="single" w:sz="8" w:color="CFF0FC"/>
            </w:tcBorders>
            <w:shd w:val="clear" w:color="auto" w:fill="CFF0FC"/>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15,815</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2,544</w:t>
            </w:r>
          </w:p>
        </w:tc>
      </w:tr>
      <w:tr>
        <w:trPr>
          <w:trHeight w:val="20"/>
        </w:trPr>
        <w:tc>
          <w:tcPr>
            <w:tcW w:w="79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Sales to distributors accounted for 72% and 76% of our total domestic sales for the three months ended September 30, 2019 and 2018, respectively. Our percentage of sales to distributors versus individual customers is principally determined by the mix of customers ordering our products within the period and whether or not we have a contractual arrangement with their underlying third-party insurance payor. Sales to international distributors accounted for the vast majority of our total international sales.</w:t>
      </w:r>
    </w:p>
    <w:p>
      <w:pPr>
        <w:spacing w:after="0" w:line="187"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for the three months ended September 30, 2019 was $44.0 million resulting in gross profit</w:t>
      </w:r>
      <w:r>
        <w:rPr>
          <w:rFonts w:ascii="Arial" w:cs="Arial" w:eastAsia="Arial" w:hAnsi="Arial"/>
          <w:sz w:val="18"/>
          <w:szCs w:val="18"/>
          <w:i w:val="1"/>
          <w:iCs w:val="1"/>
          <w:color w:val="auto"/>
        </w:rPr>
        <w:t xml:space="preserve"> </w:t>
      </w:r>
      <w:r>
        <w:rPr>
          <w:rFonts w:ascii="Arial" w:cs="Arial" w:eastAsia="Arial" w:hAnsi="Arial"/>
          <w:sz w:val="18"/>
          <w:szCs w:val="18"/>
          <w:color w:val="auto"/>
        </w:rPr>
        <w:t>of $50.7 million, compared to $24.5 million in cost of sales for the same period in 2018 resulting in gross profit of $21.8 million. The gross margin for the three months ended September 30, 2019 was 54% compared to 47% in the same period in 2018.</w:t>
      </w:r>
    </w:p>
    <w:p>
      <w:pPr>
        <w:spacing w:after="0" w:line="181"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The increase in our gross profit for the three months ended September 30, 2019 was primarily the result of a 112% increase in pump shipments. Gross profit and gross margin also increased as a result of per unit manufacturing cost improvements from higher production volumes and continued overall manufacturing efficiencies gained from our new manufacturing facility which became fully operational at the beginning of 2018. Non-cash stock-based compensation expense allocated to cost of sales was $1.8 million for the three months ended September 30, 2019, compared to $0.8 million in the same period in 2018. On an aggregate basis, other non-manufacturing costs, which primarily consist of warranty, freight and training costs, also reflected improvement on a per unit basis.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1297"/>
        <w:spacing w:after="0" w:line="291"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expenses increased 51% to $44.6 million for the three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2019 from $29.5 million for the same period in 2018. Employee-related expenses for our SG&amp;A functions comprise the majority of SG&amp;A expenses. The increase compared to 2018 was primarily the result of a $12.4 million increase in salaries, incentive compensation and other employee benefits due to an increase in personnel to support higher sales and our growing installed customer base, which included an increase of $6.3 million in non-cash stock-based compensation. Non-cash stock-based compensation expense allocated to SG&amp;A was $13.1 million for the three months ended September 30, 2019, compared to $6.8 million in the same period in 2018. The increase in non-cash stock-based compensation expense was primarily due to the valuation of certain 2019 employee stock option grants and the impact on the valuation of the significant increase in our stock price.</w:t>
      </w:r>
    </w:p>
    <w:p>
      <w:pPr>
        <w:spacing w:after="0" w:line="167" w:lineRule="exact"/>
        <w:rPr>
          <w:sz w:val="20"/>
          <w:szCs w:val="20"/>
          <w:color w:val="auto"/>
        </w:rPr>
      </w:pPr>
    </w:p>
    <w:p>
      <w:pPr>
        <w:ind w:right="100" w:firstLine="1297"/>
        <w:spacing w:after="0" w:line="276"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R&amp;D expenses increased 50% to $12.0 million for the three months ended September 30, 2019 from</w:t>
      </w:r>
      <w:r>
        <w:rPr>
          <w:rFonts w:ascii="Arial" w:cs="Arial" w:eastAsia="Arial" w:hAnsi="Arial"/>
          <w:sz w:val="17"/>
          <w:szCs w:val="17"/>
          <w:i w:val="1"/>
          <w:iCs w:val="1"/>
          <w:color w:val="auto"/>
        </w:rPr>
        <w:t xml:space="preserve"> </w:t>
      </w:r>
      <w:r>
        <w:rPr>
          <w:rFonts w:ascii="Arial" w:cs="Arial" w:eastAsia="Arial" w:hAnsi="Arial"/>
          <w:sz w:val="17"/>
          <w:szCs w:val="17"/>
          <w:color w:val="auto"/>
        </w:rPr>
        <w:t>$8.0 million for the same period in 2018. The increase in R&amp;D expenses was primarily the result of an increase of $1.8 million in salaries, incentive compensation and other employee benefits due to an increase in personnel to support our product development efforts, as well as an increase of $1.3 million in clinical trials, outside services and consulting services attributable to R&amp;D. Non-cash stock-based compensation expense allocated to R&amp;D was $2.4 million for the three months ended September 30, 2019</w:t>
      </w:r>
      <w:r>
        <w:rPr>
          <w:rFonts w:ascii="Arial" w:cs="Arial" w:eastAsia="Arial" w:hAnsi="Arial"/>
          <w:sz w:val="17"/>
          <w:szCs w:val="17"/>
          <w:i w:val="1"/>
          <w:iCs w:val="1"/>
          <w:color w:val="auto"/>
        </w:rPr>
        <w:t>,</w:t>
      </w:r>
      <w:r>
        <w:rPr>
          <w:rFonts w:ascii="Arial" w:cs="Arial" w:eastAsia="Arial" w:hAnsi="Arial"/>
          <w:sz w:val="17"/>
          <w:szCs w:val="17"/>
          <w:color w:val="auto"/>
        </w:rPr>
        <w:t xml:space="preserve"> compared to $1.9 million in the same period in 2018.</w:t>
      </w:r>
    </w:p>
    <w:p>
      <w:pPr>
        <w:spacing w:after="0" w:line="173" w:lineRule="exact"/>
        <w:rPr>
          <w:sz w:val="20"/>
          <w:szCs w:val="20"/>
          <w:color w:val="auto"/>
        </w:rPr>
      </w:pPr>
    </w:p>
    <w:p>
      <w:pPr>
        <w:ind w:right="260" w:firstLine="1297"/>
        <w:spacing w:after="0" w:line="291" w:lineRule="auto"/>
        <w:rPr>
          <w:sz w:val="20"/>
          <w:szCs w:val="20"/>
          <w:color w:val="auto"/>
        </w:rPr>
      </w:pPr>
      <w:r>
        <w:rPr>
          <w:rFonts w:ascii="Arial" w:cs="Arial" w:eastAsia="Arial" w:hAnsi="Arial"/>
          <w:sz w:val="16"/>
          <w:szCs w:val="16"/>
          <w:i w:val="1"/>
          <w:iCs w:val="1"/>
          <w:color w:val="auto"/>
        </w:rPr>
        <w:t>Other Income and Expense</w:t>
      </w:r>
      <w:r>
        <w:rPr>
          <w:rFonts w:ascii="Arial" w:cs="Arial" w:eastAsia="Arial" w:hAnsi="Arial"/>
          <w:sz w:val="16"/>
          <w:szCs w:val="16"/>
          <w:color w:val="auto"/>
        </w:rPr>
        <w:t>. Total other income for the three months ended September 30, 2019 was $3.2 million compared to total other</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of $18.5 million in the same period in 2018. Other income for the three months ended September 30, 2019 primarily consisted of a $2.3 million revaluation gain from the change in the fair value of the Series A warrants, and $0.9 million in interest income. Other expense for the three months ended September 30, 2018 primarily consisted of a $12.3 million revaluation loss from the change in the fair value of certain warrants due to the significant appreciation of our stock price, as well as a $5.3 million loss on extinguishment of debt associated with the full repayment of our Term Loan Agreement in August 2018. Interest and other income primarily consisted of interest earned on our cash equivalents and short-term investments, for which our average invested balances were significantly higher during the third quarter of 2019 compared to the third quarter of 2018.</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2019 and 2018</w:t>
      </w:r>
    </w:p>
    <w:p>
      <w:pPr>
        <w:spacing w:after="0" w:line="229"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nine months ended September 30, 2019, sales were $253.9 million, which included $50.0 million of international sales.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2018, sales were $107.7 million, which included $2.5 million of international sales (which commenced in the third quarter of 2018).</w:t>
      </w:r>
    </w:p>
    <w:p>
      <w:pPr>
        <w:spacing w:after="0" w:line="181"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The total sales increase of $146.2 million was primarily driven by a 194% increase in worldwide pump shipments to 53,829 in the first nine months of 2019, compared to 18,325 in the first nine months of 2018. Worldwide pump shipments were positively impacted by strong demand for our products following the August 2018 domestic launch of t:slim X2 with Basal-IQ technology, and the commencement of commercial sales of t:slim X2 with G5 integration in select international geographies in the third quarter of 2018, as well as the fulfillment of international pump demand from backlog that existed at the end of 2018 due to supply constraints. Additionally, sales from pump-related supplies increased 105% primarily due to an overall increase in our installed base of customers reordering supplies.</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Domestic sales by product were as follows (in thousands):</w:t>
      </w:r>
    </w:p>
    <w:p>
      <w:pPr>
        <w:spacing w:after="0" w:line="163"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Borders>
              <w:bottom w:val="single" w:sz="8" w:color="CFF0FC"/>
            </w:tcBorders>
          </w:tcPr>
          <w:p>
            <w:pPr>
              <w:spacing w:after="0"/>
              <w:rPr>
                <w:sz w:val="16"/>
                <w:szCs w:val="16"/>
                <w:color w:val="auto"/>
              </w:rPr>
            </w:pPr>
          </w:p>
        </w:tc>
        <w:tc>
          <w:tcPr>
            <w:tcW w:w="4280" w:type="dxa"/>
            <w:vAlign w:val="bottom"/>
            <w:tcBorders>
              <w:bottom w:val="single" w:sz="8" w:color="CFF0FC"/>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Pump</w:t>
            </w:r>
          </w:p>
        </w:tc>
        <w:tc>
          <w:tcPr>
            <w:tcW w:w="5280" w:type="dxa"/>
            <w:vAlign w:val="bottom"/>
            <w:tcBorders>
              <w:bottom w:val="single" w:sz="8" w:color="CFF0FC"/>
            </w:tcBorders>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138,624</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67,029</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Infusion sets</w:t>
            </w:r>
          </w:p>
        </w:tc>
        <w:tc>
          <w:tcPr>
            <w:tcW w:w="4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44,335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25,957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Cartridges</w:t>
            </w:r>
          </w:p>
        </w:tc>
        <w:tc>
          <w:tcPr>
            <w:tcW w:w="4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20,530</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11,820</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Other</w:t>
            </w:r>
          </w:p>
        </w:tc>
        <w:tc>
          <w:tcPr>
            <w:tcW w:w="4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FF0FC"/>
            </w:tcBorders>
          </w:tcPr>
          <w:p>
            <w:pPr>
              <w:spacing w:after="0"/>
              <w:rPr>
                <w:sz w:val="2"/>
                <w:szCs w:val="2"/>
                <w:color w:val="auto"/>
              </w:rPr>
            </w:pPr>
          </w:p>
        </w:tc>
        <w:tc>
          <w:tcPr>
            <w:tcW w:w="428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Total Domestic Sales</w:t>
            </w:r>
          </w:p>
        </w:tc>
        <w:tc>
          <w:tcPr>
            <w:tcW w:w="5280" w:type="dxa"/>
            <w:vAlign w:val="bottom"/>
            <w:tcBorders>
              <w:bottom w:val="single" w:sz="8" w:color="CFF0FC"/>
            </w:tcBorders>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203,867</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105,123</w:t>
            </w: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tcBorders>
          </w:tcPr>
          <w:p>
            <w:pPr>
              <w:spacing w:after="0" w:line="20" w:lineRule="exact"/>
              <w:rPr>
                <w:sz w:val="1"/>
                <w:szCs w:val="1"/>
                <w:color w:val="auto"/>
              </w:rPr>
            </w:pPr>
          </w:p>
        </w:tc>
        <w:tc>
          <w:tcPr>
            <w:tcW w:w="4280" w:type="dxa"/>
            <w:vAlign w:val="bottom"/>
            <w:tcBorders>
              <w:top w:val="single" w:sz="8" w:color="CFF0FC"/>
              <w:bottom w:val="single" w:sz="8" w:color="CFF0FC"/>
            </w:tcBorders>
            <w:vMerge w:val="restart"/>
          </w:tcPr>
          <w:p>
            <w:pPr>
              <w:jc w:val="right"/>
              <w:ind w:right="2010"/>
              <w:spacing w:after="0"/>
              <w:rPr>
                <w:sz w:val="20"/>
                <w:szCs w:val="20"/>
                <w:color w:val="auto"/>
              </w:rPr>
            </w:pPr>
            <w:r>
              <w:rPr>
                <w:rFonts w:ascii="Arial" w:cs="Arial" w:eastAsia="Arial" w:hAnsi="Arial"/>
                <w:sz w:val="18"/>
                <w:szCs w:val="18"/>
                <w:color w:val="auto"/>
              </w:rPr>
              <w:t>28</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2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International sales by product were as follows (in thousands):</w:t>
      </w:r>
    </w:p>
    <w:p>
      <w:pPr>
        <w:spacing w:after="0" w:line="163"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FF0FC"/>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Pump</w:t>
            </w:r>
          </w:p>
        </w:tc>
        <w:tc>
          <w:tcPr>
            <w:tcW w:w="1060" w:type="dxa"/>
            <w:vAlign w:val="bottom"/>
            <w:tcBorders>
              <w:bottom w:val="single" w:sz="8" w:color="CFF0FC"/>
            </w:tcBorders>
            <w:shd w:val="clear" w:color="auto" w:fill="CFF0FC"/>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36,472</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2,217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Infusion sets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8,225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67</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Cartridges</w:t>
            </w:r>
          </w:p>
        </w:tc>
        <w:tc>
          <w:tcPr>
            <w:tcW w:w="10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5,130</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228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7"/>
        </w:trPr>
        <w:tc>
          <w:tcPr>
            <w:tcW w:w="79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Total International Sales</w:t>
            </w:r>
          </w:p>
        </w:tc>
        <w:tc>
          <w:tcPr>
            <w:tcW w:w="1060" w:type="dxa"/>
            <w:vAlign w:val="bottom"/>
            <w:tcBorders>
              <w:bottom w:val="single" w:sz="8" w:color="CFF0FC"/>
            </w:tcBorders>
            <w:shd w:val="clear" w:color="auto" w:fill="CFF0FC"/>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50,040</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2,544</w:t>
            </w:r>
          </w:p>
        </w:tc>
      </w:tr>
      <w:tr>
        <w:trPr>
          <w:trHeight w:val="20"/>
        </w:trPr>
        <w:tc>
          <w:tcPr>
            <w:tcW w:w="79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Sales to distributors accounted for 73% and 77% of our total domestic sales for the nine months ended September 30, 2019 and 2018, respectively. Our percentage of sales to distributors versus individual customers is principally determined by the mix of customers ordering our products within the period and whether or not we have a contractual arrangement with their underlying third-party insurance payor. Sales to international distributors accounted for the vast majority of our total international sales.</w:t>
      </w:r>
    </w:p>
    <w:p>
      <w:pPr>
        <w:spacing w:after="0" w:line="187"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for the nine months ended September 30, 2019 was $120.0 million resulting in gross profit</w:t>
      </w:r>
      <w:r>
        <w:rPr>
          <w:rFonts w:ascii="Arial" w:cs="Arial" w:eastAsia="Arial" w:hAnsi="Arial"/>
          <w:sz w:val="18"/>
          <w:szCs w:val="18"/>
          <w:i w:val="1"/>
          <w:iCs w:val="1"/>
          <w:color w:val="auto"/>
        </w:rPr>
        <w:t xml:space="preserve"> </w:t>
      </w:r>
      <w:r>
        <w:rPr>
          <w:rFonts w:ascii="Arial" w:cs="Arial" w:eastAsia="Arial" w:hAnsi="Arial"/>
          <w:sz w:val="18"/>
          <w:szCs w:val="18"/>
          <w:color w:val="auto"/>
        </w:rPr>
        <w:t>of $133.9 million, compared to $59.4 million in cost of sales for the same period in 2018 resulting in gross profit of $48.3 million. The gross margin for the nine months ended September 30, 2019 was 53% compared to 45% in the same period in 2018.</w:t>
      </w:r>
    </w:p>
    <w:p>
      <w:pPr>
        <w:spacing w:after="0" w:line="181" w:lineRule="exact"/>
        <w:rPr>
          <w:sz w:val="20"/>
          <w:szCs w:val="20"/>
          <w:color w:val="auto"/>
        </w:rPr>
      </w:pPr>
    </w:p>
    <w:p>
      <w:pPr>
        <w:jc w:val="both"/>
        <w:ind w:right="640" w:firstLine="1297"/>
        <w:spacing w:after="0" w:line="288" w:lineRule="auto"/>
        <w:rPr>
          <w:sz w:val="20"/>
          <w:szCs w:val="20"/>
          <w:color w:val="auto"/>
        </w:rPr>
      </w:pPr>
      <w:r>
        <w:rPr>
          <w:rFonts w:ascii="Arial" w:cs="Arial" w:eastAsia="Arial" w:hAnsi="Arial"/>
          <w:sz w:val="16"/>
          <w:szCs w:val="16"/>
          <w:color w:val="auto"/>
        </w:rPr>
        <w:t>The increase in our gross profit for the nine months ended September 30, 2019 was primarily the result of a 194% increase in pump shipments. Gross profit and gross margin also increased as a result of per unit manufacturing cost improvements from higher production volumes and continued overall manufacturing efficiencies gained from our new manufacturing facility which became fully operational at the beginning of 2018.</w:t>
      </w:r>
    </w:p>
    <w:p>
      <w:pPr>
        <w:spacing w:after="0" w:line="254" w:lineRule="auto"/>
        <w:rPr>
          <w:sz w:val="20"/>
          <w:szCs w:val="20"/>
          <w:color w:val="auto"/>
        </w:rPr>
      </w:pPr>
      <w:r>
        <w:rPr>
          <w:rFonts w:ascii="Arial" w:cs="Arial" w:eastAsia="Arial" w:hAnsi="Arial"/>
          <w:sz w:val="18"/>
          <w:szCs w:val="18"/>
          <w:color w:val="auto"/>
        </w:rPr>
        <w:t>Additionally, we recognized a notable increase in non-cash stock-based compensation expense allocated to cost of sales of $4.2 million in the nine months ended September 30, 2019 compared to $1.1 million in the same period in 2018, due to the valuation of certain 2018 and 2019 employee stock option grants and the impact on the valuation of the significant increase in our stock price. On an aggregate basis, other non-manufacturing costs, which primarily consist of warranty, freight and training costs, also reflected improvement on a per unit basis.</w:t>
      </w:r>
    </w:p>
    <w:p>
      <w:pPr>
        <w:spacing w:after="0" w:line="190" w:lineRule="exact"/>
        <w:rPr>
          <w:sz w:val="20"/>
          <w:szCs w:val="20"/>
          <w:color w:val="auto"/>
        </w:rPr>
      </w:pPr>
    </w:p>
    <w:p>
      <w:pPr>
        <w:ind w:right="120" w:firstLine="1297"/>
        <w:spacing w:after="0" w:line="293"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expenses increased 65% to $120.2 million for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2019 from $73.0 million for the same period in 2018. Employee-related expenses for our SG&amp;A functions comprise the majority of SG&amp;A expenses. The increase compared to 2018 was primarily the result of a $19.0 million increase in salaries, incentive compensation and other employee benefits due to an increase in personnel to support our sales growth and growing installed customer base, as well as an increase of $20.6 million in non-cash stock-based compensation. The increase in stock-based compensation expense for the nine months ended September 30, 2019 to $29.1 million was primarily due to the valuation of certain 2018 and 2019 employee stock option grants and the impact on the valuation of the significant increase in our stock price.</w:t>
      </w:r>
    </w:p>
    <w:p>
      <w:pPr>
        <w:spacing w:after="0" w:line="165"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R&amp;D expenses increased 60% to $32.6 million for the nine months ended September 30, 2019 from</w:t>
      </w:r>
      <w:r>
        <w:rPr>
          <w:rFonts w:ascii="Arial" w:cs="Arial" w:eastAsia="Arial" w:hAnsi="Arial"/>
          <w:sz w:val="18"/>
          <w:szCs w:val="18"/>
          <w:i w:val="1"/>
          <w:iCs w:val="1"/>
          <w:color w:val="auto"/>
        </w:rPr>
        <w:t xml:space="preserve"> </w:t>
      </w:r>
      <w:r>
        <w:rPr>
          <w:rFonts w:ascii="Arial" w:cs="Arial" w:eastAsia="Arial" w:hAnsi="Arial"/>
          <w:sz w:val="18"/>
          <w:szCs w:val="18"/>
          <w:color w:val="auto"/>
        </w:rPr>
        <w:t>$20.4 million for the same period in 2018. The increase in R&amp;D expenses was primarily the result of an increase of $4.6 million in salaries, incentive compensation and other employee benefits due to an increase in personnel to support our product development efforts, as well as an increase in non-cash stock-based compensation allocated to R&amp;D of $3.7 million. The increase in stock-based compensation expense for the nine months ended September 30, 2019 to $6.1 million is primarily due to the valuation of certain 2018 and 2019 employee stock option grants and the impact on the valuation of the significant increase in our stock price.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i w:val="1"/>
          <w:iCs w:val="1"/>
          <w:color w:val="auto"/>
        </w:rPr>
        <w:t>Other Income and Expense</w:t>
      </w:r>
      <w:r>
        <w:rPr>
          <w:rFonts w:ascii="Arial" w:cs="Arial" w:eastAsia="Arial" w:hAnsi="Arial"/>
          <w:sz w:val="18"/>
          <w:szCs w:val="18"/>
          <w:color w:val="auto"/>
        </w:rPr>
        <w:t>. Total other expense for the nine months ended September 30, 2019 and 2018 was $8.5 million and $81.1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Other expense for the nine months ended September 30, 2019 primarily consisted of a $10.8 million revaluation loss from the change in the fair value of the Series A warrants due to the significant appreciation of our stock price during the first nine months of 2019, offset by other income. Other expense for the nine months ended September 30, 2018 primarily consisted of a $69.0 million revaluation loss from the change in the fair value of certain warrants, $7.6 million of interest expense associated with the Term Loan Agreement, as well as a $5.3 million loss on extinguishment of debt associated with the full repayment of our Term Loan Agreement in August 2018. Interest and other income primarily consisted of interest earned on our cash equivalents and short-term investments, for which our average invested balances were significantly higher during the first nine months of 2019 compared to the first nine months of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As of September 30, 2019, we had $156.9 million in cash and cash equivalents and short-term investments. We believe that our cash and cash equivalents and short-term investments balance is sufficient to satisfy our liquidity requirements for at least the next 12 months from the date of this filing.</w:t>
      </w:r>
    </w:p>
    <w:p>
      <w:pPr>
        <w:spacing w:after="0" w:line="181"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Historically, our principal sources of cash have included private and public offerings of equity securities, debt financing, and cash collected from product sales. Since the beginning of 2018, we completed the following financing activities:</w:t>
      </w:r>
    </w:p>
    <w:p>
      <w:pPr>
        <w:spacing w:after="0" w:line="170" w:lineRule="exact"/>
        <w:rPr>
          <w:sz w:val="20"/>
          <w:szCs w:val="20"/>
          <w:color w:val="auto"/>
        </w:rPr>
      </w:pPr>
    </w:p>
    <w:p>
      <w:pPr>
        <w:ind w:left="1960" w:right="80" w:hanging="655"/>
        <w:spacing w:after="0" w:line="264" w:lineRule="auto"/>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February 2018, we completed a registered public offering of 34,500,000 shares of common stock at a public offering price of $2.00 per share. The gross proceeds from the offering were approximately $69.0 million, before deducting underwriting discounts and commissions and other offering expenses.</w:t>
      </w:r>
    </w:p>
    <w:p>
      <w:pPr>
        <w:spacing w:after="0" w:line="181" w:lineRule="exact"/>
        <w:rPr>
          <w:rFonts w:ascii="Arial" w:cs="Arial" w:eastAsia="Arial" w:hAnsi="Arial"/>
          <w:sz w:val="18"/>
          <w:szCs w:val="18"/>
          <w:color w:val="auto"/>
        </w:rPr>
      </w:pPr>
    </w:p>
    <w:p>
      <w:pPr>
        <w:ind w:left="1960" w:right="480" w:hanging="655"/>
        <w:spacing w:after="0" w:line="264" w:lineRule="auto"/>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August 2018, we completed a registered public offering of 4,035,085 shares of common stock at a public offering price of $28.50 per share. The gross proceeds from the offering were $115.0 million, before deducting underwriting discounts and commissions and other offering expenses.</w:t>
      </w:r>
    </w:p>
    <w:p>
      <w:pPr>
        <w:spacing w:after="0" w:line="181" w:lineRule="exact"/>
        <w:rPr>
          <w:rFonts w:ascii="Arial" w:cs="Arial" w:eastAsia="Arial" w:hAnsi="Arial"/>
          <w:sz w:val="18"/>
          <w:szCs w:val="18"/>
          <w:color w:val="auto"/>
        </w:rPr>
      </w:pPr>
    </w:p>
    <w:p>
      <w:pPr>
        <w:ind w:left="1960" w:hanging="655"/>
        <w:spacing w:after="0" w:line="286" w:lineRule="auto"/>
        <w:tabs>
          <w:tab w:leader="none" w:pos="1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Between January 2018 and September 2019, we received proceeds of $29.9 million from the exercise of 8,829,235 outstanding warrants which were originally issued in a registered public offering of common stock in October 2017. As of September 30, 2019, there were warrants to purchase 417,315 shares outstanding relating to the October 2017 offering.</w:t>
      </w:r>
    </w:p>
    <w:p>
      <w:pPr>
        <w:spacing w:after="0" w:line="165" w:lineRule="exact"/>
        <w:rPr>
          <w:rFonts w:ascii="Arial" w:cs="Arial" w:eastAsia="Arial" w:hAnsi="Arial"/>
          <w:sz w:val="17"/>
          <w:szCs w:val="17"/>
          <w:color w:val="auto"/>
        </w:rPr>
      </w:pPr>
    </w:p>
    <w:p>
      <w:pPr>
        <w:ind w:left="1960" w:right="80" w:hanging="655"/>
        <w:spacing w:after="0" w:line="264" w:lineRule="auto"/>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Between January 2018 and September 2019, we issued 1,349,470 shares of common stock upon the exercise of stock options, and 248,746 shares of common stock were purchased under our 2013 Employee Stock Purchase Plan, which generated aggregate proceeds of $20.2 million.</w:t>
      </w:r>
    </w:p>
    <w:p>
      <w:pPr>
        <w:spacing w:after="0" w:line="181"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Our historical cash outflows have primarily been associated with cash used for operating activities such as the development and commercialization of our products, the expansion and support of our sales, marketing, clinical and customer support organizations, the expansion of our R&amp;D activities, the expansion of our commercial activities to select international geographies, the acquisition of intellectual property, expenditures related to increases in our manufacturing capacity and improvements to our manufacturing efficiency, overall expansion of our facilities and operations, and other working capital needs. Additionally, we have used cash to pay the interest expense associated with our Term Loan Agreement. The outstanding balance associated with the Term Loan Agreement was fully repaid in August 2018, and we have ceased incurring interest expense and other costs associated with the Term Loan Agreement subsequent to the third quarter of 2018.</w:t>
      </w:r>
    </w:p>
    <w:p>
      <w:pPr>
        <w:spacing w:after="0" w:line="189"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We expect our sales performance and the resulting operating income or loss, as well as the status of each of our new product development programs, will significantly impact our cash flow from operations, liquidity position and cash management decisions.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table shows a summary of our cash flows for the nine months ended September 30, 2019 and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cash provided by (used in):</w:t>
            </w:r>
          </w:p>
        </w:tc>
        <w:tc>
          <w:tcPr>
            <w:tcW w:w="3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22,463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(22,452)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(36,054)</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(84,148)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17,789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115,227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Effect of foreign exchange rate changes on cash</w:t>
            </w:r>
          </w:p>
        </w:tc>
        <w:tc>
          <w:tcPr>
            <w:tcW w:w="32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4,234</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8,627</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1297"/>
        <w:spacing w:after="0" w:line="270" w:lineRule="auto"/>
        <w:rPr>
          <w:sz w:val="20"/>
          <w:szCs w:val="20"/>
          <w:color w:val="auto"/>
        </w:rPr>
      </w:pPr>
      <w:r>
        <w:rPr>
          <w:rFonts w:ascii="Arial" w:cs="Arial" w:eastAsia="Arial" w:hAnsi="Arial"/>
          <w:sz w:val="17"/>
          <w:szCs w:val="17"/>
          <w:i w:val="1"/>
          <w:iCs w:val="1"/>
          <w:color w:val="auto"/>
        </w:rPr>
        <w:t>Operating activities</w:t>
      </w:r>
      <w:r>
        <w:rPr>
          <w:rFonts w:ascii="Arial" w:cs="Arial" w:eastAsia="Arial" w:hAnsi="Arial"/>
          <w:sz w:val="17"/>
          <w:szCs w:val="17"/>
          <w:color w:val="auto"/>
        </w:rPr>
        <w:t>. Net cash provided by operating activities was $22.5 million for the nine months ended September 30, 2019,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$22.5 million net cash used in operating activities in the same period in 2018. The improvement to net cash provided by operating activities was primarily driven by higher sales and gross margins in 2019, which resulted in a significant reduction in net loss when adjusted for non-cash expenses, particularly the change in the fair value of common stock warrants and stock-based compensation expense, offset by net changes in working capital. Our operating loss for the nine months ended September 30, 2018 also included $7.6 million in interest expense, and a $5.3 million loss on extinguishment of debt. Working capital changes in 2019 primarily consisted of increases in accounts receivable and inventories, offset by increases in accounts payable, accrued expenses and employee-related liabilities, deferred revenue, and other long-term liabilities related to accrued warranty. Accounts receivable increased to $45.3 million at September 30, 2019 from $35.2 million at December 31, 2018, as a result of higher sales in the third quarter of 2019 as compared to the fourth quarter of 2018. Inventories increased to $40.7 million at September 30, 2019 from $19.9 million at December 31, 2018, primarily to support the growth in our business.</w:t>
      </w:r>
    </w:p>
    <w:p>
      <w:pPr>
        <w:spacing w:after="0" w:line="178" w:lineRule="exact"/>
        <w:rPr>
          <w:sz w:val="20"/>
          <w:szCs w:val="20"/>
          <w:color w:val="auto"/>
        </w:rPr>
      </w:pPr>
    </w:p>
    <w:p>
      <w:pPr>
        <w:ind w:right="20" w:firstLine="1297"/>
        <w:spacing w:after="0" w:line="271"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Net cash used by investing activities was $36.1 million for the nine months ended September 30, 2019, which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related to purchases of short-term investments of $126.3 million and $12.8 million in purchases of property and equipment, offset by $103.0 million in proceeds from maturities and sales of short-term investments. Net cash used in investing activities was $84.1 million for</w:t>
      </w:r>
    </w:p>
    <w:p>
      <w:pPr>
        <w:ind w:right="640"/>
        <w:spacing w:after="0" w:line="290" w:lineRule="auto"/>
        <w:rPr>
          <w:sz w:val="20"/>
          <w:szCs w:val="20"/>
          <w:color w:val="auto"/>
        </w:rPr>
      </w:pPr>
      <w:r>
        <w:rPr>
          <w:rFonts w:ascii="Arial" w:cs="Arial" w:eastAsia="Arial" w:hAnsi="Arial"/>
          <w:sz w:val="17"/>
          <w:szCs w:val="17"/>
          <w:color w:val="auto"/>
        </w:rPr>
        <w:t>the nine months ended September 30, 2018, which was primarily related to purchases of short-term investments of $100.6 million and $2.1 million in purchases of property and equipment, offset by $18.5 million in proceeds from maturities and sales of short-term investments.</w:t>
      </w:r>
    </w:p>
    <w:p>
      <w:pPr>
        <w:spacing w:after="0" w:line="162"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Net cash provided by financing activities was $17.8 million for the nine months ended September 30, 2019,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consisted of $17.5 million in proceeds from the issuance of common stock under our stock plans. Net cash provided by financing activities was $115.2 million for the nine months ended September 30, 2018, which primarily consisted of net proceeds of approximately $172.9 million from the public offerings of our common stock in February 2018 and August 2018, as well as proceeds of $29.5 million from the exercise of Series A and Series B warrants issued in connection with our public offering of common stock in October 2017, offset by a cash usage of $87.7 million associated with the full repayment of the Term Loan Agreement in August 2018.</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Our liquidity position and capital requirements are subject to fluctuation based on a number of factors, including the following:</w:t>
      </w:r>
    </w:p>
    <w:p>
      <w:pPr>
        <w:spacing w:after="0" w:line="225" w:lineRule="exact"/>
        <w:rPr>
          <w:sz w:val="20"/>
          <w:szCs w:val="20"/>
          <w:color w:val="auto"/>
        </w:rPr>
      </w:pPr>
    </w:p>
    <w:p>
      <w:pPr>
        <w:ind w:left="1960" w:right="340" w:hanging="655"/>
        <w:spacing w:after="0" w:line="277" w:lineRule="auto"/>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generate sales, the timing of those sales, the mix of products sold and the collection of receivables from period to period;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any additional financings, and the net proceeds raised from such financings;</w:t>
      </w:r>
    </w:p>
    <w:p>
      <w:pPr>
        <w:spacing w:after="0" w:line="225" w:lineRule="exact"/>
        <w:rPr>
          <w:rFonts w:ascii="Arial" w:cs="Arial" w:eastAsia="Arial" w:hAnsi="Arial"/>
          <w:sz w:val="18"/>
          <w:szCs w:val="18"/>
          <w:color w:val="auto"/>
        </w:rPr>
      </w:pPr>
    </w:p>
    <w:p>
      <w:pPr>
        <w:ind w:left="1960" w:right="560" w:hanging="655"/>
        <w:spacing w:after="0" w:line="277" w:lineRule="auto"/>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amount of the exercise of outstanding warrants, and proceeds from the issuance of equity awards pursuant to employee stock plans;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gross margins and operating margins; and</w:t>
      </w:r>
    </w:p>
    <w:p>
      <w:pPr>
        <w:spacing w:after="0" w:line="225" w:lineRule="exact"/>
        <w:rPr>
          <w:rFonts w:ascii="Arial" w:cs="Arial" w:eastAsia="Arial" w:hAnsi="Arial"/>
          <w:sz w:val="18"/>
          <w:szCs w:val="18"/>
          <w:color w:val="auto"/>
        </w:rPr>
      </w:pPr>
    </w:p>
    <w:p>
      <w:pPr>
        <w:ind w:left="1960" w:right="680" w:hanging="655"/>
        <w:spacing w:after="0" w:line="277" w:lineRule="auto"/>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working capital, including changes in accounts receivable, inventories, accounts payable, employee related liabilities, and operating lease liabilities.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Our primary short-term capital needs are expected to include expenditures related to:</w:t>
      </w:r>
    </w:p>
    <w:p>
      <w:pPr>
        <w:spacing w:after="0" w:line="225" w:lineRule="exact"/>
        <w:rPr>
          <w:sz w:val="20"/>
          <w:szCs w:val="20"/>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 of our commercialization efforts related to our current and future products;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our customer support resources for our growing installed customer base;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research and product development efforts, including clinical trial costs;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of equipment, technology, intellectual property and other assets;</w:t>
      </w:r>
    </w:p>
    <w:p>
      <w:pPr>
        <w:spacing w:after="0" w:line="225" w:lineRule="exact"/>
        <w:rPr>
          <w:rFonts w:ascii="Arial" w:cs="Arial" w:eastAsia="Arial" w:hAnsi="Arial"/>
          <w:sz w:val="18"/>
          <w:szCs w:val="18"/>
          <w:color w:val="auto"/>
        </w:rPr>
      </w:pPr>
    </w:p>
    <w:p>
      <w:pPr>
        <w:ind w:left="1960" w:right="20" w:hanging="655"/>
        <w:spacing w:after="0" w:line="277" w:lineRule="auto"/>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 facilities leases and related tenant improvements, and manufacturing equipment to support business growth and increase manufacturing capacity;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payments under licensing, development and commercialization agreements.</w:t>
      </w:r>
    </w:p>
    <w:p>
      <w:pPr>
        <w:spacing w:after="0" w:line="225"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Although we believe the foregoing items reflect our most likely uses of cash in the short-term, we cannot predict with certainty all of our particular cash uses or the timing or amount of cash used. In addition, from time to time we may consider opportunities to acquire or license other products or technologies that may enhance our product platform or technology, expand the breadth of our markets or customer base, or advance our business strategies. Any such transaction may require short-term expenditures that may impact our capital needs. If for any reason our cash and cash equivalents balances, or cash generated from operations is insufficient to satisfy our working capital requirements, we may in the future be required to seek additional</w:t>
      </w:r>
    </w:p>
    <w:p>
      <w:pPr>
        <w:spacing w:after="0" w:line="2"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capital from public or private offerings of our equity or debt securities, or we may elect to borrow capital under new credit arrangements or from other sources. We may also seek to raise additional capital from such offerings or borrowings on an opportunistic basis when we believe there are suitable opportunities for doing so.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There can be no assurance that financing will be available on acceptable terms, or at all. Our ability to raise additional financing may be negatively impacted by a number of factors, including our recent and projected financial results, recent changes in and volatility of our stock price, perceptions about the dilutive impact of financing transactions, the competitive environment in our industry, and uncertainties regarding the regulatory environment in which we operate.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Repayment of Term Loan Agreement</w:t>
      </w:r>
    </w:p>
    <w:p>
      <w:pPr>
        <w:spacing w:after="0" w:line="225" w:lineRule="exact"/>
        <w:rPr>
          <w:sz w:val="20"/>
          <w:szCs w:val="20"/>
          <w:color w:val="auto"/>
        </w:rPr>
      </w:pPr>
    </w:p>
    <w:p>
      <w:pPr>
        <w:ind w:right="100" w:firstLine="1297"/>
        <w:spacing w:after="0" w:line="276" w:lineRule="auto"/>
        <w:rPr>
          <w:sz w:val="20"/>
          <w:szCs w:val="20"/>
          <w:color w:val="auto"/>
        </w:rPr>
      </w:pPr>
      <w:r>
        <w:rPr>
          <w:rFonts w:ascii="Arial" w:cs="Arial" w:eastAsia="Arial" w:hAnsi="Arial"/>
          <w:sz w:val="17"/>
          <w:szCs w:val="17"/>
          <w:color w:val="auto"/>
        </w:rPr>
        <w:t>In August 2018, we fully repaid our term loan with CRG pursuant to the Term Loan Agreement. The balance of the outstanding debt at the time of repayment was $82.7 million. The repayment included approximately $1.1 million in accrued interest and approximately $5.0 million in associated financing fees that became due. Therefore, we did not have any borrowings outstanding under the Term Loan Agreement as of September 30, 2019 and December 31, 2018. At the time of repayment, the remaining $5.3 million debt discount balance associated with the financing fees and certain debt issuance costs was accelerated and recognized as a loss on extinguishment of debt during the third quarter of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Our discussion and analysis of our financial condition and results of operations are based on our consolidated financial statements, which have been prepared in accordance with accounting principles generally accepted in the United States. The preparation of these consolidated financial statements requires management to make estimates and judgments that affect the reported amounts of assets, liabilities, revenues and expenses and the disclosure of contingent assets and liabilities in our consolidated financial statements and accompanying notes as of the date of the consolidated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w:t>
      </w:r>
    </w:p>
    <w:p>
      <w:pPr>
        <w:spacing w:after="0" w:line="178"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our Annual Report on Form 10-K for the year ended December 31, 2018 (Annual Report) other than adoption of the new lease accounting standard. Refer to Note 6, “Leases” in the Notes to Unaudited Condensed Consolidated Financial Statements for further details.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of September 30, 2019,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We invest our excess cash primarily in commercial paper, corporate debt securities, U.S. Government-sponsored enterprise securities and U.S. Treasury securities. Some of the financial instruments in which we invest subject us to market risk, in that a change in prevailing interest rates may cause the principal amount of the instrument to fluctuate. Other financial instruments in which we invest subject us to credit risk, in that the value of the instrument may fluctuate based on the issuer’s ability to pay.</w:t>
      </w:r>
    </w:p>
    <w:p>
      <w:pPr>
        <w:spacing w:after="0" w:line="187"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81"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September 30, 2019, this change would not have had a material effect on the fair value of our investment portfolio as of that date.</w:t>
      </w:r>
    </w:p>
    <w:p>
      <w:pPr>
        <w:spacing w:after="0" w:line="181" w:lineRule="exact"/>
        <w:rPr>
          <w:sz w:val="20"/>
          <w:szCs w:val="20"/>
          <w:color w:val="auto"/>
        </w:rPr>
      </w:pPr>
    </w:p>
    <w:p>
      <w:pPr>
        <w:ind w:right="40" w:firstLine="1297"/>
        <w:spacing w:after="0" w:line="289" w:lineRule="auto"/>
        <w:rPr>
          <w:sz w:val="20"/>
          <w:szCs w:val="20"/>
          <w:color w:val="auto"/>
        </w:rPr>
      </w:pPr>
      <w:r>
        <w:rPr>
          <w:rFonts w:ascii="Arial" w:cs="Arial" w:eastAsia="Arial" w:hAnsi="Arial"/>
          <w:sz w:val="16"/>
          <w:szCs w:val="16"/>
          <w:color w:val="auto"/>
        </w:rPr>
        <w:t>Our operations are primarily located in the United States, and nearly all of our sales since inception have been made in U.S. dollars. With the exception of a portion of our sales in Canada, our sales outside of the United States are currently made to independent distributors under agreements denominated in U.S. dollars. Accordingly, we believe we do not currently have any material exposure to foreign currency rate fluctuations. As our business in markets outside of the United States increases, we may be exposed to foreign currency exchange risk. We believe this is currently limited to our operations in Canada, where fluctuations in the rate of exchange between the U.S. dollar and the Canadian dollar could adversely affect our financial results. In addition, from time to time, we may have foreign currency exchange risk related to existing assets and liabilities, committed transactions and forecasted future cash flows. In certain circumstances, we may seek to manage such foreign currency exchange risk by using derivative instruments such as foreign currency exchange forward contracts to hedge our risk. In general, we may hedge material foreign currency exchange exposures up to 12 months in advance. However, we may choose not to hedge some exposures for a variety of reasons, including prohibitive economic costs.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and Exchange Act of 1934, as amended (Exchange Act) that are designed to ensure that information required to be disclosed in the periodic and current reports we file with the Securities and Exchange Commission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169"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As of September 30, 2019,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the reasonable assurance level as of September 30,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of the Exchange Act) during the quarter ended September 30, 2019 that materially affected, or are reasonably likely to materially affect, our internal control over financial reporting.</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125" w:right="3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From time to time, we are involved in various legal proceedings, disputes and other claims arising in the ordinary course of our business, including actions with respect to intellectual property, employment, product liability and contractual matters. Although the results of legal proceedings, disputes and other claims cannot be predicted with certainty, we currently believe that the final outcome of these ordinary course matters will not, individually or in the aggregate, have a material adverse effect on our business, financial position, results of operations, cash flows or future prospects. However, regardless of the outcome, legal proceedings, disputes and other claims can have an adverse impact on us because of legal costs, diversion of management time and resources, and other factors.</w:t>
      </w:r>
    </w:p>
    <w:p>
      <w:pPr>
        <w:spacing w:after="0" w:line="189"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jc w:val="both"/>
        <w:ind w:right="200" w:firstLine="1297"/>
        <w:spacing w:after="0" w:line="273" w:lineRule="auto"/>
        <w:rPr>
          <w:sz w:val="20"/>
          <w:szCs w:val="20"/>
          <w:color w:val="auto"/>
        </w:rPr>
      </w:pPr>
      <w:r>
        <w:rPr>
          <w:rFonts w:ascii="Arial" w:cs="Arial" w:eastAsia="Arial" w:hAnsi="Arial"/>
          <w:sz w:val="17"/>
          <w:szCs w:val="17"/>
          <w:i w:val="1"/>
          <w:iCs w:val="1"/>
          <w:color w:val="auto"/>
        </w:rPr>
        <w:t>An investment in our common stock involves risks. You should consider carefully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 Certain statements below are forward-looking statements.</w:t>
      </w:r>
    </w:p>
    <w:p>
      <w:pPr>
        <w:spacing w:after="0" w:line="178"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i w:val="1"/>
          <w:iCs w:val="1"/>
          <w:color w:val="auto"/>
        </w:rPr>
        <w:t>The risk factors set forth below marked with an asterisk (*) next to the title contain changes to the description of the risk factors previously disclosed in Part I, Item 1A of our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operating losses since inception and cannot assure you that we will achieve sustained profitability.*</w:t>
      </w:r>
    </w:p>
    <w:p>
      <w:pPr>
        <w:spacing w:after="0" w:line="225" w:lineRule="exact"/>
        <w:rPr>
          <w:sz w:val="20"/>
          <w:szCs w:val="20"/>
          <w:color w:val="auto"/>
        </w:rPr>
      </w:pPr>
    </w:p>
    <w:p>
      <w:pPr>
        <w:ind w:right="200" w:firstLine="1297"/>
        <w:spacing w:after="0" w:line="276" w:lineRule="auto"/>
        <w:rPr>
          <w:sz w:val="20"/>
          <w:szCs w:val="20"/>
          <w:color w:val="auto"/>
        </w:rPr>
      </w:pPr>
      <w:r>
        <w:rPr>
          <w:rFonts w:ascii="Arial" w:cs="Arial" w:eastAsia="Arial" w:hAnsi="Arial"/>
          <w:sz w:val="17"/>
          <w:szCs w:val="17"/>
          <w:color w:val="auto"/>
        </w:rPr>
        <w:t>Since our inception in January 2006, we have incurred a significant net loss. As of September 30, 2019, we had an accumulated deficit of $627.5 million. To date, we have funded our operations primarily through private and public offerings of our equity securities, cash collected from sales of our products, and debt financing which has since been fully repaid. We have devoted substantially all of our resources to the design, development and commercialization of our products, the scaling of our manufacturing operations and commercial organization, the research and development of our current products and products under development, and the assembly of a management team to manage our business.</w:t>
      </w:r>
    </w:p>
    <w:p>
      <w:pPr>
        <w:spacing w:after="0" w:line="173"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We began commercial sales of our first product, t:slim, in August 2012 and our flagship pump platform, t:slim X2, in October 2016. The t:slim X2 hardware platform now represents 100% of new pump shipments. In August 2017, we received approval from the FDA for the integration of t:slim X2 with the Dexcom G5 Mobile CGM system. In June 2018, we received FDA approval for t:slim X2 with Basal-IQ technology and commenced commercial sales of t:slim X2 with Basal-IQ technology integrated with the Dexcom G6 CGM in August 2018. Outside the United States, we have been selling our t:slim X2 with G5 integration in select markets since the third quarter of 2018, and in the second quarter of 2019, we commenced sales and shipments of our t:slim X2 with Basal-IQ technology in a subset of those markets.</w:t>
      </w:r>
    </w:p>
    <w:p>
      <w:pPr>
        <w:spacing w:after="0" w:line="193"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Since the first quarter of 2013, we have been able to manufacture and sell our insulin pump products at a cost and in volumes sufficient to allow us to achieve a positive overall gross margin. For the years ended December 31, 2018 and 2017, our gross profit was $89.8 million and $44.1 million, respectively. Although we have achieved a positive overall gross margin, we still operate at a net loss and expect that we may continue to do so for the foreseeable future.</w:t>
      </w:r>
    </w:p>
    <w:p>
      <w:pPr>
        <w:spacing w:after="0" w:line="187"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6"/>
          <w:szCs w:val="16"/>
          <w:color w:val="auto"/>
        </w:rPr>
        <w:t>To implement our business strategy and achieve consistent profitability, we need to, among other things, increase sales of our products and the gross profit associated with those sales, maintain an appropriate customer service and support infrastructure, fund ongoing research and development activities, create additional efficiencies in our manufacturing processes, and obtain regulatory clearance or approval to commercialize our products currently under development both domestically and internationally. We expect our expenses will continue to increase as we pursue these objectives and make investments in our business. Additional increases in our expenses without commensurate increases in sales could significantly increase our operating losses.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The extent of our future operating losses and the timing of our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and the timing of regulatory approval of our products and the products of our competitors. Any additional operating losses will have an adverse effect on our stockholders’ equity, and we cannot assure you that we will be able to sustain profitability.</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70"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We generate nearly all of our revenue from the sale of t:slim X2 insulin pumps and the related insulin cartridges and infusion sets. Sales of these products may be negatively impacted by many factors, including:</w:t>
      </w:r>
    </w:p>
    <w:p>
      <w:pPr>
        <w:spacing w:after="0" w:line="170" w:lineRule="exact"/>
        <w:rPr>
          <w:sz w:val="20"/>
          <w:szCs w:val="20"/>
          <w:color w:val="auto"/>
        </w:rPr>
      </w:pPr>
    </w:p>
    <w:p>
      <w:pPr>
        <w:ind w:left="1960" w:right="140" w:hanging="655"/>
        <w:spacing w:after="0" w:line="277"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acceptance of the insulin pumps and related products manufactured and sold by our key competitors, including Medtronic Public Limited Company (plc) (Medtronic);</w:t>
      </w:r>
    </w:p>
    <w:p>
      <w:pPr>
        <w:spacing w:after="0" w:line="170" w:lineRule="exact"/>
        <w:rPr>
          <w:rFonts w:ascii="Arial" w:cs="Arial" w:eastAsia="Arial" w:hAnsi="Arial"/>
          <w:sz w:val="18"/>
          <w:szCs w:val="18"/>
          <w:color w:val="auto"/>
        </w:rPr>
      </w:pPr>
    </w:p>
    <w:p>
      <w:pPr>
        <w:ind w:left="1960" w:right="160" w:hanging="655"/>
        <w:spacing w:after="0" w:line="277"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that breakthroughs for the monitoring, treatment or prevention of diabetes may render our insulin pumps obsolete or less desirable;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products, or similar products or technologies of our competitors;</w:t>
      </w:r>
    </w:p>
    <w:p>
      <w:pPr>
        <w:spacing w:after="0" w:line="225" w:lineRule="exact"/>
        <w:rPr>
          <w:rFonts w:ascii="Arial" w:cs="Arial" w:eastAsia="Arial" w:hAnsi="Arial"/>
          <w:sz w:val="18"/>
          <w:szCs w:val="18"/>
          <w:color w:val="auto"/>
        </w:rPr>
      </w:pPr>
    </w:p>
    <w:p>
      <w:pPr>
        <w:ind w:left="1960" w:right="100" w:hanging="655"/>
        <w:spacing w:after="0" w:line="277"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our Tandem Device Updater to accurately and timely provide customers with remote access to new product features and functionality as anticipated, or our failure to obtain regulatory approval for any such updates;</w:t>
      </w:r>
    </w:p>
    <w:p>
      <w:pPr>
        <w:spacing w:after="0" w:line="170" w:lineRule="exact"/>
        <w:rPr>
          <w:rFonts w:ascii="Arial" w:cs="Arial" w:eastAsia="Arial" w:hAnsi="Arial"/>
          <w:sz w:val="18"/>
          <w:szCs w:val="18"/>
          <w:color w:val="auto"/>
        </w:rPr>
      </w:pPr>
    </w:p>
    <w:p>
      <w:pPr>
        <w:ind w:left="1960" w:right="20" w:hanging="655"/>
        <w:spacing w:after="0" w:line="277"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reimbursement rates or policies relating to insulin pumps or similar products or technologies by third-party payors, such as the decision by UnitedHealthcare that restricts a majority of its members from accessing our pumps;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enter into contracts with third-party payors on a timely basis and on acceptable terms;</w:t>
      </w:r>
    </w:p>
    <w:p>
      <w:pPr>
        <w:spacing w:after="0" w:line="225" w:lineRule="exact"/>
        <w:rPr>
          <w:rFonts w:ascii="Arial" w:cs="Arial" w:eastAsia="Arial" w:hAnsi="Arial"/>
          <w:sz w:val="18"/>
          <w:szCs w:val="18"/>
          <w:color w:val="auto"/>
        </w:rPr>
      </w:pPr>
    </w:p>
    <w:p>
      <w:pPr>
        <w:ind w:left="1960" w:right="700" w:hanging="655"/>
        <w:spacing w:after="0" w:line="277"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problems arising from the expansion of our manufacturing capabilities and commercial operations, or destruction, loss, or temporary shutdown of our manufacturing facilities;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concerns regarding the perceived safety or reliability of any of our products, or any component thereof; and</w:t>
      </w:r>
    </w:p>
    <w:p>
      <w:pPr>
        <w:spacing w:after="0" w:line="225" w:lineRule="exact"/>
        <w:rPr>
          <w:rFonts w:ascii="Arial" w:cs="Arial" w:eastAsia="Arial" w:hAnsi="Arial"/>
          <w:sz w:val="18"/>
          <w:szCs w:val="18"/>
          <w:color w:val="auto"/>
        </w:rPr>
      </w:pPr>
    </w:p>
    <w:p>
      <w:pPr>
        <w:ind w:left="1960" w:right="240" w:hanging="655"/>
        <w:spacing w:after="0" w:line="277"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claims that any of our products, or any component thereof, infringes on patent rights or other intellectual property rights of third parties.</w:t>
      </w:r>
    </w:p>
    <w:p>
      <w:pPr>
        <w:spacing w:after="0" w:line="170"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In addition, sales of any of our current or future insulin pump products with CGM integration are subject to the continuation of our applicable agreements with Dexcom or other third parties, which under some circumstances may be subject to termination with or without cause, on relatively short notice. Sales of our current products may also be negatively impacted in the event of any regulatory or legal actions relating to Dexcom’s CGM products, or in the event of any disruption to the availability of the applicable CGM related supplies, such as sensors or transmitters, in a given market in which our products are sold. Further, sales of our products may also be adversely impacted if Dexcom’s CGM products are not viewed as superior to competing CGM products in markets where our products are sold or if the price of these products is not competitive with similar products available in the market.</w:t>
      </w:r>
    </w:p>
    <w:p>
      <w:pPr>
        <w:spacing w:after="0" w:line="189" w:lineRule="exact"/>
        <w:rPr>
          <w:sz w:val="20"/>
          <w:szCs w:val="20"/>
          <w:color w:val="auto"/>
        </w:rPr>
      </w:pPr>
    </w:p>
    <w:p>
      <w:pPr>
        <w:ind w:right="260" w:firstLine="1297"/>
        <w:spacing w:after="0" w:line="279" w:lineRule="auto"/>
        <w:rPr>
          <w:sz w:val="20"/>
          <w:szCs w:val="20"/>
          <w:color w:val="auto"/>
        </w:rPr>
      </w:pPr>
      <w:r>
        <w:rPr>
          <w:rFonts w:ascii="Arial" w:cs="Arial" w:eastAsia="Arial" w:hAnsi="Arial"/>
          <w:sz w:val="17"/>
          <w:szCs w:val="17"/>
          <w:color w:val="auto"/>
        </w:rPr>
        <w:t>Furthermore, sales of our products may be adversely impacted by negative perceptions regarding our financial stability relative to that of our competitors. These concerns may arise from a number of factors, including our recent and projected financial results, changes in and volatility of our stock price, the competitive environment in our industry, and uncertainties regarding the regulatory environment. Any such concerns, whether actual or perceived, could cause consumers to delay the purchase of our products or purchase competitive products.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Because we currently rely on sales of our t:slim X2 insulin pump and related products to generate a significant majority of our revenue, any factors that negatively impact sales of these products, or result in sales of these products increasing at a lower rate than expected, could adversely affect our business, financial condition and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and grow our revenue depends in part on retaining a high percentage of our customer base.*</w:t>
      </w:r>
    </w:p>
    <w:p>
      <w:pPr>
        <w:spacing w:after="0" w:line="225"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A key to maintaining and growing our revenue is the retention of a high percentage of our customers due to the potentially significant revenue generated from ongoing purchases of disposable insulin cartridges and other supplies. In addition, our pumps are designed and tested to remain effective for at least four years and a satisfied customer may consider purchasing another product from us when the time comes to replace the pump. We have developed retention programs aimed at our customers, their caregivers and healthcare providers, which include training specific to our products, ongoing support by sales and clinical employees, and 24/7 technical support and customer service. Demand for our products from our existing customers could decline or could fail to increase in line with our projections as a result of a number of factors, including the introduction of competitive products, breakthroughs for the monitoring, treatment or prevention of diabetes, changes in reimbursement rates or policies, manufacturing problems, perceived safety or reliability issues with our products or components or the products of our competitors, the failure to secure regulatory clearance or approvals for products or product features in a timely manner or at all, or for other reasons. The failure to retain a high percentage of our customers and increase sales to these customers consistent with our forecasts would have a material adverse effect on our business, financial condition and operating results.</w:t>
      </w:r>
    </w:p>
    <w:p>
      <w:pPr>
        <w:spacing w:after="0" w:line="1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industry and if we fail to compete successfully against our existing or potential competitors, many of whom have greater resources than us, our sales and operating results may be negatively affected.*</w:t>
      </w:r>
    </w:p>
    <w:p>
      <w:pPr>
        <w:spacing w:after="0" w:line="170" w:lineRule="exact"/>
        <w:rPr>
          <w:sz w:val="20"/>
          <w:szCs w:val="20"/>
          <w:color w:val="auto"/>
        </w:rPr>
      </w:pPr>
    </w:p>
    <w:p>
      <w:pPr>
        <w:ind w:right="160" w:firstLine="1297"/>
        <w:spacing w:after="0" w:line="312" w:lineRule="auto"/>
        <w:rPr>
          <w:sz w:val="20"/>
          <w:szCs w:val="20"/>
          <w:color w:val="auto"/>
        </w:rPr>
      </w:pPr>
      <w:r>
        <w:rPr>
          <w:rFonts w:ascii="Arial" w:cs="Arial" w:eastAsia="Arial" w:hAnsi="Arial"/>
          <w:sz w:val="16"/>
          <w:szCs w:val="16"/>
          <w:color w:val="auto"/>
        </w:rPr>
        <w:t>The medical device industry is intensely competitive, subject to rapid change and highly sensitive to the introduction of new products, treatment techniques or technologies, as well as other activities of industry participants. We believe our products compete, and will continue to compete, directly with a number of traditional insulin pumps, as well as other methods for the treatment of diabetes, including multiple daily injection (MDI) therapy.</w:t>
      </w:r>
    </w:p>
    <w:p>
      <w:pPr>
        <w:spacing w:after="0" w:line="147" w:lineRule="exact"/>
        <w:rPr>
          <w:sz w:val="20"/>
          <w:szCs w:val="20"/>
          <w:color w:val="auto"/>
        </w:rPr>
      </w:pPr>
    </w:p>
    <w:p>
      <w:pPr>
        <w:ind w:right="100" w:firstLine="1297"/>
        <w:spacing w:after="0" w:line="270" w:lineRule="auto"/>
        <w:rPr>
          <w:sz w:val="20"/>
          <w:szCs w:val="20"/>
          <w:color w:val="auto"/>
        </w:rPr>
      </w:pPr>
      <w:r>
        <w:rPr>
          <w:rFonts w:ascii="Arial" w:cs="Arial" w:eastAsia="Arial" w:hAnsi="Arial"/>
          <w:sz w:val="17"/>
          <w:szCs w:val="17"/>
          <w:color w:val="auto"/>
        </w:rPr>
        <w:t>Our primary competitors are major medical device companies that are either publicly traded companies or divisions or subsidiaries of publicly traded companies. For instance, Medtronic MiniMed, a division of Medtronic, has been the market leader for many years and has the majority share of the traditional insulin pump market in the United States. However, the market for insulin pumps continues to experience significant changes. For instance, in October 2017, Johnson &amp; Johnson announced its plans to discontinue the operations of Animas and to exit the insulin pump business entirely. Animas designated Medtronic as a preferred partner to facilitate the transition of their respective insulin pump customers. In addition, over the past several years Eli Lilly &amp; Co. announced that it was developing an insulin pump and Becton Dickinson announced that it plans to launch an insulin pump designed for persons with type 2 diabetes. There are also a number of other companies developing and marketing their own insulin delivery systems and/or related software applications, including insulin pumps and Bluetooth-enabled insulin pens to support MDI therapy. While these industry changes are significant, it is difficult to know how they will impact our business or the competitive landscape in which we operate. Our key competitors, most notably Medtronic, enjoy several competitive advantages over us, including:</w:t>
      </w:r>
    </w:p>
    <w:p>
      <w:pPr>
        <w:spacing w:after="0" w:line="178" w:lineRule="exact"/>
        <w:rPr>
          <w:sz w:val="20"/>
          <w:szCs w:val="20"/>
          <w:color w:val="auto"/>
        </w:rPr>
      </w:pPr>
    </w:p>
    <w:p>
      <w:pPr>
        <w:ind w:left="1960" w:hanging="655"/>
        <w:spacing w:after="0"/>
        <w:tabs>
          <w:tab w:leader="none" w:pos="1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greater financial and human resources for sales and marketing, product development, customer service and clinical resources;</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ability to respond to competitive pressures and regulatory uncertainty;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established relationships with healthcare providers, third-party payors and regulatory agencies;</w:t>
      </w:r>
    </w:p>
    <w:p>
      <w:pPr>
        <w:spacing w:after="0" w:line="225" w:lineRule="exact"/>
        <w:rPr>
          <w:rFonts w:ascii="Arial" w:cs="Arial" w:eastAsia="Arial" w:hAnsi="Arial"/>
          <w:sz w:val="18"/>
          <w:szCs w:val="18"/>
          <w:color w:val="auto"/>
        </w:rPr>
      </w:pPr>
    </w:p>
    <w:p>
      <w:pPr>
        <w:ind w:left="1960" w:right="360" w:hanging="655"/>
        <w:spacing w:after="0" w:line="277" w:lineRule="auto"/>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established reputation and name recognition among healthcare providers and other key opinion leaders in the medical industry generally and the diabetes industry in particular;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market share and established base of customers;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products supported by long-term clinical data;</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larger and more established distribution networks;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ability to cross-sell products or provide incentives to healthcare providers to use their products;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960" w:right="420" w:hanging="655"/>
        <w:spacing w:after="0" w:line="277" w:lineRule="auto"/>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more experience in conducting research and development, manufacturing, clinical trials, and obtaining regulatory approval or clearance.</w:t>
      </w:r>
    </w:p>
    <w:p>
      <w:pPr>
        <w:spacing w:after="0" w:line="170"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In some instances, our competitors offer products that include features that we do not currently offer. For instance, Medtronic offers a traditional insulin pump with a hybrid closed-loop AID functionality and a new CGM system, and Insulet offers an insulin pump with a tubeless delivery system that does not utilize an infusion set. These specific features may make the competitive products more desirable to customers and healthcare providers, which could negatively impact sales of our products.</w:t>
      </w:r>
    </w:p>
    <w:p>
      <w:pPr>
        <w:spacing w:after="0" w:line="187" w:lineRule="exact"/>
        <w:rPr>
          <w:sz w:val="20"/>
          <w:szCs w:val="20"/>
          <w:color w:val="auto"/>
        </w:rPr>
      </w:pPr>
    </w:p>
    <w:p>
      <w:pPr>
        <w:ind w:firstLine="1297"/>
        <w:spacing w:after="0" w:line="253" w:lineRule="auto"/>
        <w:rPr>
          <w:sz w:val="20"/>
          <w:szCs w:val="20"/>
          <w:color w:val="auto"/>
        </w:rPr>
      </w:pPr>
      <w:r>
        <w:rPr>
          <w:rFonts w:ascii="Arial" w:cs="Arial" w:eastAsia="Arial" w:hAnsi="Arial"/>
          <w:sz w:val="18"/>
          <w:szCs w:val="18"/>
          <w:color w:val="auto"/>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In the fourth quarter of 2017, Abbott launched a new blood glucose sensing technology in the United States which competes with the Dexcom technology, and another CGM product with CE mark approval was approved in the second quarter of 2018 for sale in the United States. While we are currently in discussions with Abbott to develop and commercialize integrated diabetes solutions, there can be no assurance that we will enter into a definitive agreement with Abbott, that such an agreement will be on terms favorable to us, or that this collaboration will be successful. Competitive pressures within our industry could negatively impact the financial condition of our business partners, impact their ability to fulfill contractual obligations to us, and result in harm to our financial condition and operating results.</w:t>
      </w:r>
    </w:p>
    <w:p>
      <w:pPr>
        <w:spacing w:after="0" w:line="197" w:lineRule="exact"/>
        <w:rPr>
          <w:sz w:val="20"/>
          <w:szCs w:val="20"/>
          <w:color w:val="auto"/>
        </w:rPr>
      </w:pPr>
    </w:p>
    <w:p>
      <w:pPr>
        <w:ind w:right="60" w:firstLine="1297"/>
        <w:spacing w:after="0" w:line="308" w:lineRule="auto"/>
        <w:rPr>
          <w:sz w:val="20"/>
          <w:szCs w:val="20"/>
          <w:color w:val="auto"/>
        </w:rPr>
      </w:pPr>
      <w:r>
        <w:rPr>
          <w:rFonts w:ascii="Arial" w:cs="Arial" w:eastAsia="Arial" w:hAnsi="Arial"/>
          <w:sz w:val="17"/>
          <w:szCs w:val="17"/>
          <w:color w:val="auto"/>
        </w:rPr>
        <w:t>For these and other reasons, we may not be able to compete successfully against our current or potential future competitors. As a result, our product sales may be negatively affected, which could have a material adverse impact on our financial condition and operating results.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Competitive products or other technological developments and breakthroughs for the monitoring, treatment or prevention of diabetes may render our products obsolete or less desirable.</w:t>
      </w:r>
    </w:p>
    <w:p>
      <w:pPr>
        <w:spacing w:after="0" w:line="170" w:lineRule="exact"/>
        <w:rPr>
          <w:sz w:val="20"/>
          <w:szCs w:val="20"/>
          <w:color w:val="auto"/>
        </w:rPr>
      </w:pPr>
    </w:p>
    <w:p>
      <w:pPr>
        <w:ind w:right="20" w:firstLine="1297"/>
        <w:spacing w:after="0" w:line="271" w:lineRule="auto"/>
        <w:rPr>
          <w:sz w:val="20"/>
          <w:szCs w:val="20"/>
          <w:color w:val="auto"/>
        </w:rPr>
      </w:pPr>
      <w:r>
        <w:rPr>
          <w:rFonts w:ascii="Arial" w:cs="Arial" w:eastAsia="Arial" w:hAnsi="Arial"/>
          <w:sz w:val="17"/>
          <w:szCs w:val="17"/>
          <w:color w:val="auto"/>
        </w:rPr>
        <w:t>Our ability to achieve our strategic objectives will depend, among other things, on our ability to develop and commercialize products for the treatment of diabetes that offer distinct features and functionality, are easy-to-use, receive adequate coverage and reimbursement from third-party payors, and are otherwise more appealing than available alternatives. Our primary competitors, as well as a number of other companies and medical researchers are pursuing new delivery devices, delivery technologies,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79"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color w:val="auto"/>
        </w:rPr>
        <w:t>Because the insulin-dependent diabetes market is large and growing, we anticipate companies will continue to dedicate significant resources to developing competitive products and technologies. The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 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spacing w:after="0" w:line="167"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Moreover, we have designed our products to resemble modern consumer electronic devices to address certain embarrassment and functionality concerns consumers have raised with respect to traditional pumps. The consumer electronics industry is itself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electronics technology, our products may become less desirable.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900"/>
        <w:spacing w:after="0" w:line="342" w:lineRule="auto"/>
        <w:rPr>
          <w:sz w:val="20"/>
          <w:szCs w:val="20"/>
          <w:color w:val="auto"/>
        </w:rPr>
      </w:pPr>
      <w:r>
        <w:rPr>
          <w:rFonts w:ascii="Arial" w:cs="Arial" w:eastAsia="Arial" w:hAnsi="Arial"/>
          <w:sz w:val="16"/>
          <w:szCs w:val="16"/>
          <w:b w:val="1"/>
          <w:bCs w:val="1"/>
          <w:i w:val="1"/>
          <w:iCs w:val="1"/>
          <w:color w:val="auto"/>
        </w:rPr>
        <w:t>The failure of our insulin pump and related products to achieve and maintain market acceptance could result in us achieving sales below our expectations, which would cause our business, financial condition and operating results to be materially and adversely affected.*</w:t>
      </w:r>
    </w:p>
    <w:p>
      <w:pPr>
        <w:spacing w:after="0" w:line="124"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Our current business strategy is highly dependent on our insulin pump and related products achieving and maintaining market acceptance. In order for us to sell our products to people with insulin-dependent diabetes, we must convince them, their caregivers and healthcare providers that our products are an attractive alternative to competitive products for the treatment of diabetes, including traditional insulin pump products and MDI therapies, as well as alternative diabetes monitoring, treatment or prevention methodologies. Market acceptance and adoption of our products depends on educating people with diabetes, as well as their caregivers and healthcare providers, about the distinct features, ease-of-use, positive lifestyle impact, and other perceived benefits of our products as compared to competitive products. If we are not successful in convincing existing and potential customers of the benefits of our products, or if we are not able to achieve the support of caregivers and healthcare providers for our products, our sales may decline or we may achieve sales below our expectations.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Market acceptance of our products could be negatively impacted by many factors, including:</w:t>
      </w:r>
    </w:p>
    <w:p>
      <w:pPr>
        <w:spacing w:after="0" w:line="225" w:lineRule="exact"/>
        <w:rPr>
          <w:sz w:val="20"/>
          <w:szCs w:val="20"/>
          <w:color w:val="auto"/>
        </w:rPr>
      </w:pPr>
    </w:p>
    <w:p>
      <w:pPr>
        <w:ind w:left="1960" w:right="740" w:hanging="655"/>
        <w:spacing w:after="0" w:line="342" w:lineRule="auto"/>
        <w:tabs>
          <w:tab w:leader="none" w:pos="1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failure of our products to achieve and maintain wide acceptance among people with insulin-dependent diabetes, their caregivers, healthcare providers, third-party payors and key opinion leaders in the diabetes treatment community;</w:t>
      </w:r>
    </w:p>
    <w:p>
      <w:pPr>
        <w:spacing w:after="0" w:line="123" w:lineRule="exact"/>
        <w:rPr>
          <w:rFonts w:ascii="Arial" w:cs="Arial" w:eastAsia="Arial" w:hAnsi="Arial"/>
          <w:sz w:val="16"/>
          <w:szCs w:val="16"/>
          <w:color w:val="auto"/>
        </w:rPr>
      </w:pPr>
    </w:p>
    <w:p>
      <w:pPr>
        <w:ind w:left="1960" w:right="140" w:hanging="655"/>
        <w:spacing w:after="0" w:line="277" w:lineRule="auto"/>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evidence supporting the safety, ease-of-use or other perceived benefits of our products over competitive products or other currently-available insulin treatment methodologies;</w:t>
      </w:r>
    </w:p>
    <w:p>
      <w:pPr>
        <w:spacing w:after="0" w:line="170" w:lineRule="exact"/>
        <w:rPr>
          <w:rFonts w:ascii="Arial" w:cs="Arial" w:eastAsia="Arial" w:hAnsi="Arial"/>
          <w:sz w:val="18"/>
          <w:szCs w:val="18"/>
          <w:color w:val="auto"/>
        </w:rPr>
      </w:pPr>
    </w:p>
    <w:p>
      <w:pPr>
        <w:ind w:left="1960" w:right="780" w:hanging="655"/>
        <w:spacing w:after="0" w:line="277" w:lineRule="auto"/>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perceived risks or uncertainties associated with the use of our products, or components thereof, or of similar products or technologies of our competitors;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results of clinical studies relating to our existing products or products under development or similar competitive products.</w:t>
      </w:r>
    </w:p>
    <w:p>
      <w:pPr>
        <w:spacing w:after="0" w:line="237" w:lineRule="exact"/>
        <w:rPr>
          <w:sz w:val="20"/>
          <w:szCs w:val="20"/>
          <w:color w:val="auto"/>
        </w:rPr>
      </w:pPr>
    </w:p>
    <w:p>
      <w:pPr>
        <w:ind w:right="480" w:firstLine="1297"/>
        <w:spacing w:after="0" w:line="312" w:lineRule="auto"/>
        <w:rPr>
          <w:sz w:val="20"/>
          <w:szCs w:val="20"/>
          <w:color w:val="auto"/>
        </w:rPr>
      </w:pPr>
      <w:r>
        <w:rPr>
          <w:rFonts w:ascii="Arial" w:cs="Arial" w:eastAsia="Arial" w:hAnsi="Arial"/>
          <w:sz w:val="16"/>
          <w:szCs w:val="16"/>
          <w:color w:val="auto"/>
        </w:rPr>
        <w:t>In addition, even if we are able to convince people with insulin-dependent diabetes, their caregivers or healthcare providers that our products compare favorably to the products and treatment alternatives offered by our competitors, negative perceptions regarding our financial stability relative to that of our competitors could cause consumers to delay the purchase of our products or to purchase competitive products.</w:t>
      </w:r>
    </w:p>
    <w:p>
      <w:pPr>
        <w:spacing w:after="0" w:line="147"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Furthermore, the rapid evolution of technology and treatment options within our industry may cause consumers to delay the purchase of our products in anticipation of advancements or breakthroughs, or the perception that advancements or breakthroughs could occur, in our products or the products offered by our competitors. It is also possible that consumers interested in purchasing any of our future products currently under development may delay the purchase of one of our current products.</w:t>
      </w:r>
    </w:p>
    <w:p>
      <w:pPr>
        <w:spacing w:after="0" w:line="187" w:lineRule="exact"/>
        <w:rPr>
          <w:sz w:val="20"/>
          <w:szCs w:val="20"/>
          <w:color w:val="auto"/>
        </w:rPr>
      </w:pPr>
    </w:p>
    <w:p>
      <w:pPr>
        <w:ind w:right="160" w:firstLine="1297"/>
        <w:spacing w:after="0" w:line="308" w:lineRule="auto"/>
        <w:rPr>
          <w:sz w:val="20"/>
          <w:szCs w:val="20"/>
          <w:color w:val="auto"/>
        </w:rPr>
      </w:pPr>
      <w:r>
        <w:rPr>
          <w:rFonts w:ascii="Arial" w:cs="Arial" w:eastAsia="Arial" w:hAnsi="Arial"/>
          <w:sz w:val="17"/>
          <w:szCs w:val="17"/>
          <w:color w:val="auto"/>
        </w:rPr>
        <w:t>If our insulin pump products do not achieve and maintain widespread market acceptance, we may fail to achieve sales consistent with our projections, in which case our business, financial condition and operating results could be materially and adversely affected.</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70"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We have derived nearly all of our revenue from sales of insulin pumps, and related insulin cartridges and infusion sets, and expect to continue to do so in the foreseeable future. 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both domestically and internationally, is essential to the acceptance of our products by customers.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As guidelines in setting their coverage and reimbursement policies, many third-party payors in the United States use coverage decisions and payment amounts determined by the Centers for Medicare and Medicaid Services (CMS) which administers the U.S. Medicare program. Medicare periodically reviews its reimbursement practices for diabetes-related products. Medicare previously implemented a competitive bidding process for blood glucose strip reimbursement, which resulted in a significant reduction in the reimbursement rate for those products. In 2017, Medicare announced, and then shortly thereafter suspended, a competitive bidding process for insulin pumps. As a result, there is uncertainty as to the future Medicare reimbursement rate for our products. It is also possible that CMS may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It is possible that some third-party payors will not offer any coverage for our current or future products. For instance, UnitedHealthcare has designated one of our competitors as their preferred, in-network durable medical equipment provider of insulin pumps for most customers age seven or above. We expect this decision will prevent a majority of UnitedHealthcare members from purchasing an insulin pump from us for the foreseeable future. It is possible that other third-party payors may adopt similar policies in the future, which would adversely impact our ability to sell our products.</w:t>
      </w:r>
    </w:p>
    <w:p>
      <w:pPr>
        <w:spacing w:after="0" w:line="169"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We currently have contracts establishing reimbursement for our insulin pump products with approximately 184 national and regional third-party payors in the United States. While we may enter into additional contracts both domestically and internationally with third-party payors and add coverage for future products under our current agreements, we cannot guarantee that we will succeed in doing so or that the reimbursement contracts that we are able to negotiate will enable us to sell our products on a profitable basis. In particular, we have limited experience securing reimbursement in international markets. In addition, existing contracts with third-party payors generally can be modified or terminated by the third-party payor without cause and with little or no notice to us. Moreover, compliance with the administrative procedures or requirements of third-party payors may result in delays in processing approvals by those third-party payors for customers to obtain coverage for our products.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82"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face unexpected challenges in marketing and selling our products, and training new customers on the use of our products, which could harm our ability to achieve our sales forecasts.</w:t>
      </w:r>
    </w:p>
    <w:p>
      <w:pPr>
        <w:spacing w:after="0" w:line="170" w:lineRule="exact"/>
        <w:rPr>
          <w:sz w:val="20"/>
          <w:szCs w:val="20"/>
          <w:color w:val="auto"/>
        </w:rPr>
      </w:pPr>
    </w:p>
    <w:p>
      <w:pPr>
        <w:ind w:right="120" w:firstLine="1297"/>
        <w:spacing w:after="0" w:line="302" w:lineRule="auto"/>
        <w:rPr>
          <w:sz w:val="20"/>
          <w:szCs w:val="20"/>
          <w:color w:val="auto"/>
        </w:rPr>
      </w:pPr>
      <w:r>
        <w:rPr>
          <w:rFonts w:ascii="Arial" w:cs="Arial" w:eastAsia="Arial" w:hAnsi="Arial"/>
          <w:sz w:val="16"/>
          <w:szCs w:val="16"/>
          <w:color w:val="auto"/>
        </w:rPr>
        <w:t>We have limited experience marketing and selling our products as well as training new customers on their use, particularly in international markets. In addition, the vast majority of our existing customers are individuals with type 1 diabetes, and we have limited experience marketing and selling our products to customers with type 2 diabetes. We anticipate that selling our products to customers with higher insulin requirements, including customers with type 2 diabetes, may be even more difficult following our decision to discontinue sales of new t:flex pumps in the third quarter of 2018.</w:t>
      </w:r>
    </w:p>
    <w:p>
      <w:pPr>
        <w:spacing w:after="0" w:line="154" w:lineRule="exact"/>
        <w:rPr>
          <w:sz w:val="20"/>
          <w:szCs w:val="20"/>
          <w:color w:val="auto"/>
        </w:rPr>
      </w:pPr>
    </w:p>
    <w:p>
      <w:pPr>
        <w:ind w:right="260" w:firstLine="1297"/>
        <w:spacing w:after="0" w:line="297" w:lineRule="auto"/>
        <w:rPr>
          <w:sz w:val="20"/>
          <w:szCs w:val="20"/>
          <w:color w:val="auto"/>
        </w:rPr>
      </w:pPr>
      <w:r>
        <w:rPr>
          <w:rFonts w:ascii="Arial" w:cs="Arial" w:eastAsia="Arial" w:hAnsi="Arial"/>
          <w:sz w:val="16"/>
          <w:szCs w:val="16"/>
          <w:color w:val="auto"/>
        </w:rPr>
        <w:t>We expect to derive nearly all of our revenue from the sale of our t:slim X2 insulin pump, and the related insulin cartridges and infusion sets, unless and until we receive regulatory clearance or approval for other products currently under development. As a result, our financial condition and operating results are and will continue to be highly dependent on our ability to adequately promote, market and sell our t:slim X2 insulin pump and related products, and the ability of our diabetes educators to train new customers on the use of our products. If our sales and marketing representatives or diabetes educators fail to achieve their objectives, our sales could decrease or may not increase at levels that are in line with our forecasts.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existing sales, marketing, clinical and customer service infrastructure, we may fail to increase our sales to meet our forecasts.*</w:t>
      </w:r>
    </w:p>
    <w:p>
      <w:pPr>
        <w:spacing w:after="0" w:line="170"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A key element of our business strategy involves our sales, clinical, marketing and customer service personnel driving adoption of our products. We have increased the number of sales, marketing, clinical and customer service personnel employed by us since the initial commercial launch of t:slim in 2012. However, we have faced considerable challenges in growing and managing these resources, including with respect to recruiting, training and assimilation of new territories and accounts. We expect to continue to face significant challenges as we manage and grow our infrastructure in the future and work to motivate and retain the individuals who make up our existing infrastructure. These challenges may be even greater in connection with our commercial expansion outside of the United States, where we have limited experience. Unexpected turnover among our sales, marketing, clinical and customer service personnel, or unanticipated challenges in recruiting additional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w:t>
      </w:r>
    </w:p>
    <w:p>
      <w:pPr>
        <w:spacing w:after="0" w:line="183"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We expect the management of our sales, marketing, clinical and customer service personnel will continue to place significant burdens on our management team.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cause sales to decline.</w:t>
      </w:r>
    </w:p>
    <w:p>
      <w:pPr>
        <w:spacing w:after="0" w:line="18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47" w:lineRule="exact"/>
        <w:rPr>
          <w:sz w:val="20"/>
          <w:szCs w:val="20"/>
          <w:color w:val="auto"/>
        </w:rPr>
      </w:pPr>
    </w:p>
    <w:p>
      <w:pPr>
        <w:ind w:right="120" w:firstLine="1297"/>
        <w:spacing w:after="0" w:line="268" w:lineRule="auto"/>
        <w:rPr>
          <w:sz w:val="20"/>
          <w:szCs w:val="20"/>
          <w:color w:val="auto"/>
        </w:rPr>
      </w:pPr>
      <w:r>
        <w:rPr>
          <w:rFonts w:ascii="Arial" w:cs="Arial" w:eastAsia="Arial" w:hAnsi="Arial"/>
          <w:sz w:val="17"/>
          <w:szCs w:val="17"/>
          <w:color w:val="auto"/>
        </w:rPr>
        <w:t>For the year ended December 31, 2018, sales to approximately 64 independent distributors represented approximately 79% of our sales. While our goal in the United States is to reduce the percentage of our sales to independent distributors over time as we enter into contracts with additional third-party payors, we believe a majority of our sales will continue to be to independent distributors for the foreseeable future, and it is possible that the percentage of our sales to independent distributors could even increase in the near term, particularly in light of our reliance on independent distributors outside of the United States. For example, our dependence upon independent distributors domestically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None of our independent distributors domestically has been required to sell our products exclusively and each of them may freely sell the products of our competitors. Our distributor agreements in the United States generally have one-year initial terms with automatic one-year renewal terms, and are terminable in connection with a party’s material breach. Our distributor agreements outside of the United States generally have longer initial terms and, in addition to being terminable in connection with a party’s material breach, include provisions that allow us to terminate those agreements prior to their ordinary expiration in specified circumstances. If we are unable to maintain or expand our network of independent distributors, our sales may be negatively affected.</w:t>
      </w:r>
    </w:p>
    <w:p>
      <w:pPr>
        <w:spacing w:after="0" w:line="188" w:lineRule="exact"/>
        <w:rPr>
          <w:sz w:val="20"/>
          <w:szCs w:val="20"/>
          <w:color w:val="auto"/>
        </w:rPr>
      </w:pPr>
    </w:p>
    <w:p>
      <w:pPr>
        <w:ind w:right="80" w:firstLine="1297"/>
        <w:spacing w:after="0" w:line="254" w:lineRule="auto"/>
        <w:rPr>
          <w:sz w:val="20"/>
          <w:szCs w:val="20"/>
          <w:color w:val="auto"/>
        </w:rPr>
      </w:pPr>
      <w:r>
        <w:rPr>
          <w:rFonts w:ascii="Arial" w:cs="Arial" w:eastAsia="Arial" w:hAnsi="Arial"/>
          <w:sz w:val="18"/>
          <w:szCs w:val="18"/>
          <w:color w:val="auto"/>
        </w:rPr>
        <w:t>For the year ended December 31, 2018, our two largest independent distributors in the United States collectively comprised approximately 35% of our sales, and our nine independent international distributors collectively comprised approximately 5% of our sales. 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or other arrangements pursuant to which independent distributors may purchase product from us, the terms of the arrangements could result in our product margins being lower than if we directly marketed and sold our products.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170" w:lineRule="exact"/>
        <w:rPr>
          <w:sz w:val="20"/>
          <w:szCs w:val="20"/>
          <w:color w:val="auto"/>
        </w:rPr>
      </w:pPr>
    </w:p>
    <w:p>
      <w:pPr>
        <w:ind w:right="40" w:firstLine="1297"/>
        <w:spacing w:after="0" w:line="287" w:lineRule="auto"/>
        <w:rPr>
          <w:sz w:val="20"/>
          <w:szCs w:val="20"/>
          <w:color w:val="auto"/>
        </w:rPr>
      </w:pPr>
      <w:r>
        <w:rPr>
          <w:rFonts w:ascii="Arial" w:cs="Arial" w:eastAsia="Arial" w:hAnsi="Arial"/>
          <w:sz w:val="16"/>
          <w:szCs w:val="16"/>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these third parties do not successfully carry out their commitments or regulatory obligations or meet expected deadlines, or the quality or accuracy of the data they obtain is compromised due to the failure to adhere to agreed-upon clinical protocols or regulatory requirements or for other reasons, our pre-clinical development activities or clinical trials may be extended, delayed, suspended or terminated, and we may not be able to obtain regulatory clearance or approval for, or successfully commercialize, our products on a timely basis, if at all, and our business, operating results and prospects may be adversely affected. In particular, we are relying on data from the U.S. portion of the Clinical Acceptance of the Artificial Pancreas (DCLP3) portion of the IDCL trial, to support our development of t:slim X2 with Control-IQ technology. We may also rely on data from other portions of the larger IDCL trial to support additional regulatory submissions. The IDCL trial is being conducted entirely by third parties over which we have little or no control or influence. In the event that the ongoing aspects of the IDCL trial are not performed on a timely basis, or if the quality or accuracy of the data obtained from the IDCL trial is compromised due to the failure to adhere to clinical protocols or regulatory requirements or for other reasons, our development activities for t:slim X2 with Control-IQ technology may be negatively impacted.</w:t>
      </w:r>
    </w:p>
    <w:p>
      <w:pPr>
        <w:spacing w:after="0" w:line="16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We are increasingly dependent on clinical investigators and clinical sites to enroll patients in our current and anticipated clinical trials, and the failure to successfully complete the clinical trials could prevent us from obtaining regulatory approvals for or commercializing our products.*</w:t>
      </w:r>
    </w:p>
    <w:p>
      <w:pPr>
        <w:spacing w:after="0" w:line="124"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As part of our product development efforts, we expect to increasingly rely on clinical investigators and clinical sites to enroll patients in our clinical trials and other third parties to manage such trials and to perform related data collection and analysis. However, we may not be able to control the amount and timing of resources that clinical sites may devote to our clinical trials, especially with respect to the ongoing portions of the IDCL trial that we intend to rely upon for the development of t:slim X2 with Control-IQ technology. If these clinical investigators and clinical sites fail to enroll a sufficient number of patients, fail to ensure compliance by patients with clinical protocols, or fail to comply with regulatory requirements, we may be unable to successfully complete our clinical trials, which could prevent us from obtaining regulatory approvals for our products and commercializing our products, which would have an adverse impact on our business.</w:t>
      </w:r>
    </w:p>
    <w:p>
      <w:pPr>
        <w:spacing w:after="0" w:line="189"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47" w:lineRule="exact"/>
        <w:rPr>
          <w:sz w:val="20"/>
          <w:szCs w:val="20"/>
          <w:color w:val="auto"/>
        </w:rPr>
      </w:pPr>
    </w:p>
    <w:p>
      <w:pPr>
        <w:ind w:right="40" w:firstLine="1297"/>
        <w:spacing w:after="0" w:line="291" w:lineRule="auto"/>
        <w:rPr>
          <w:sz w:val="20"/>
          <w:szCs w:val="20"/>
          <w:color w:val="auto"/>
        </w:rPr>
      </w:pPr>
      <w:r>
        <w:rPr>
          <w:rFonts w:ascii="Arial" w:cs="Arial" w:eastAsia="Arial" w:hAnsi="Arial"/>
          <w:sz w:val="16"/>
          <w:szCs w:val="16"/>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5"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1297"/>
        <w:spacing w:after="0" w:line="288" w:lineRule="auto"/>
        <w:rPr>
          <w:sz w:val="20"/>
          <w:szCs w:val="20"/>
          <w:color w:val="auto"/>
        </w:rPr>
      </w:pPr>
      <w:r>
        <w:rPr>
          <w:rFonts w:ascii="Arial" w:cs="Arial" w:eastAsia="Arial" w:hAnsi="Arial"/>
          <w:sz w:val="16"/>
          <w:szCs w:val="16"/>
          <w:color w:val="auto"/>
        </w:rPr>
        <w:t>Another key element of our business strategy is utilizing market research to understand what people with diabetes are seeking to improve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that represent only a small percentage of the overall insulin-dependent diabetes market. As a result, the responses we received may not be reflective of the broader market and may not provide us accurate insight into the desires of people with insulin-dependent diabetes. In addition, understanding the meaning and significance of the responses received during our market research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1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expect to face complexities frequently encountered by companies in competitive and rapidly-evolving markets, which may make it difficult to evaluate our business and forecast our future sales and operating results.*</w:t>
      </w:r>
    </w:p>
    <w:p>
      <w:pPr>
        <w:spacing w:after="0" w:line="170"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We operate in a competitive and rapidly-evolving market. Important industry changes, such as the FDA approval and launch of new products by our competitors and the announcement by Johnson &amp; Johnson that it is discontinuing the operations of Animas and exiting the insulin pump business, as well as changes specific to our business, such as the timing of our launch of new products currently in development and our potential expansion of commercial sales in international markets, combine to make it more difficult for us to predict our future sales and operating results, as well as our expected timeframe to achieve profitability. In assessing our business prospects, you should consider these factors as well as the various risks and difficulties frequently encountered by companies in competitive and rapidly evolving markets, particularly those companies that manufacture and sell medical devices.</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These risks include our ability to:</w:t>
      </w:r>
    </w:p>
    <w:p>
      <w:pPr>
        <w:spacing w:after="0" w:line="225" w:lineRule="exact"/>
        <w:rPr>
          <w:sz w:val="20"/>
          <w:szCs w:val="20"/>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 and execute our business strategy;</w:t>
      </w:r>
    </w:p>
    <w:p>
      <w:pPr>
        <w:spacing w:after="0" w:line="225" w:lineRule="exact"/>
        <w:rPr>
          <w:rFonts w:ascii="Arial" w:cs="Arial" w:eastAsia="Arial" w:hAnsi="Arial"/>
          <w:sz w:val="18"/>
          <w:szCs w:val="18"/>
          <w:color w:val="auto"/>
        </w:rPr>
      </w:pPr>
    </w:p>
    <w:p>
      <w:pPr>
        <w:ind w:left="1960" w:right="400" w:hanging="655"/>
        <w:spacing w:after="0" w:line="308" w:lineRule="auto"/>
        <w:tabs>
          <w:tab w:leader="none" w:pos="1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manage and improve the productivity of our sales, clinical, marketing and customer service infrastructure to grow sales of our existing and proposed products, and enhance our ability to provide service and support to our customers;</w:t>
      </w:r>
    </w:p>
    <w:p>
      <w:pPr>
        <w:spacing w:after="0" w:line="146" w:lineRule="exact"/>
        <w:rPr>
          <w:rFonts w:ascii="Arial" w:cs="Arial" w:eastAsia="Arial" w:hAnsi="Arial"/>
          <w:sz w:val="17"/>
          <w:szCs w:val="17"/>
          <w:color w:val="auto"/>
        </w:rPr>
      </w:pPr>
    </w:p>
    <w:p>
      <w:pPr>
        <w:ind w:left="1960" w:right="740" w:hanging="655"/>
        <w:spacing w:after="0" w:line="277" w:lineRule="auto"/>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achieve and maintain market acceptance of our products and increase awareness of our brand among people with insulin-dependent diabetes, their caregivers and healthcare providers;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 with a broad range of regulatory requirements within a highly regulated industry;</w:t>
      </w:r>
    </w:p>
    <w:p>
      <w:pPr>
        <w:spacing w:after="0" w:line="225" w:lineRule="exact"/>
        <w:rPr>
          <w:rFonts w:ascii="Arial" w:cs="Arial" w:eastAsia="Arial" w:hAnsi="Arial"/>
          <w:sz w:val="18"/>
          <w:szCs w:val="18"/>
          <w:color w:val="auto"/>
        </w:rPr>
      </w:pPr>
    </w:p>
    <w:p>
      <w:pPr>
        <w:ind w:left="1960" w:right="80" w:hanging="655"/>
        <w:spacing w:after="0" w:line="277" w:lineRule="auto"/>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 our manufacturing capabilities, increase production of products efficiently while maintaining quality standards, and adapt our manufacturing facilities to the production of new products;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 our existing products and develop proposed products;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 and maintain regulatory clearance or approval to enhance our existing products and commercialize proposed products;</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 clinical trials with respect to our existing products and proposed products;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retain and motivate qualified personnel in various areas of our business.</w:t>
      </w:r>
    </w:p>
    <w:p>
      <w:pPr>
        <w:spacing w:after="0" w:line="225"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As a result of these or other risks, we may not be able to execute key components of our business strategy, and our business, financial condition and operating results may suffer.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Technology Upgrade Program resulted in accounting complexities that may lead to confusion when comparing our historical and future financial results.</w:t>
      </w:r>
    </w:p>
    <w:p>
      <w:pPr>
        <w:spacing w:after="0" w:line="170" w:lineRule="exact"/>
        <w:rPr>
          <w:sz w:val="20"/>
          <w:szCs w:val="20"/>
          <w:color w:val="auto"/>
        </w:rPr>
      </w:pPr>
    </w:p>
    <w:p>
      <w:pPr>
        <w:ind w:right="100" w:firstLine="1297"/>
        <w:spacing w:after="0" w:line="271" w:lineRule="auto"/>
        <w:rPr>
          <w:sz w:val="20"/>
          <w:szCs w:val="20"/>
          <w:color w:val="auto"/>
        </w:rPr>
      </w:pPr>
      <w:r>
        <w:rPr>
          <w:rFonts w:ascii="Arial" w:cs="Arial" w:eastAsia="Arial" w:hAnsi="Arial"/>
          <w:sz w:val="17"/>
          <w:szCs w:val="17"/>
          <w:color w:val="auto"/>
        </w:rPr>
        <w:t>While our Technology Upgrade Program expired on September 30, 2017, it resulted in a number of accounting complexities that will continue to make comparisons of our historical and future financial results more difficult. In particular, during the term of the Technology Upgrade Program, U.S. GAAP prevented us from recognizing, at the time of sale, up to 100% of the sales and cost of sales associated with the sale of our insulin pumps to eligible customers. Instead, depending on the type of pump sold, we were required to defer some or all of the sales and cost of sales until a later date. In light of the expiration of the program, we are no longer subject to these accounting deferrals. However, in evaluating our 2017 financial results through December 31, 2017, as a result of the Technology Upgrade Program we recorded incremental net sales of $5.0 million that were previously deferred, with a corresponding increase of $3.1 million in gross profit. It is possible that we may offer other consumer-directed programs in the future, which may result in similar or additional accounting complexities.</w:t>
      </w:r>
    </w:p>
    <w:p>
      <w:pPr>
        <w:spacing w:after="0" w:line="179" w:lineRule="exact"/>
        <w:rPr>
          <w:sz w:val="20"/>
          <w:szCs w:val="20"/>
          <w:color w:val="auto"/>
        </w:rPr>
      </w:pPr>
    </w:p>
    <w:p>
      <w:pPr>
        <w:jc w:val="both"/>
        <w:ind w:right="500" w:firstLine="1297"/>
        <w:spacing w:after="0" w:line="264" w:lineRule="auto"/>
        <w:rPr>
          <w:sz w:val="20"/>
          <w:szCs w:val="20"/>
          <w:color w:val="auto"/>
        </w:rPr>
      </w:pPr>
      <w:r>
        <w:rPr>
          <w:rFonts w:ascii="Arial" w:cs="Arial" w:eastAsia="Arial" w:hAnsi="Arial"/>
          <w:sz w:val="18"/>
          <w:szCs w:val="18"/>
          <w:color w:val="auto"/>
        </w:rPr>
        <w:t>Despite our efforts to explain the required accounting treatment for the Technology Upgrade Program, it is possible that there may be confusion when comparing our historical and future financial results, which may cause investors to avoid investing in our common stock and adversely impact our stock price.</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Our ability to achieve profitability will depend, in part, on our ability to reduce the per unit cost of our products by increasing production volume and manufacturing efficiency, and by reducing raw material and component costs, labor, product-training, warranty and manufacturing overhead costs per unit.*</w:t>
      </w:r>
    </w:p>
    <w:p>
      <w:pPr>
        <w:spacing w:after="0" w:line="181" w:lineRule="exact"/>
        <w:rPr>
          <w:sz w:val="20"/>
          <w:szCs w:val="20"/>
          <w:color w:val="auto"/>
        </w:rPr>
      </w:pPr>
    </w:p>
    <w:p>
      <w:pPr>
        <w:ind w:right="60" w:firstLine="1297"/>
        <w:spacing w:after="0" w:line="293" w:lineRule="auto"/>
        <w:rPr>
          <w:sz w:val="20"/>
          <w:szCs w:val="20"/>
          <w:color w:val="auto"/>
        </w:rPr>
      </w:pPr>
      <w:r>
        <w:rPr>
          <w:rFonts w:ascii="Arial" w:cs="Arial" w:eastAsia="Arial" w:hAnsi="Arial"/>
          <w:sz w:val="16"/>
          <w:szCs w:val="16"/>
          <w:color w:val="auto"/>
        </w:rPr>
        <w:t>We believe our ability to reduce the per unit cost of our insulin pumps and related products will have a significant impact on our ability to achieve profitability. Our cost of sales includes raw materials and component parts, labor costs, product training expenses, freight, warranty, scrap and excess and obsolete inventories. It also includes manufacturing overhead costs, including expenses relating to quality assurance, inventories procurement and control, facilities, equipment, information technology and operations management. If we are unable to sustain or reduce our overall cost of sales, including through arrangements such as volume purchase discounts, negotiation of pricing and cost reductions with our suppliers, more efficient training programs for customers, and improved warranty performance, it will be difficult to reduce our per unit costs and our ability to achieve profitability will be constrained.</w:t>
      </w:r>
    </w:p>
    <w:p>
      <w:pPr>
        <w:spacing w:after="0" w:line="165" w:lineRule="exact"/>
        <w:rPr>
          <w:sz w:val="20"/>
          <w:szCs w:val="20"/>
          <w:color w:val="auto"/>
        </w:rPr>
      </w:pPr>
    </w:p>
    <w:p>
      <w:pPr>
        <w:ind w:right="40" w:firstLine="1297"/>
        <w:spacing w:after="0" w:line="270" w:lineRule="auto"/>
        <w:rPr>
          <w:sz w:val="20"/>
          <w:szCs w:val="20"/>
          <w:color w:val="auto"/>
        </w:rPr>
      </w:pPr>
      <w:r>
        <w:rPr>
          <w:rFonts w:ascii="Arial" w:cs="Arial" w:eastAsia="Arial" w:hAnsi="Arial"/>
          <w:sz w:val="17"/>
          <w:szCs w:val="17"/>
          <w:color w:val="auto"/>
        </w:rPr>
        <w:t>In addition, the per unit cost of our products is significantly impacted by our overall production volumes, and any factors that prevent our products from achieving market acceptance, cause our production volumes to decline, or result in our sales growing at a slower rate than we expect, would significantly impact our expected per unit costs, which would adversely impact our gross margins. In addition, we may not achieve anticipated improvements in manufacturing productivity following the relocation of our manufacturing operations to our Barnes Canyon facility or as we undertake other actions to expand our manufacturing capacity. Furthermore, while we currently believe our proprietary technology platform will allow us to efficiently design and develop new products, changes in the market that require us to modify or replace our existing platform will reduce the efficiencies gained through our platform and could increase our per unit costs or prevent those costs from declining. If we are unable to effectively manage our overall costs while increasing our production volumes and lowering our per unit costs, we may not be able to achieve or sustain profitability, which would have an adverse impact on our business, financial condition and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risks may adversely affect our ability to manufacture products, which could negatively impact our sales and operating margins.*</w:t>
      </w:r>
    </w:p>
    <w:p>
      <w:pPr>
        <w:spacing w:after="0" w:line="24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Our business strategy depends on our ability to manufacture our current and proposed products in sufficient quantities and on a timely basis so as to meet consumer demand, while adhering to product quality standards, complying with regulatory requirements and managing manufacturing costs. We are subject to numerous risks related to our manufacturing capabilities, including:</w:t>
      </w:r>
    </w:p>
    <w:p>
      <w:pPr>
        <w:spacing w:after="0" w:line="181" w:lineRule="exact"/>
        <w:rPr>
          <w:sz w:val="20"/>
          <w:szCs w:val="20"/>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quality or reliability defects in product components that we source from third-party suppliers;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inability to secure product components in a timely manner, in sufficient quantities and on commercially reasonable terms;</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identifying and qualifying alternative suppliers for components in a timely manner;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implementing and maintaining acceptable quality systems while experiencing rapid growth;</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to increase production of products to meet demand;</w:t>
      </w:r>
    </w:p>
    <w:p>
      <w:pPr>
        <w:spacing w:after="0" w:line="225" w:lineRule="exact"/>
        <w:rPr>
          <w:rFonts w:ascii="Arial" w:cs="Arial" w:eastAsia="Arial" w:hAnsi="Arial"/>
          <w:sz w:val="18"/>
          <w:szCs w:val="18"/>
          <w:color w:val="auto"/>
        </w:rPr>
      </w:pPr>
    </w:p>
    <w:p>
      <w:pPr>
        <w:ind w:left="1960" w:right="80" w:hanging="655"/>
        <w:spacing w:after="0" w:line="277" w:lineRule="auto"/>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modify production lines and expand manufacturing facilities to enable us to efficiently produce future products or implement changes in current products in response to consumer demand or regulatory requirements;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manufacture multiple products simultaneously while utilizing common manufacturing equipment;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damage to or destruction of our manufacturing equipment or manufacturing facilities.</w:t>
      </w:r>
    </w:p>
    <w:p>
      <w:pPr>
        <w:spacing w:after="0" w:line="225"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As demand for our products increases, and as the number of our commercial products expands, we will have to invest additional resources to purchase components, hire and train employees, and enhance our manufacturing processes and quality systems. We may also increase our utilization of external third parties to perform contracted manufacturing services for us and we will need to acquire additional custom designed equipment to support the expansion of our manufacturing capacity. 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qualifying and implementing additional equipment and procedures, obtaining new regulatory approvals, or developing new manufacturing technologies. Ultimately, it may not be possible for us to manufacture these products at a cost or in quantities sufficient to make these products commercially viable.</w:t>
      </w:r>
    </w:p>
    <w:p>
      <w:pPr>
        <w:spacing w:after="0" w:line="179"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If we fail to increase our production capacity to meet consumer demand while also maintaining product quality standards, obtaining and maintaining regulatory approvals, and efficiently managing costs, our sales and operating margins could be negatively impacted, which would have an adverse impact on our financial condition and operating results.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third-party suppliers for certain components and products, and the loss of any of these suppliers, or their inability to provide us with an adequate supply of components or products, could harm our business.*</w:t>
      </w:r>
    </w:p>
    <w:p>
      <w:pPr>
        <w:spacing w:after="0" w:line="170" w:lineRule="exact"/>
        <w:rPr>
          <w:sz w:val="20"/>
          <w:szCs w:val="20"/>
          <w:color w:val="auto"/>
        </w:rPr>
      </w:pPr>
    </w:p>
    <w:p>
      <w:pPr>
        <w:ind w:right="220" w:firstLine="1297"/>
        <w:spacing w:after="0" w:line="271" w:lineRule="auto"/>
        <w:rPr>
          <w:sz w:val="20"/>
          <w:szCs w:val="20"/>
          <w:color w:val="auto"/>
        </w:rPr>
      </w:pPr>
      <w:r>
        <w:rPr>
          <w:rFonts w:ascii="Arial" w:cs="Arial" w:eastAsia="Arial" w:hAnsi="Arial"/>
          <w:sz w:val="17"/>
          <w:szCs w:val="17"/>
          <w:color w:val="auto"/>
        </w:rPr>
        <w:t>We currently rely, and expect to continue to rely, on third-party suppliers to supply components of our current products and our potential future products, including our disposable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 For example, we have implemented a business strategy intended to increase our future sales of infusion sets, and any increase in the sales of our infusion sets could strain the ability of our suppliers to deliver products in a manner that meets our various requirements.</w:t>
      </w:r>
    </w:p>
    <w:p>
      <w:pPr>
        <w:spacing w:after="0" w:line="179" w:lineRule="exact"/>
        <w:rPr>
          <w:sz w:val="20"/>
          <w:szCs w:val="20"/>
          <w:color w:val="auto"/>
        </w:rPr>
      </w:pPr>
    </w:p>
    <w:p>
      <w:pPr>
        <w:ind w:right="120" w:firstLine="1297"/>
        <w:spacing w:after="0" w:line="289" w:lineRule="auto"/>
        <w:rPr>
          <w:sz w:val="20"/>
          <w:szCs w:val="20"/>
          <w:color w:val="auto"/>
        </w:rPr>
      </w:pPr>
      <w:r>
        <w:rPr>
          <w:rFonts w:ascii="Arial" w:cs="Arial" w:eastAsia="Arial" w:hAnsi="Arial"/>
          <w:sz w:val="16"/>
          <w:szCs w:val="16"/>
          <w:color w:val="auto"/>
        </w:rPr>
        <w:t>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or damage to their manufacturing equipment or facilities. As a result, our ability to purchase adequate quantities of our components or products may be limited. If we fail to obtain sufficient quantities of high-quality components to meet demand on a timely basis, we could lose customer orders, our reputation may be harmed and our business could suffer. Furthermore, negative perceptions among our suppliers regarding our financial stability, and our ability to sustain our business operations on a long-term basis, may cause one or more of our suppliers to terminate their relationship with us, or claim that our financial condition causes them to demand different payment terms.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125" w:right="3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We generally use a small number of suppliers for our components and products. Depending on a limited number of suppliers exposes us to risks, including limited control over cost,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We have in the past been, and we may in the future be, required to make significant “last time” purchases of component inventories that is being discontinued by the manufacturer to ensure supply continuity. If any one or more of our suppliers cease to provide us with sufficient quantities of components in a timely manner or on terms acceptable to us, we would have to seek alternative sources of supply. Because of factors such as the proprietary nature of our products, our quality control standards and applicable regulatory requirements, we cannot quickly engage additional or replacement suppliers for some of our critical components. Failure of any of our suppliers to deliver products at the level our business requires could harm our reputation and limit our ability to meet our sales projections, which could have a material adverse effect on our business.</w:t>
      </w:r>
    </w:p>
    <w:p>
      <w:pPr>
        <w:spacing w:after="0" w:line="178"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We may also have difficulty obtaining similar components from other suppliers that are acceptable to the FDA or other regulatory agencies, and the failure of our suppliers to comply with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spacing w:after="0" w:line="18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If we cannot reliably manufacture our new infusion set connector, or if it does not achieve market acceptance, we may not achieve our financial projections.*</w:t>
      </w:r>
    </w:p>
    <w:p>
      <w:pPr>
        <w:spacing w:after="0" w:line="170" w:lineRule="exact"/>
        <w:rPr>
          <w:sz w:val="20"/>
          <w:szCs w:val="20"/>
          <w:color w:val="auto"/>
        </w:rPr>
      </w:pPr>
    </w:p>
    <w:p>
      <w:pPr>
        <w:ind w:right="40" w:firstLine="1297"/>
        <w:spacing w:after="0" w:line="286" w:lineRule="auto"/>
        <w:rPr>
          <w:sz w:val="20"/>
          <w:szCs w:val="20"/>
          <w:color w:val="auto"/>
        </w:rPr>
      </w:pPr>
      <w:r>
        <w:rPr>
          <w:rFonts w:ascii="Arial" w:cs="Arial" w:eastAsia="Arial" w:hAnsi="Arial"/>
          <w:sz w:val="17"/>
          <w:szCs w:val="17"/>
          <w:color w:val="auto"/>
        </w:rPr>
        <w:t>In September 2017, we began commercial sales in the United States of products with our customized t:lock connector, which is used to connect our pump cartridge to our infusion set offerings. Our t:lock connector replaced the standard Luer-lok connector that historically joined an infusion set to our proprietary disposable insulin cartridges. Concurrently, we began selling infusion sets that are compatible with t:lock.</w:t>
      </w:r>
    </w:p>
    <w:p>
      <w:pPr>
        <w:spacing w:after="0" w:line="166"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We believe the transition period for our direct customers and distributors in the United States to utilize their inventories on hand before transitioning to t:lock is substantially complete. In addition, we are initially offering standard Luer-lok cartridges and infusion sets in select international markets, and expect to transition to our t:lock connector in international markets during 2019. Accordingly, we may continue offering both styles of cartridges and infusion sets to facilitate the transition of customer supplies through 2019, although there may be circumstances that require additional time for some direct customers and distributors to complete the transition. Our supplier of infusion sets must manufacture a variety of lengths and styles of infusion sets with t:lock that match our cartridges. Failure to do so, or to do so at the necessary production volumes, may result in our inability to convert customers to t:lock when anticipated, which would negatively impact our ability to achieve our financial projections. Due to the variability in purchasing patterns, standard Luer-lok inventories may not be consumed at the predicted rates and we may be required to offer both styles of insulin cartridges and infusion sets for a longer period than anticipated or we may be left with excess quantities of standard Luer-lok inventories that we cannot sell at standard prices or at all, which would negatively impact our results of operations.</w:t>
      </w:r>
    </w:p>
    <w:p>
      <w:pPr>
        <w:spacing w:after="0" w:line="178"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While t:lock was designed based on customer feedback, and all standard Luer-lok infusion sets that we currently offer are also available with t:lock, it is possible that t:lock may not continue to gain market acceptance by current or potential customers, their caregivers, or healthcare providers. Any negative market response to t:lock may impact a current customer’s decision to purchase a new pump from us at the time of renewal. In addition, potential customers may decide not to purchase our insulin pumps if they do not prefer t:lock or t:lock compatible infusion sets, which could have a material adverse impact on our business, financial condition and operating results.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business operations are primarily located in San Diego, California, and any disruption at one of our facilities could adversely affect our business and operating results.*</w:t>
      </w:r>
    </w:p>
    <w:p>
      <w:pPr>
        <w:spacing w:after="0" w:line="170"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Substantially all of our current operations are conducted in San Diego, California, including our manufacturing processes, research and development activities and management and administrative functions. In addition, the majority of our inventories of component supplies and finished goods is stored at one facility in San Diego. We also store finished goods at certain third-party warehouses in California and Texas for the fulfillment of certain customer orders and we intend to commence operations at a new logistics warehouse in San Diego during 2019. More recently, we commenced limited customer and technical support and quality reporting activities in Boise, Idaho. We take precautions to safeguard our facilities, including by acquiring insurance, employing back-up generators, adopting health and safety protocols and utilizing off-site storage of computer data. However, vandalism, terrorism or a natural disaster, such as an earthquake, fire or flood, or other catastrophic event, could damage or destroy our manufacturing equipment or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experience the anticipated operating efficiencies from the transition of our manufacturing operations to our new facilities.*</w:t>
      </w:r>
    </w:p>
    <w:p>
      <w:pPr>
        <w:spacing w:after="0" w:line="237"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At the beginning of 2018, we completed the transition of our manufacturing operations to our Barnes Canyon facility and, during the fourth quarter of 2019, we intend to commence operations at a new logistics warehouse in San Diego. We expect both of these actions will allow for future capacity for product manufacturing and warehousing expansion. However, we may not experience the anticipated operating efficiencies at either facility, or we may experience efficiencies to a lesser extent than projected. If we fail to achieve the operating efficiencies that we anticipate, our manufacturing and operating costs may be greater than expected, which would have a material adverse impact on our operating results.</w:t>
      </w:r>
    </w:p>
    <w:p>
      <w:pPr>
        <w:spacing w:after="0" w:line="173"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We expect that the management and support of our new facilities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from the new facilities. Further, additional increases in demand for our products may require that we further expand our business operations, which may require that we obtain additional facilities, make additional investments in capital equipment or increase our utilization of external third parties to perform contracted manufacturing services for us.</w:t>
      </w:r>
    </w:p>
    <w:p>
      <w:pPr>
        <w:spacing w:after="0" w:line="1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do not enhance our product offerings through our research and development efforts, we may fail to effectively compete, which may impede our ability to become profitable.</w:t>
      </w:r>
    </w:p>
    <w:p>
      <w:pPr>
        <w:spacing w:after="0" w:line="170"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In order to increase our sales and market share in the insulin-dependent diabetes market, we must enhance and broaden our product offerings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 caregivers, healthcare providers or third-party payors. The success of any proposed product offerings will depend on numerous factors, including our ability to:</w:t>
      </w:r>
    </w:p>
    <w:p>
      <w:pPr>
        <w:spacing w:after="0" w:line="193" w:lineRule="exact"/>
        <w:rPr>
          <w:sz w:val="20"/>
          <w:szCs w:val="20"/>
          <w:color w:val="auto"/>
        </w:rPr>
      </w:pPr>
    </w:p>
    <w:p>
      <w:pPr>
        <w:ind w:left="1960" w:right="700" w:hanging="655"/>
        <w:spacing w:after="0" w:line="308" w:lineRule="auto"/>
        <w:tabs>
          <w:tab w:leader="none" w:pos="1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identify the product features and functionality that people with insulin-dependent diabetes, their caregivers and healthcare providers are seeking in an insulin pump, and successfully incorporate those features into our products;</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introduce products in sufficient quantities and in a timely manner;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offer products at a price that is competitive with other products then available;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work with third-party payors to obtain reimbursement for our products;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demonstrate the safety and efficacy of proposed products;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the necessary regulatory approvals for proposed products.</w:t>
      </w:r>
    </w:p>
    <w:p>
      <w:pPr>
        <w:spacing w:after="0" w:line="225" w:lineRule="exact"/>
        <w:rPr>
          <w:sz w:val="20"/>
          <w:szCs w:val="20"/>
          <w:color w:val="auto"/>
        </w:rPr>
      </w:pPr>
    </w:p>
    <w:p>
      <w:pPr>
        <w:ind w:right="20" w:firstLine="1297"/>
        <w:spacing w:after="0" w:line="253" w:lineRule="auto"/>
        <w:rPr>
          <w:sz w:val="20"/>
          <w:szCs w:val="20"/>
          <w:color w:val="auto"/>
        </w:rPr>
      </w:pPr>
      <w:r>
        <w:rPr>
          <w:rFonts w:ascii="Arial" w:cs="Arial" w:eastAsia="Arial" w:hAnsi="Arial"/>
          <w:sz w:val="18"/>
          <w:szCs w:val="18"/>
          <w:color w:val="auto"/>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may in the future experience, delays in various phases of product development and commercialization, including during research and development, manufacturing, limited release testing, marketing and customer education efforts.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19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safety and efficacy of our products is not supported by long-term clinical data, which could limit sales, and our products could cause unforeseen negative effects.*</w:t>
      </w:r>
    </w:p>
    <w:p>
      <w:pPr>
        <w:spacing w:after="0" w:line="170" w:lineRule="exact"/>
        <w:rPr>
          <w:sz w:val="20"/>
          <w:szCs w:val="20"/>
          <w:color w:val="auto"/>
        </w:rPr>
      </w:pPr>
    </w:p>
    <w:p>
      <w:pPr>
        <w:ind w:right="20" w:firstLine="1297"/>
        <w:spacing w:after="0" w:line="287" w:lineRule="auto"/>
        <w:rPr>
          <w:sz w:val="20"/>
          <w:szCs w:val="20"/>
          <w:color w:val="auto"/>
        </w:rPr>
      </w:pPr>
      <w:r>
        <w:rPr>
          <w:rFonts w:ascii="Arial" w:cs="Arial" w:eastAsia="Arial" w:hAnsi="Arial"/>
          <w:sz w:val="16"/>
          <w:szCs w:val="16"/>
          <w:color w:val="auto"/>
        </w:rPr>
        <w:t>Our t:slim X2 insulin pump received pre-market clearance under Section 510(k) of the U.S. Federal Food, Drug, and Cosmetic Act (FDCA). The 510(k) clearance process is shorter and typically requires the submission of less supporting documentation than other FDA approval processes and does not always require long-term clinical studies. t:slim X2 with G5 integration and t:slim X2 with Basal-IQ technology received FDA approval under a Premarket Approval (PMA) application. However, currently there are only limited published studies to evaluate the safety or effectiveness of our PMA-approved products in a controlled setting. As a result, we currently lack the breadth of published long-term clinical data supporting the safety and efficacy of our products and the benefits they offer. For these reasons, people with insulin-dependent diabetes and healthcare providers may be slower to adopt or recommend our products, we may not have comparative data that our competitors have or are generating, third-party payors may not be willing to provide coverage or reimbursement for our products and we may be subject to greater regulatory and product liability risks.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73"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FDA clearance or approval, which could result in significant legal liability, harm to our reputation, and a decline in our product sales.</w:t>
      </w:r>
    </w:p>
    <w:p>
      <w:pPr>
        <w:spacing w:after="0" w:line="154" w:lineRule="exact"/>
        <w:rPr>
          <w:sz w:val="20"/>
          <w:szCs w:val="20"/>
          <w:color w:val="auto"/>
        </w:rPr>
      </w:pPr>
    </w:p>
    <w:p>
      <w:pPr>
        <w:ind w:right="40" w:firstLine="1297"/>
        <w:spacing w:after="0" w:line="291" w:lineRule="auto"/>
        <w:rPr>
          <w:sz w:val="20"/>
          <w:szCs w:val="20"/>
          <w:color w:val="auto"/>
        </w:rPr>
      </w:pPr>
      <w:r>
        <w:rPr>
          <w:rFonts w:ascii="Arial" w:cs="Arial" w:eastAsia="Arial" w:hAnsi="Arial"/>
          <w:sz w:val="16"/>
          <w:szCs w:val="16"/>
          <w:color w:val="auto"/>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caused illness, injury or death could adversely affect our reputation with customers, healthcare professionals, third-party payors, and existing and potential collaborators, and could adversely affect our operating results and cause a decline in our stock price. Furthermore, general concerns regarding the perceived safety or reliability of any of our products, or any component thereof, may have a similar adverse effect on us and our stock price.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licensing arrangements, joint ventures, strategic alliances or partnerships with third parties that may not result in the development of commercially viable products or the generation of significant future revenues.*</w:t>
      </w:r>
    </w:p>
    <w:p>
      <w:pPr>
        <w:spacing w:after="0" w:line="170"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In the ordinary course of our business, we may enter into collaborations, licensing arrangements, joint ventures, strategic alliances or partnerships to develop proposed products or technologies, pursue new markets, or protect our intellectual property assets. We may also elect to amend or modify similar agreements that we already have in place. Proposing, negotiating and implementing collaborations, licensing arrangements, joint ventures, strategic alliances or partnerships may be a lengthy and complex process, and may subject us to business risks. For example, other companies, including those with substantially greater financial, marketing, sales, technology or other business resources, may compete with us for these opportunities, or may be the counter-party in any such arrangements. We may not be able to identify or complete any such collaboration in a timely manner, on a cost-effective basis, on acceptable terms or at all. In addition, we may not realize the anticipated benefits of any such collaborations that we do identify and complete. In particular, these collaborations may not result in the development of products or technologies that achieve commercial success or result in positive financial results, or may otherwise fail to have the intended impact on our business.</w:t>
      </w:r>
    </w:p>
    <w:p>
      <w:pPr>
        <w:spacing w:after="0" w:line="182" w:lineRule="exact"/>
        <w:rPr>
          <w:sz w:val="20"/>
          <w:szCs w:val="20"/>
          <w:color w:val="auto"/>
        </w:rPr>
      </w:pPr>
    </w:p>
    <w:p>
      <w:pPr>
        <w:ind w:right="20" w:firstLine="1297"/>
        <w:spacing w:after="0" w:line="287" w:lineRule="auto"/>
        <w:rPr>
          <w:sz w:val="20"/>
          <w:szCs w:val="20"/>
          <w:color w:val="auto"/>
        </w:rPr>
      </w:pPr>
      <w:r>
        <w:rPr>
          <w:rFonts w:ascii="Arial" w:cs="Arial" w:eastAsia="Arial" w:hAnsi="Arial"/>
          <w:sz w:val="16"/>
          <w:szCs w:val="16"/>
          <w:color w:val="auto"/>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termination rights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TypeZero, or any future collaborators devote to our arrangement with them or our future products. Disputes between us and our current, future or potential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73"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For example, we have entered into multiple development agreements with Dexcom, which provide us non-exclusive licenses to integrate various currently available generations of Dexcom CGM technology with our insulin pump products. Our agreements with Dexcom currently run until June 2020 with automatic one-year renewals unless a party provides prior notice to the contrary. Under certain circumstances, these agreements may be terminated by either party without cause or on short notice. Our current agreements with Dexcom do not grant us rights to integrate future generations of Dexcom CGM technology with any of our current or future products. Termination of any of our agreements with Dexcom would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 The termination of our commercial agreements with Dexcom would disrupt our ability to commercialize our existing products and our development of future products, which could have a material adverse impact on our financial condition and results of operations, negatively impact our ability to compete and cause our stock price to decline.</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operate our business in regions subject to natural disasters and other catastrophic events, and any disruption to our business resulting from natural disasters will adversely affect our revenue and results of operations.</w:t>
      </w:r>
    </w:p>
    <w:p>
      <w:pPr>
        <w:spacing w:after="0" w:line="170"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We operate our business in regions subject to natural disasters, including earthquakes, hurricanes, floods, fires and other catastrophic events. For example, our administrative offices located in San Diego are in an area that is prone to flooding, which has occasionally temporarily disrupted our business operations. Any natural disaster could adversely affect our ability to conduct business and provide products and services to our customers, and the insurance we maintain may not be adequate to cover our losses resulting from any business interruption resulting from a natural disaster or other catastrophic events. Any future disruptions to our operations could have a material adverse impact on our financial condition and results of operations in future periods.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A security breach or other significant disruption to our information technology systems, or failures of our pumps’ software to perform as we anticipate, could materially disrupt our operations or result in the loss, theft, misuse, unauthorized disclosure, or unauthorized access of sensitive company information or confidential or personal information relating to our customers, suppliers or employees, which could damage our relationships, expose us to litigation or regulatory proceedings, or harm our reputation, any of which could have an adverse and material effect on our business, financial condition and operating results.*</w:t>
      </w:r>
    </w:p>
    <w:p>
      <w:pPr>
        <w:spacing w:after="0" w:line="188"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The efficient operation of our business depends on our information technology systems. We rely on our information technology systems to effectively manage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t:connect, our current and future mobile applications, as well as those involved in the operation of our Tandem Device Updater, are vulnerable to damage or interruption from earthquakes, fires, floods and other natural disasters, terrorist attacks, attacks by computer viruses or hackers, power losses, and computer system or data network failures. Should any of those risks occur, it could adversely impact the availability, confidentiality and integrity of information assets contained in those systems.</w:t>
      </w:r>
    </w:p>
    <w:p>
      <w:pPr>
        <w:spacing w:after="0" w:line="189"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Our business also involves the storage and transmission of a substantial amount of confidential, personal, or other sensitive information, including personal health information and other personal information relating to our customers, the personal information of our employees and other individuals, and our proprietary, financial, operational or strategic information. Should any of the foregoing risks occur, it could also result in the loss, theft, misuse, unauthorized disclosure, or unauthorized access of such sensitive information, which could lead to significant reputational or competitive harm, litigation involving us or our business partners, regulatory proceedings, or substantial liabilities, fines, penalties or expenses. As a result, we strive to maintain and regularly update reasonable security measures, and to respond quickly and effectively if and when data security incidents do occur. Like many businesses, we are subject to numerous data privacy and security risks, including cyberattacks and ransom-ware attacks. The continuously evolving nature of those risks may prevent us from protecting all of this information despite our efforts to do so. Many of our service providers are subject to similar risks. Whether or not our security measures and those of our service providers are ultimately successful, our expenditures on those measures could have an adverse impact on our financial condition and results of operations, and divert management’s attention from pursuing our strategic objectives.</w:t>
      </w:r>
    </w:p>
    <w:p>
      <w:pPr>
        <w:spacing w:after="0" w:line="169"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color w:val="auto"/>
        </w:rPr>
        <w:t>In addition to the risks regarding information technology systems and processing of sensitive information, our currently-marketed insulin pumps and our products currently under development include software that could contain unanticipated vulnerabilities, which could make our products subject to computer viruses, cyberattacks, or failures. These risks significantly increased after July 2016, when we received FDA clearance of our Tandem Device Updater, which enables customers to remotely update software on their insulin pumps. We may also face new risks relating to our information technology systems as we continue to commercialize our products outside of the United States and are subject to additional regulations relating to the use and protection of personal information and as we launch new mobile applications.</w:t>
      </w:r>
    </w:p>
    <w:p>
      <w:pPr>
        <w:spacing w:after="0" w:line="178"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The failure of our or our service providers’ information technology systems or our pumps’ software or other mobile applications to perform as we anticipate or our failure to effectively implement new information technology systems and privacy policies and controls could disrupt our entire operation or adversely affect our software products. For example, we market our Tandem Device Updater as having the unique capability to deploy software updates to our pumps, which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all of which could have a material adverse effect on our business, financial condition and operating results.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70"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We have benefited substantially from the leadership and performance of our senior management, as well as certain key employees. For example, key members of our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The loss of the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8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depend upon key employees in a competitive market, and if we are unable to provide meaningful equity incentives to retain key personnel, it could adversely affect our ability to execute our business strategy.*</w:t>
      </w:r>
    </w:p>
    <w:p>
      <w:pPr>
        <w:spacing w:after="0" w:line="170" w:lineRule="exact"/>
        <w:rPr>
          <w:sz w:val="20"/>
          <w:szCs w:val="20"/>
          <w:color w:val="auto"/>
        </w:rPr>
      </w:pPr>
    </w:p>
    <w:p>
      <w:pPr>
        <w:ind w:right="60" w:firstLine="1297"/>
        <w:spacing w:after="0" w:line="271" w:lineRule="auto"/>
        <w:rPr>
          <w:sz w:val="20"/>
          <w:szCs w:val="20"/>
          <w:color w:val="auto"/>
        </w:rPr>
      </w:pPr>
      <w:r>
        <w:rPr>
          <w:rFonts w:ascii="Arial" w:cs="Arial" w:eastAsia="Arial" w:hAnsi="Arial"/>
          <w:sz w:val="17"/>
          <w:szCs w:val="17"/>
          <w:color w:val="auto"/>
        </w:rPr>
        <w:t>We are highly dependent upon the members of our management team, as well as other key employees. Many of these individuals have been employed by us for many years, have played integral roles in the growth of our business, and will continue to provide value to us. In our industry, it is common to attract and retain executive talent and other employees with compensation packages that include a significant equity component. We have issued, and may continue to issue, additional equity incentives that we believe will enhance our ability to retain our current key employees and attract the necessary additional executive talent. It may be more difficult to continue to incentivize employees during a period of rapid growth in our overall headcount while limiting the utilization of the share reserve under our current stock incentive plans. However, even if we issue significant additional equity incentives, there can be no assurance that we will be able to attract and retain key executive talent. A loss of any of our key personnel, or our inability to hire new personnel, may have a material adverse effect on our ability to execute our business strategy.</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found to have violated laws concerning the privacy and security of patient health information or other personal information, we could be subject to civil or criminal penalties, which could increase our liabilities and harm our reputation or our business.*</w:t>
      </w:r>
    </w:p>
    <w:p>
      <w:pPr>
        <w:spacing w:after="0" w:line="170"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There are a number of domestic and international laws protecting the privacy and security of personal information, including the U.S. Health Insurance Portability and Accountability Act of 1996 (HIPAA) and related regulations, Canada’s Personal Information Protection and Electronic Documents Act (PIPEDA), and the E.U. General Data Protection Regulation (GDPR), or similar applicable laws. These laws place limits on how we may collect, use, share and store medical information and other personal information, and they impose obligations to protect that information against unauthorized access, use, loss, and disclosure.</w:t>
      </w:r>
    </w:p>
    <w:p>
      <w:pPr>
        <w:spacing w:after="0" w:line="188"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If we, or any of our service providers who have access to the personal data for which we are responsible, are found to be in violation of the privacy or security requirements of HIPAA, PIPEDA, or GDPR, we could be subject to civil or criminal penalties, which could increase our liabilities, harm our reputation and have a material adverse effect on our business, financial condition and operating results. We believe we are in substantial compliance with applicable laws, however, even compliant entities can experience security breaches or have inadvertent failures despite employing reasonable practices and safeguards.</w:t>
      </w:r>
    </w:p>
    <w:p>
      <w:pPr>
        <w:spacing w:after="0" w:line="188" w:lineRule="exact"/>
        <w:rPr>
          <w:sz w:val="20"/>
          <w:szCs w:val="20"/>
          <w:color w:val="auto"/>
        </w:rPr>
      </w:pPr>
    </w:p>
    <w:p>
      <w:pPr>
        <w:jc w:val="both"/>
        <w:ind w:right="120" w:firstLine="1297"/>
        <w:spacing w:after="0" w:line="302" w:lineRule="auto"/>
        <w:rPr>
          <w:sz w:val="20"/>
          <w:szCs w:val="20"/>
          <w:color w:val="auto"/>
        </w:rPr>
      </w:pPr>
      <w:r>
        <w:rPr>
          <w:rFonts w:ascii="Arial" w:cs="Arial" w:eastAsia="Arial" w:hAnsi="Arial"/>
          <w:sz w:val="16"/>
          <w:szCs w:val="16"/>
          <w:color w:val="auto"/>
        </w:rPr>
        <w:t>We may also face new risks relating to data privacy and security as the United States, individual U.S. states, E.U. member states, and other international jurisdictions adopt or implement new data privacy and security laws and regulations as we continue to commercialize our products worldwide. For example, the California Consumer Privacy Act, scheduled to take effect on January 1, 2020, may impose additional requirements on us and increase our regulatory and litigation risk. As we continue to expand, our business will need to adapt to meet these and other similar legal requirements.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seeking approval to commercialize our products outside of the United States, which may result in a variety of risks associated with international operations that could materially adversely affect our business.</w:t>
      </w:r>
    </w:p>
    <w:p>
      <w:pPr>
        <w:spacing w:after="0" w:line="170"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During 2018, we began commercialization of the t:slim X2 insulin pump in select geographies outside of the United States. We have limited experience commercializing our products outside of the United States and expect that we will be subject to additional risks related to international business markets, including:</w:t>
      </w:r>
    </w:p>
    <w:p>
      <w:pPr>
        <w:spacing w:after="0" w:line="181" w:lineRule="exact"/>
        <w:rPr>
          <w:sz w:val="20"/>
          <w:szCs w:val="20"/>
          <w:color w:val="auto"/>
        </w:rPr>
      </w:pPr>
    </w:p>
    <w:p>
      <w:pPr>
        <w:ind w:left="1960" w:hanging="655"/>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regulatory requirements for product approvals in foreign countries;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differing U.S. and foreign medical device import and export rules;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restrictive privacy laws relating to personal information of end users and employees, including GDPR;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protection for our intellectual property rights in foreign countries;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reimbursement systems;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1960" w:right="200" w:hanging="655"/>
        <w:spacing w:after="0" w:line="308" w:lineRule="auto"/>
        <w:tabs>
          <w:tab w:leader="none" w:pos="1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 or with U.S. regulations that would apply to activities in such foreign jurisdictions, such as the U.S. Foreign Corrupt Practices Act;</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1960" w:right="400" w:hanging="655"/>
        <w:spacing w:after="0" w:line="277" w:lineRule="auto"/>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225"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Accordingly,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spacing w:after="0" w:line="193"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We may seek to grow our business through acquisitions of complementary products or technologies, and the failure to successfully manage acquisitions, or the failure to integrate them with our existing business, could have a material adverse effect on our business, financial condition and operating results.</w:t>
      </w:r>
    </w:p>
    <w:p>
      <w:pPr>
        <w:spacing w:after="0" w:line="101" w:lineRule="exact"/>
        <w:rPr>
          <w:sz w:val="20"/>
          <w:szCs w:val="20"/>
          <w:color w:val="auto"/>
        </w:rPr>
      </w:pPr>
    </w:p>
    <w:p>
      <w:pPr>
        <w:ind w:right="60" w:firstLine="1297"/>
        <w:spacing w:after="0" w:line="342" w:lineRule="auto"/>
        <w:rPr>
          <w:sz w:val="20"/>
          <w:szCs w:val="20"/>
          <w:color w:val="auto"/>
        </w:rPr>
      </w:pPr>
      <w:r>
        <w:rPr>
          <w:rFonts w:ascii="Arial" w:cs="Arial" w:eastAsia="Arial" w:hAnsi="Arial"/>
          <w:sz w:val="16"/>
          <w:szCs w:val="16"/>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124" w:lineRule="exact"/>
        <w:rPr>
          <w:sz w:val="20"/>
          <w:szCs w:val="20"/>
          <w:color w:val="auto"/>
        </w:rPr>
      </w:pPr>
    </w:p>
    <w:p>
      <w:pPr>
        <w:ind w:left="1960" w:hanging="655"/>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to compliance with regulatory matters.</w:t>
      </w:r>
    </w:p>
    <w:p>
      <w:pPr>
        <w:spacing w:after="0" w:line="225" w:lineRule="exact"/>
        <w:rPr>
          <w:sz w:val="20"/>
          <w:szCs w:val="20"/>
          <w:color w:val="auto"/>
        </w:rPr>
      </w:pPr>
    </w:p>
    <w:p>
      <w:pPr>
        <w:ind w:right="220" w:firstLine="1297"/>
        <w:spacing w:after="0" w:line="259" w:lineRule="auto"/>
        <w:rPr>
          <w:sz w:val="20"/>
          <w:szCs w:val="20"/>
          <w:color w:val="auto"/>
        </w:rPr>
      </w:pPr>
      <w:r>
        <w:rPr>
          <w:rFonts w:ascii="Arial" w:cs="Arial" w:eastAsia="Arial" w:hAnsi="Arial"/>
          <w:sz w:val="18"/>
          <w:szCs w:val="18"/>
          <w:color w:val="auto"/>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Financing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need or otherwise determine to raise additional funds in the future and if we are unable to raise additional funds when necessary or desirable, we may not be able to achieve our strategic objectives.*</w:t>
      </w:r>
    </w:p>
    <w:p>
      <w:pPr>
        <w:spacing w:after="0" w:line="170" w:lineRule="exact"/>
        <w:rPr>
          <w:sz w:val="20"/>
          <w:szCs w:val="20"/>
          <w:color w:val="auto"/>
        </w:rPr>
      </w:pPr>
    </w:p>
    <w:p>
      <w:pPr>
        <w:ind w:right="180" w:firstLine="1297"/>
        <w:spacing w:after="0" w:line="276" w:lineRule="auto"/>
        <w:rPr>
          <w:sz w:val="20"/>
          <w:szCs w:val="20"/>
          <w:color w:val="auto"/>
        </w:rPr>
      </w:pPr>
      <w:r>
        <w:rPr>
          <w:rFonts w:ascii="Arial" w:cs="Arial" w:eastAsia="Arial" w:hAnsi="Arial"/>
          <w:sz w:val="17"/>
          <w:szCs w:val="17"/>
          <w:color w:val="auto"/>
        </w:rPr>
        <w:t>At September 30, 2019, we had $156.9 million in cash, cash equivalents and short-term investments. Our management expects the continued growth of our business, including the expansion of our customer service infrastructure to support our growing base of customers, our plans to expand commercial sales of our products outside of the United States, the growth of our manufacturing and warehousing operations and additional research and development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spacing w:after="0" w:line="173" w:lineRule="exact"/>
        <w:rPr>
          <w:sz w:val="20"/>
          <w:szCs w:val="20"/>
          <w:color w:val="auto"/>
        </w:rPr>
      </w:pPr>
    </w:p>
    <w:p>
      <w:pPr>
        <w:ind w:left="1960" w:right="340" w:hanging="655"/>
        <w:spacing w:after="0" w:line="277"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revenue generated by sales of our insulin pump products, and the related insulin cartridges and infusion sets, and any other future products that we may develop and commercialize;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gross profits and gross margin we realize from the sales we generate;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associated with maintaining and expanding an appropriate sales, clinical and marketing infrastructure;</w:t>
      </w:r>
    </w:p>
    <w:p>
      <w:pPr>
        <w:spacing w:after="0" w:line="225" w:lineRule="exact"/>
        <w:rPr>
          <w:rFonts w:ascii="Arial" w:cs="Arial" w:eastAsia="Arial" w:hAnsi="Arial"/>
          <w:sz w:val="18"/>
          <w:szCs w:val="18"/>
          <w:color w:val="auto"/>
        </w:rPr>
      </w:pPr>
    </w:p>
    <w:p>
      <w:pPr>
        <w:ind w:left="1960" w:right="40" w:hanging="655"/>
        <w:spacing w:after="0" w:line="264"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expenses we incur or other capital expenditures we make to maintain or enhance our manufacturing operations, including leasing additional property, hiring additional personnel, purchasing additional manufacturing equipment, and other measures taken to add manufacturing capacity;</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expenses associated with developing and commercializing our proposed products or technologies;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associated with maintaining and expanding our customer service infrastructure;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cost of obtaining and maintaining regulatory clearance or approval for our products and our manufacturing facilities;</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ongoing compliance with legal and regulatory requirements;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expenses we incur in connection with potential litigation or governmental investigations;</w:t>
      </w:r>
    </w:p>
    <w:p>
      <w:pPr>
        <w:spacing w:after="0" w:line="225" w:lineRule="exact"/>
        <w:rPr>
          <w:rFonts w:ascii="Arial" w:cs="Arial" w:eastAsia="Arial" w:hAnsi="Arial"/>
          <w:sz w:val="18"/>
          <w:szCs w:val="18"/>
          <w:color w:val="auto"/>
        </w:rPr>
      </w:pPr>
    </w:p>
    <w:p>
      <w:pPr>
        <w:ind w:left="1960" w:right="300" w:hanging="655"/>
        <w:spacing w:after="0" w:line="277"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expenses we may incur or other financial commitments we may make in connection with current and potential new business or commercial collaborations, development agreements or licensing arrangements;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anticipated or unanticipated capital expenditures;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general and administrative expenses.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As a result of these and other factors we may in the future seek additional capital from public or private offerings of our equity or debt securities,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93"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from quarter to quarter.*</w:t>
      </w:r>
    </w:p>
    <w:p>
      <w:pPr>
        <w:spacing w:after="0" w:line="225"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There has been and may continue to be meaningful variability in our operating results from quarter to quarter, as well as within each quarter, especially around the time of anticipated new product launches or regulatory approvals by us or our competitors, and as a result of the commercial launch of our product in geographies outside of the United States. Our operating results, and the variability of these operating results, will be affected by numerous factors, including:</w:t>
      </w:r>
    </w:p>
    <w:p>
      <w:pPr>
        <w:spacing w:after="0" w:line="187" w:lineRule="exact"/>
        <w:rPr>
          <w:sz w:val="20"/>
          <w:szCs w:val="20"/>
          <w:color w:val="auto"/>
        </w:rPr>
      </w:pPr>
    </w:p>
    <w:p>
      <w:pPr>
        <w:ind w:left="1960" w:right="40" w:hanging="655"/>
        <w:spacing w:after="0" w:line="277" w:lineRule="auto"/>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increase sales and gross profit from our insulin pump products, including the related insulin cartridges and infusion sets, and to commercialize and sell our future products;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and mix of our products sold in each quarter;</w:t>
      </w:r>
    </w:p>
    <w:p>
      <w:pPr>
        <w:spacing w:after="0" w:line="225" w:lineRule="exact"/>
        <w:rPr>
          <w:rFonts w:ascii="Arial" w:cs="Arial" w:eastAsia="Arial" w:hAnsi="Arial"/>
          <w:sz w:val="18"/>
          <w:szCs w:val="18"/>
          <w:color w:val="auto"/>
        </w:rPr>
      </w:pPr>
    </w:p>
    <w:p>
      <w:pPr>
        <w:ind w:left="1960" w:right="420" w:hanging="655"/>
        <w:spacing w:after="0" w:line="277" w:lineRule="auto"/>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our products by people with insulin-dependent diabetes, their caregivers, healthcare providers and third-party payors;</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pricing of our products and competitive products, including the use of discounts, rebates or other financial incentives by us or our competitors;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third-party coverage and reimbursement policies;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our existing infrastructure;</w:t>
      </w:r>
    </w:p>
    <w:p>
      <w:pPr>
        <w:spacing w:after="0" w:line="225" w:lineRule="exact"/>
        <w:rPr>
          <w:rFonts w:ascii="Arial" w:cs="Arial" w:eastAsia="Arial" w:hAnsi="Arial"/>
          <w:sz w:val="18"/>
          <w:szCs w:val="18"/>
          <w:color w:val="auto"/>
        </w:rPr>
      </w:pPr>
    </w:p>
    <w:p>
      <w:pPr>
        <w:ind w:left="1960" w:right="500" w:hanging="655"/>
        <w:spacing w:after="0" w:line="277" w:lineRule="auto"/>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and the timing of the payment for, insurance deductibles required to be paid by our customers and potential customers under their existing insurance plans;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simultaneously manufacture multiple products that meet quality, reliability and regulatory requirements;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seasonality and other factors affecting the timing of purchases of our products;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and future products;</w:t>
      </w:r>
    </w:p>
    <w:p>
      <w:pPr>
        <w:spacing w:after="0" w:line="225" w:lineRule="exact"/>
        <w:rPr>
          <w:rFonts w:ascii="Arial" w:cs="Arial" w:eastAsia="Arial" w:hAnsi="Arial"/>
          <w:sz w:val="18"/>
          <w:szCs w:val="18"/>
          <w:color w:val="auto"/>
        </w:rPr>
      </w:pPr>
    </w:p>
    <w:p>
      <w:pPr>
        <w:ind w:left="1960" w:right="180" w:hanging="655"/>
        <w:spacing w:after="0" w:line="277" w:lineRule="auto"/>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components that meet our requirements for product quality and reliability;</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clearance or approvals affecting our products or those of our competitors;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timing of revenue and expense recognition associated with our product sales pursuant to applicable accounting standards.</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60"/>
          </w:cols>
          <w:pgMar w:left="240" w:top="125" w:right="3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1297"/>
        <w:spacing w:after="0" w:line="276" w:lineRule="auto"/>
        <w:rPr>
          <w:sz w:val="20"/>
          <w:szCs w:val="20"/>
          <w:color w:val="auto"/>
        </w:rPr>
      </w:pPr>
      <w:r>
        <w:rPr>
          <w:rFonts w:ascii="Arial" w:cs="Arial" w:eastAsia="Arial" w:hAnsi="Arial"/>
          <w:sz w:val="17"/>
          <w:szCs w:val="17"/>
          <w:color w:val="auto"/>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w:t>
      </w:r>
    </w:p>
    <w:p>
      <w:pPr>
        <w:spacing w:after="0" w:line="225" w:lineRule="exact"/>
        <w:rPr>
          <w:sz w:val="20"/>
          <w:szCs w:val="20"/>
          <w:color w:val="auto"/>
        </w:rPr>
      </w:pPr>
    </w:p>
    <w:p>
      <w:pPr>
        <w:ind w:right="60" w:firstLine="1297"/>
        <w:spacing w:after="0" w:line="302" w:lineRule="auto"/>
        <w:rPr>
          <w:sz w:val="20"/>
          <w:szCs w:val="20"/>
          <w:color w:val="auto"/>
        </w:rPr>
      </w:pPr>
      <w:r>
        <w:rPr>
          <w:rFonts w:ascii="Arial" w:cs="Arial" w:eastAsia="Arial" w:hAnsi="Arial"/>
          <w:sz w:val="16"/>
          <w:szCs w:val="16"/>
          <w:color w:val="auto"/>
        </w:rPr>
        <w:t>We rely primarily on patent, trademark and trade secret laws, as well as confidentiality and non-disclosure agreements, to protect our proprietary technologies. As of September 30, 2019, our patent portfolio consisted of approximately 76 issued U.S. patents and 79 pending U.S. patent applications. Of these, our issued U.S. patents expire between approximately 2021 and 2036. We also have and are seeking patent protection for our proprietary technologies in other countries throughout the world. In addition, we have 11 U.S. trademark registrations and 15 foreign trademark registrations.</w:t>
      </w:r>
    </w:p>
    <w:p>
      <w:pPr>
        <w:spacing w:after="0" w:line="154"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If we fail to file a patent application timely in any jurisdiction, we may be precluded from doing so at a later date. Further, we cannot assure you that any of our patent applications will be approved in a timely manner or at all. The rights granted to us under our patents, and the rights we are seeking to have granted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78"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the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93"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We have entered into confidentiality agreements and intellectual property assignment agreements with our officers, employees, temporary employees and consultants regarding our intellectual property and proprietary technology. We also enter into confidentiality agreements with potential collaborators and other potential counter-parties, and the terms of our collaboration agreements typically contain provisions governing the ownership and control of intellectual property. In the event of unauthorized use or disclosure or other breaches of those agreements, we may not be provided with meaningful protection for our trade secrets or other proprietary information.</w:t>
      </w:r>
    </w:p>
    <w:p>
      <w:pPr>
        <w:spacing w:after="0" w:line="188" w:lineRule="exact"/>
        <w:rPr>
          <w:sz w:val="20"/>
          <w:szCs w:val="20"/>
          <w:color w:val="auto"/>
        </w:rPr>
      </w:pPr>
    </w:p>
    <w:p>
      <w:pPr>
        <w:ind w:right="100" w:firstLine="1297"/>
        <w:spacing w:after="0" w:line="270" w:lineRule="auto"/>
        <w:rPr>
          <w:sz w:val="20"/>
          <w:szCs w:val="20"/>
          <w:color w:val="auto"/>
        </w:rPr>
      </w:pPr>
      <w:r>
        <w:rPr>
          <w:rFonts w:ascii="Arial" w:cs="Arial" w:eastAsia="Arial" w:hAnsi="Arial"/>
          <w:sz w:val="17"/>
          <w:szCs w:val="17"/>
          <w:color w:val="auto"/>
        </w:rPr>
        <w:t>If a competitor infringes upon one of our patents, trademarks or other intellectual property rights, enforcing those patents, trademarks and other rights may be difficult, expensive and time consuming. Patent law relating to the scope of claims in the industry in which we operate is subject to rapid change and constant evolution and, consequently, patent positions in our industry can be uncertain. Even if successful, litigation to defend our patents and trademarks against challenges or to enforce our intellectual property rights could divert management’s attention from managing our business. Moreover, we may not have sufficient resources or incentive to defend our patents or trademarks against challenges or to enforce our intellectual property rights. Litigation also puts our patents at risk of being invalidated or interpreted narrowly and our patent applications at risk of not issuing. Additionally, pursuing litigation may provoke third parties to assert counterclaims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medical device industry is characterized by patent litigation, and from time to time, we may be subject to litigation that could be costly, result in the diversion of management’s time and efforts, or require us to pay damages.</w:t>
      </w:r>
    </w:p>
    <w:p>
      <w:pPr>
        <w:spacing w:after="0" w:line="170"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88"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From time to time, we may receive communications from third parties alleging our infringement of their intellectual property rights or offering a license to intellectual property that is alleged to relate to products that we are currently developing. Any intellectual property-related discussions, disputes or litigation could force us to do one or more of the following:</w:t>
      </w:r>
    </w:p>
    <w:p>
      <w:pPr>
        <w:spacing w:after="0" w:line="181" w:lineRule="exact"/>
        <w:rPr>
          <w:sz w:val="20"/>
          <w:szCs w:val="20"/>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stop selling our products or using technology that contains the allegedly infringing intellectual property;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prevent or limit our ability to sell a product that we are currently developing;</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are allegedly infringing;</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or</w:t>
      </w:r>
    </w:p>
    <w:p>
      <w:pPr>
        <w:spacing w:after="0" w:line="225" w:lineRule="exact"/>
        <w:rPr>
          <w:rFonts w:ascii="Arial" w:cs="Arial" w:eastAsia="Arial" w:hAnsi="Arial"/>
          <w:sz w:val="18"/>
          <w:szCs w:val="18"/>
          <w:color w:val="auto"/>
        </w:rPr>
      </w:pPr>
    </w:p>
    <w:p>
      <w:pPr>
        <w:ind w:left="1960" w:right="140" w:hanging="655"/>
        <w:spacing w:after="0" w:line="277" w:lineRule="auto"/>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w:t>
      </w:r>
    </w:p>
    <w:p>
      <w:pPr>
        <w:spacing w:after="0" w:line="170"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color w:val="auto"/>
        </w:rPr>
        <w:t>We do not currently maintain insurance to cover the expense or any liability that may arise from an intellectual property dispute with a third party. Any litigation or claim against us, even those without merit, or even preparing for a potential dispute or litigation before it arises, may cause us to incur substantial costs, and could place a significant strain on our financial resources and divert the attention of management from our core business. Any litigation or claim against us may also harm our reputation. Further, as we launch new products and increase our sales, and the number of participants in the diabetes market increases, we believe the possibility of our involvement in intellectual property disputes will increase.</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0" w:lineRule="exact"/>
        <w:rPr>
          <w:sz w:val="20"/>
          <w:szCs w:val="20"/>
          <w:color w:val="auto"/>
        </w:rPr>
      </w:pPr>
    </w:p>
    <w:p>
      <w:pPr>
        <w:ind w:right="60" w:firstLine="1297"/>
        <w:spacing w:after="0" w:line="288" w:lineRule="auto"/>
        <w:rPr>
          <w:sz w:val="20"/>
          <w:szCs w:val="20"/>
          <w:color w:val="auto"/>
        </w:rPr>
      </w:pPr>
      <w:r>
        <w:rPr>
          <w:rFonts w:ascii="Arial" w:cs="Arial" w:eastAsia="Arial" w:hAnsi="Arial"/>
          <w:sz w:val="16"/>
          <w:szCs w:val="16"/>
          <w:color w:val="auto"/>
        </w:rPr>
        <w:t>Many of our employees were previously employed at other medical device companies, including those that are our direct competitors or could potentially become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25"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Our business exposes us to potential product liability claims that are inherent in the design, manufacture, testing and sale of medical devices. We are subject to product liability lawsuits alleging that component failures, manufacturing flaws, design defects or inadequate disclosure of product-related risks or product-related information resulted in an unsafe condition, injury or death to customers. The risk of one or more product liability claims or lawsuits may be even greater after we launch new products with new features or enter new markets where we have no prior experience selling our products and rely on newly-hired staff or new independent distributors or contractors to provide new customer training and customer support. In addition, the misuse of our products or the failure of customers to adhere to operating guidelines could cause significant harm to customers, including death, which could result in product liability claims. We may also identify deficiencies in our products that we determine are immaterial and do not pose safety risks, and therefore decide not to initiate a voluntary recall. However, any such deficiency may be more significant than we expect and lead to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73" w:lineRule="exact"/>
        <w:rPr>
          <w:sz w:val="20"/>
          <w:szCs w:val="20"/>
          <w:color w:val="auto"/>
        </w:rPr>
      </w:pPr>
    </w:p>
    <w:p>
      <w:pPr>
        <w:ind w:right="80" w:firstLine="1297"/>
        <w:spacing w:after="0" w:line="290" w:lineRule="auto"/>
        <w:rPr>
          <w:sz w:val="20"/>
          <w:szCs w:val="20"/>
          <w:color w:val="auto"/>
        </w:rPr>
      </w:pPr>
      <w:r>
        <w:rPr>
          <w:rFonts w:ascii="Arial" w:cs="Arial" w:eastAsia="Arial" w:hAnsi="Arial"/>
          <w:sz w:val="16"/>
          <w:szCs w:val="16"/>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In addition, we expect the cost of our product liability insurance will increase as our product sales increase and we may also increase the amount of our deductibles over time.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 potential product liability claims could prevent or limit our commercialization of current products or products currently under development.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70"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The medical device industry is regulated extensively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regulate numerous elements of our business, including:</w:t>
      </w:r>
    </w:p>
    <w:p>
      <w:pPr>
        <w:spacing w:after="0" w:line="187" w:lineRule="exact"/>
        <w:rPr>
          <w:sz w:val="20"/>
          <w:szCs w:val="20"/>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pre-clinical and clinical testing and trials;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marketing, manufacturing, sales and distribution;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Before we can market or sell a new regulated product or a significant modification to an existing product in the United States, we must obtain either clearance under Section 510(k) of the FDCA or approval of a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We received approval of our PMA for t:slim G4 in September 2015 and of our PMA supplement for the t:slim X2 with G5 integration in August 2017. More recently, in June 2018, we received approval of our PMA for the t:slim X2 with Basal-IQ technology. Products that are approved through a PMA application generally need FDA approval before they can be modified. Similarly, some modifications made to products cleared through the 510(k) clearance process may require a new 510(k) submission. The process of obtaining regulatory clearances or approvals to market a medical device can be costly and time-consuming, and we may not be able to obtain these clearances or approvals on a timely basis or at all for our proposed products.</w:t>
      </w:r>
    </w:p>
    <w:p>
      <w:pPr>
        <w:spacing w:after="0" w:line="173"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We may pursue 510(k) clearance for additional products or product modifications in the future. If the FDA requires us to go through a more rigorous examination for future products or modifications to existing products than we had expected, our product introductions or modifications could be delayed or canceled, which could cause our sales to decline or to not increase in line with our forecasts. We anticipate that certain of our products currently under development will require the more costly, lengthy and uncertain PMA approval process.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FDA can delay, limit or deny clearance or approval of one of our devices for many reasons, including:</w:t>
      </w:r>
    </w:p>
    <w:p>
      <w:pPr>
        <w:spacing w:after="0" w:line="225" w:lineRule="exact"/>
        <w:rPr>
          <w:sz w:val="20"/>
          <w:szCs w:val="20"/>
          <w:color w:val="auto"/>
        </w:rPr>
      </w:pPr>
    </w:p>
    <w:p>
      <w:pPr>
        <w:ind w:left="1960" w:hanging="655"/>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demonstrate that our products are safe and effective for their intended users;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data from our clinical trials may be insufficient to support clearance or approval;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the manufacturing process or facilities we use to meet applicable requirements.</w:t>
      </w:r>
    </w:p>
    <w:p>
      <w:pPr>
        <w:spacing w:after="0" w:line="225"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 For example, based on feedback from the FDA, in February 2019, we received approval of a de novo 510(k) application to down-classify the t:slim X2 to a Class II device, under the new insulin pump classification referred to as ACE pumps, and in the third quarter of 2019, we separately filed for FDA clearance of our implementation of the Control-IQ technology. Ultimately, the FDA may not support our new regulatory filing strategy.</w:t>
      </w:r>
    </w:p>
    <w:p>
      <w:pPr>
        <w:spacing w:after="0" w:line="193"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 Moreover, customers may defer purchasing our existing products in anticipation of a new product launch. Additionally, the FDA and other regulatory authorities have broad enforcement powers. Regulatory enforcement or inquiries, or other increased scrutiny on us, could dissuade some customers from using our products and adversely affect our reputation and the perceived safety and efficacy of our products.</w:t>
      </w:r>
    </w:p>
    <w:p>
      <w:pPr>
        <w:spacing w:after="0" w:line="188"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delays by the FDA or other regulators in granting clearances or approvals, and the suspension or withdrawal of existing approvals by the FDA or other regulators.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spacing w:after="0" w:line="193" w:lineRule="exact"/>
        <w:rPr>
          <w:sz w:val="20"/>
          <w:szCs w:val="20"/>
          <w:color w:val="auto"/>
        </w:rPr>
      </w:pPr>
    </w:p>
    <w:p>
      <w:pPr>
        <w:ind w:right="20" w:firstLine="1297"/>
        <w:spacing w:after="0" w:line="302" w:lineRule="auto"/>
        <w:rPr>
          <w:sz w:val="20"/>
          <w:szCs w:val="20"/>
          <w:color w:val="auto"/>
        </w:rPr>
      </w:pPr>
      <w:r>
        <w:rPr>
          <w:rFonts w:ascii="Arial" w:cs="Arial" w:eastAsia="Arial" w:hAnsi="Arial"/>
          <w:sz w:val="16"/>
          <w:szCs w:val="16"/>
          <w:color w:val="auto"/>
        </w:rPr>
        <w:t>Further, we commenced commercial sales of our products in select international markets during the third quarter of 2018. As we expand our operations outside of the United States and launch new products, we will become subject to various additional regulatory and legal requirements under the applicable laws and regulations of the international markets we enter. These additional regulatory requirements may involve significant costs and expenditures and, if we are not able to comply with any such requirements, our international expansion and business could be significantly harmed.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Modifications to our products may require new 510(k) clearances or PMAs, or may require us to cease marketing or recall the modified products until clearances are obtained.</w:t>
      </w:r>
    </w:p>
    <w:p>
      <w:pPr>
        <w:spacing w:after="0" w:line="170"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89" w:lineRule="exact"/>
        <w:rPr>
          <w:sz w:val="20"/>
          <w:szCs w:val="20"/>
          <w:color w:val="auto"/>
        </w:rPr>
      </w:pPr>
    </w:p>
    <w:p>
      <w:pPr>
        <w:ind w:right="560" w:firstLine="1297"/>
        <w:spacing w:after="0" w:line="264" w:lineRule="auto"/>
        <w:rPr>
          <w:sz w:val="20"/>
          <w:szCs w:val="20"/>
          <w:color w:val="auto"/>
        </w:rPr>
      </w:pPr>
      <w:r>
        <w:rPr>
          <w:rFonts w:ascii="Arial" w:cs="Arial" w:eastAsia="Arial" w:hAnsi="Arial"/>
          <w:sz w:val="18"/>
          <w:szCs w:val="18"/>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or our third-party suppliers and service providers fail to comply with the FDA’s good manufacturing practice regulations, this could impair our ability to market our products in a cost-effective and timely manner.*</w:t>
      </w:r>
    </w:p>
    <w:p>
      <w:pPr>
        <w:spacing w:after="0" w:line="170" w:lineRule="exact"/>
        <w:rPr>
          <w:sz w:val="20"/>
          <w:szCs w:val="20"/>
          <w:color w:val="auto"/>
        </w:rPr>
      </w:pPr>
    </w:p>
    <w:p>
      <w:pPr>
        <w:ind w:right="20" w:firstLine="1297"/>
        <w:spacing w:after="0" w:line="293" w:lineRule="auto"/>
        <w:rPr>
          <w:sz w:val="20"/>
          <w:szCs w:val="20"/>
          <w:color w:val="auto"/>
        </w:rPr>
      </w:pPr>
      <w:r>
        <w:rPr>
          <w:rFonts w:ascii="Arial" w:cs="Arial" w:eastAsia="Arial" w:hAnsi="Arial"/>
          <w:sz w:val="16"/>
          <w:szCs w:val="16"/>
          <w:color w:val="auto"/>
        </w:rPr>
        <w:t>We and our third-party suppliers and service providers are required to comply with the FDA’s Quality System Regulation (QSR), which covers the methods and documentation of the design, testing, production, control, quality assurance, labeling, packaging, sterilization, storage and shipping of our products. The FDA audits compliance with the QSR through periodic announced and unannounced inspections of manufacturing and other facilities. The FDA may impose inspections or audits at any time. If we or our suppliers and service providers have significant non-compliance issues or if any corrective action plan that we or our suppliers or service providers propose in response to observed deficiencies is not sufficient, the FDA could take enforcement action against us. Any of the foregoing actions could have a material adverse effect on our reputation, business, financial condition and operating results.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recall of our products, or the discovery of serious safety issues with our products, could have a significant negative impact on us.</w:t>
      </w:r>
    </w:p>
    <w:p>
      <w:pPr>
        <w:spacing w:after="0" w:line="225" w:lineRule="exact"/>
        <w:rPr>
          <w:sz w:val="20"/>
          <w:szCs w:val="20"/>
          <w:color w:val="auto"/>
        </w:rPr>
      </w:pPr>
    </w:p>
    <w:p>
      <w:pPr>
        <w:ind w:right="60" w:firstLine="1297"/>
        <w:spacing w:after="0" w:line="254" w:lineRule="auto"/>
        <w:rPr>
          <w:sz w:val="20"/>
          <w:szCs w:val="20"/>
          <w:color w:val="auto"/>
        </w:rPr>
      </w:pPr>
      <w:r>
        <w:rPr>
          <w:rFonts w:ascii="Arial" w:cs="Arial" w:eastAsia="Arial" w:hAnsi="Arial"/>
          <w:sz w:val="18"/>
          <w:szCs w:val="18"/>
          <w:color w:val="auto"/>
        </w:rPr>
        <w:t>The FDA has the authority to require the recall of commercialized products in the event of material deficiencies or defects in design or manufacture or in the event that a product poses an unacceptable risk to health. The FDA has broad discretion to require the recall of a product or to require that manufacturers alert customers of safety risks, and may do so even in circumstances where we do not believe our product poses an unacceptable risk to health. In addition, manufacturers may, under their own initiative, recall a product if any material deficiency in a product is found or alert customers of unanticipated safety risks. A government-mandated or voluntary recall by us, one of our distributors or any of our other third-party suppliers could occur as a result of an unacceptable risk to health, component failures, manufacturing errors, design or labeling defects or other deficiencies and issues. Recalls or notices relating to any products that we distribute would divert managerial and financial resources, and have an adverse effect on our reputation, financial condition and operating results.</w:t>
      </w:r>
    </w:p>
    <w:p>
      <w:pPr>
        <w:spacing w:after="0" w:line="192"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Further, under the FDA’s Medical Device Reporting regulations, we are required to report to the FDA any incident in which our product may have caused or contributed to a death or serious injury or in which our product malfunctioned and, if the malfunction were to recur, would likely cause or contribute to death or serious injury. Repeated product malfunctions may result in a voluntary or involuntary product recall, which could divert managerial and financial resources, impair our ability to manufacture our products in a cost-effective and timely manner and have an adverse effect on our reputation, financial condition and operating results.</w:t>
      </w:r>
    </w:p>
    <w:p>
      <w:pPr>
        <w:spacing w:after="0" w:line="188"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Any adverse event involving any products that we distribute could result in future voluntary corrective actions, such as recalls or customer notifications, or regulatory agency action, which could include inspection, mandatory recall or other enforcement action. Any corrective action, whether voluntary or involuntary, will require the dedication of our time and capital, distract management from operating our business and may harm our reputation and financial results.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70" w:lineRule="exact"/>
        <w:rPr>
          <w:sz w:val="20"/>
          <w:szCs w:val="20"/>
          <w:color w:val="auto"/>
        </w:rPr>
      </w:pPr>
    </w:p>
    <w:p>
      <w:pPr>
        <w:ind w:right="140" w:firstLine="1297"/>
        <w:spacing w:after="0" w:line="279" w:lineRule="auto"/>
        <w:rPr>
          <w:sz w:val="20"/>
          <w:szCs w:val="20"/>
          <w:color w:val="auto"/>
        </w:rPr>
      </w:pPr>
      <w:r>
        <w:rPr>
          <w:rFonts w:ascii="Arial" w:cs="Arial" w:eastAsia="Arial" w:hAnsi="Arial"/>
          <w:sz w:val="17"/>
          <w:szCs w:val="17"/>
          <w:color w:val="auto"/>
        </w:rPr>
        <w:t>There are numerous U.S. federal and state laws pertaining to healthcare fraud and abuse, including anti-kickback laws, physician self-referral laws, and false claims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71"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Healthcare fraud and abuse regulations are complex and evolving, and even minor irregularities can potentially give rise to claims that a statute or prohibition has been violated. The laws that may affect our ability to operate include:</w:t>
      </w:r>
    </w:p>
    <w:p>
      <w:pPr>
        <w:spacing w:after="0" w:line="170" w:lineRule="exact"/>
        <w:rPr>
          <w:sz w:val="20"/>
          <w:szCs w:val="20"/>
          <w:color w:val="auto"/>
        </w:rPr>
      </w:pPr>
    </w:p>
    <w:p>
      <w:pPr>
        <w:ind w:left="1960" w:hanging="655"/>
        <w:spacing w:after="0" w:line="257" w:lineRule="auto"/>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healthcare programs’ Anti-Kickback Statute, which prohibits, among other things, persons from knowingly and willfully soliciting, receiving, offering, paying or providing remuneration (including any kickback, bribe or rebate), directly or indirectly, overtly or covertly, in cash or in kind in exchange for or to induce either the referral of an individual for, or the purchase, lease, order or recommendation of, any good or service for which payment may be made under federal healthcare programs such as the Medicare and state Medicaid programs;</w:t>
      </w:r>
    </w:p>
    <w:p>
      <w:pPr>
        <w:spacing w:after="0" w:line="188" w:lineRule="exact"/>
        <w:rPr>
          <w:rFonts w:ascii="Arial" w:cs="Arial" w:eastAsia="Arial" w:hAnsi="Arial"/>
          <w:sz w:val="18"/>
          <w:szCs w:val="18"/>
          <w:color w:val="auto"/>
        </w:rPr>
      </w:pPr>
    </w:p>
    <w:p>
      <w:pPr>
        <w:ind w:left="1960" w:right="160" w:hanging="655"/>
        <w:spacing w:after="0" w:line="264" w:lineRule="auto"/>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and state false claims laws which prohibit, among other things, individuals or entities from knowingly presenting, or causing to be presented, claims for payment from Medicare, state Medicaid programs, or other third-party payors that are false or fraudulent;</w:t>
      </w:r>
    </w:p>
    <w:p>
      <w:pPr>
        <w:spacing w:after="0" w:line="181" w:lineRule="exact"/>
        <w:rPr>
          <w:rFonts w:ascii="Arial" w:cs="Arial" w:eastAsia="Arial" w:hAnsi="Arial"/>
          <w:sz w:val="18"/>
          <w:szCs w:val="18"/>
          <w:color w:val="auto"/>
        </w:rPr>
      </w:pPr>
    </w:p>
    <w:p>
      <w:pPr>
        <w:ind w:left="1960" w:right="180" w:hanging="655"/>
        <w:spacing w:after="0" w:line="286" w:lineRule="auto"/>
        <w:tabs>
          <w:tab w:leader="none" w:pos="19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federal and state physician referral laws, such as the Stark Law, that prohibit a physician from referring Medicare or Medicaid patients to an entity providing “designated health services,” including a company that furnishes durable medical equipment, with which the physician has a financial relationship unless that financial relationship meets an exception;</w:t>
      </w:r>
    </w:p>
    <w:p>
      <w:pPr>
        <w:spacing w:after="0" w:line="165" w:lineRule="exact"/>
        <w:rPr>
          <w:rFonts w:ascii="Arial" w:cs="Arial" w:eastAsia="Arial" w:hAnsi="Arial"/>
          <w:sz w:val="17"/>
          <w:szCs w:val="17"/>
          <w:color w:val="auto"/>
        </w:rPr>
      </w:pPr>
    </w:p>
    <w:p>
      <w:pPr>
        <w:ind w:left="1960" w:right="60" w:hanging="655"/>
        <w:spacing w:after="0" w:line="302" w:lineRule="auto"/>
        <w:tabs>
          <w:tab w:leader="none" w:pos="1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federal and state laws, such as the Civil Monetary Penalties Law, that prohibit an individual or entity from offering or transferring remuneration to any person eligible for benefits under a federal or state health care program which such individual or entity knows or should know are likely to influence such eligible individual’s choice of provider, practitioner or supplier of any item or service for which payment may be made under federal health care programs such as Medicare and state Medicaid programs;</w:t>
      </w:r>
    </w:p>
    <w:p>
      <w:pPr>
        <w:spacing w:after="0" w:line="154" w:lineRule="exact"/>
        <w:rPr>
          <w:rFonts w:ascii="Arial" w:cs="Arial" w:eastAsia="Arial" w:hAnsi="Arial"/>
          <w:sz w:val="16"/>
          <w:szCs w:val="16"/>
          <w:color w:val="auto"/>
        </w:rPr>
      </w:pPr>
    </w:p>
    <w:p>
      <w:pPr>
        <w:ind w:left="1960" w:right="420" w:hanging="655"/>
        <w:spacing w:after="0" w:line="277" w:lineRule="auto"/>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criminal laws enacted as part of HIPAA that prohibit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jc w:val="both"/>
        <w:ind w:left="1960" w:right="360" w:hanging="655"/>
        <w:spacing w:after="0" w:line="264" w:lineRule="auto"/>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disclosure laws, such as the Physician Payments Sunshine Act, which require certain manufacturers, including medical device manufacturers, to submit annual data pertaining to payments or other transfers of value to covered recipients, including physicians;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Trade Commission Act and similar laws regulating advertisement and consumer protections;</w:t>
      </w:r>
    </w:p>
    <w:p>
      <w:pPr>
        <w:spacing w:after="0" w:line="225" w:lineRule="exact"/>
        <w:rPr>
          <w:rFonts w:ascii="Arial" w:cs="Arial" w:eastAsia="Arial" w:hAnsi="Arial"/>
          <w:sz w:val="18"/>
          <w:szCs w:val="18"/>
          <w:color w:val="auto"/>
        </w:rPr>
      </w:pPr>
    </w:p>
    <w:p>
      <w:pPr>
        <w:ind w:left="1960" w:right="260" w:hanging="655"/>
        <w:spacing w:after="0" w:line="277" w:lineRule="auto"/>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and U.S. state law equivalents of each of the above federal laws, such as anti-kickback and false claims laws which may apply to items or services reimbursed by any third-party payor, including commercial insurers; and</w:t>
      </w:r>
    </w:p>
    <w:p>
      <w:pPr>
        <w:spacing w:after="0" w:line="170" w:lineRule="exact"/>
        <w:rPr>
          <w:rFonts w:ascii="Arial" w:cs="Arial" w:eastAsia="Arial" w:hAnsi="Arial"/>
          <w:sz w:val="18"/>
          <w:szCs w:val="18"/>
          <w:color w:val="auto"/>
        </w:rPr>
      </w:pPr>
    </w:p>
    <w:p>
      <w:pPr>
        <w:ind w:left="1960" w:right="200" w:hanging="655"/>
        <w:spacing w:after="0" w:line="277" w:lineRule="auto"/>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and state laws governing the use, disclosure and security of personal information, including protected health information, such as HIPAA and the Health Information Technology for Economic and Clinical Health.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1297"/>
        <w:spacing w:after="0" w:line="255" w:lineRule="auto"/>
        <w:rPr>
          <w:sz w:val="20"/>
          <w:szCs w:val="20"/>
          <w:color w:val="auto"/>
        </w:rPr>
      </w:pPr>
      <w:r>
        <w:rPr>
          <w:rFonts w:ascii="Arial" w:cs="Arial" w:eastAsia="Arial" w:hAnsi="Arial"/>
          <w:sz w:val="18"/>
          <w:szCs w:val="18"/>
          <w:color w:val="auto"/>
        </w:rPr>
        <w:t>Possible sanctions for violation of these laws include monetary fines, civil and criminal penalties, exclusion from Medicare, Medicaid and other federal healthcare programs, and forfeiture of amounts collected in violation of those prohibitions and in some circumstances, treble damages. Any violation of these laws, or any action against us for violation of these laws, even if we successfully defend against it, could result in a material adverse effect on our reputation, business, financial condition and operating results. Recently, federal government agencies have published proposed rules for public comment which would make material modifications to several of these laws, including but not limited to the Anti-Kickback Statute, the Stark Law and HIPAA. It is unknown if or when these proposed rules may be adopted and what final form the proposed rules may take and how they may impact our business operations.</w:t>
      </w:r>
    </w:p>
    <w:p>
      <w:pPr>
        <w:spacing w:after="0" w:line="189"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To enforce compliance with the federal laws, the U.S. Department of Justice (DOJ) in conjunction with other federal agencies,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78" w:lineRule="exact"/>
        <w:rPr>
          <w:sz w:val="20"/>
          <w:szCs w:val="20"/>
          <w:color w:val="auto"/>
        </w:rPr>
      </w:pPr>
    </w:p>
    <w:p>
      <w:pPr>
        <w:ind w:right="80" w:firstLine="1297"/>
        <w:spacing w:after="0" w:line="279" w:lineRule="auto"/>
        <w:rPr>
          <w:sz w:val="20"/>
          <w:szCs w:val="20"/>
          <w:color w:val="auto"/>
        </w:rPr>
      </w:pPr>
      <w:r>
        <w:rPr>
          <w:rFonts w:ascii="Arial" w:cs="Arial" w:eastAsia="Arial" w:hAnsi="Arial"/>
          <w:sz w:val="17"/>
          <w:szCs w:val="17"/>
          <w:color w:val="auto"/>
        </w:rPr>
        <w:t>The scope and enforcement of these laws is uncertain and subject to rapid change in the current environment of healthcare reform.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whether or not retroactive.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if we engage in the promotion of the off-label use of our products.</w:t>
      </w:r>
    </w:p>
    <w:p>
      <w:pPr>
        <w:spacing w:after="0" w:line="225" w:lineRule="exact"/>
        <w:rPr>
          <w:sz w:val="20"/>
          <w:szCs w:val="20"/>
          <w:color w:val="auto"/>
        </w:rPr>
      </w:pPr>
    </w:p>
    <w:p>
      <w:pPr>
        <w:ind w:right="40" w:firstLine="1297"/>
        <w:spacing w:after="0" w:line="269" w:lineRule="auto"/>
        <w:rPr>
          <w:sz w:val="20"/>
          <w:szCs w:val="20"/>
          <w:color w:val="auto"/>
        </w:rPr>
      </w:pPr>
      <w:r>
        <w:rPr>
          <w:rFonts w:ascii="Arial" w:cs="Arial" w:eastAsia="Arial" w:hAnsi="Arial"/>
          <w:sz w:val="17"/>
          <w:szCs w:val="17"/>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agency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183"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b w:val="1"/>
          <w:bCs w:val="1"/>
          <w:i w:val="1"/>
          <w:iCs w:val="1"/>
          <w:color w:val="auto"/>
        </w:rPr>
        <w:t>Legislative or regulatory healthcare reforms may result in downward pressure on the price of and decrease reimbursement for our products, and uncertainty regarding the healthcare regulatory environment could have a material adverse effect on our business.</w:t>
      </w:r>
    </w:p>
    <w:p>
      <w:pPr>
        <w:spacing w:after="0" w:line="147"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w:t>
      </w:r>
    </w:p>
    <w:p>
      <w:pPr>
        <w:spacing w:after="0" w:line="189" w:lineRule="exact"/>
        <w:rPr>
          <w:sz w:val="20"/>
          <w:szCs w:val="20"/>
          <w:color w:val="auto"/>
        </w:rPr>
      </w:pPr>
    </w:p>
    <w:p>
      <w:pPr>
        <w:ind w:right="160" w:firstLine="1297"/>
        <w:spacing w:after="0" w:line="257" w:lineRule="auto"/>
        <w:rPr>
          <w:sz w:val="20"/>
          <w:szCs w:val="20"/>
          <w:color w:val="auto"/>
        </w:rPr>
      </w:pPr>
      <w:r>
        <w:rPr>
          <w:rFonts w:ascii="Arial" w:cs="Arial" w:eastAsia="Arial" w:hAnsi="Arial"/>
          <w:sz w:val="18"/>
          <w:szCs w:val="18"/>
          <w:color w:val="auto"/>
        </w:rPr>
        <w:t>The Patient Protection and Affordable Care Act (PPACA) substantially changed the way healthcare is financed by both governmental and private insurers, encourages improvements in the quality of healthcare items and services, and significantly impacts the medical device industry. However, a number of legislative changes have been proposed and adopted since the PPACA was enacted, and legislation has also been proposed that could modify or repeal the PPACA. The uncertainties regarding the future of the PPACA, and other healthcare reform initiatives, may have an adverse effect on our customers’ purchasing decisions regarding our products.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In the future,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225"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The PPACA imposes, among other things, an excise tax of 2.3% on any entity that manufactures or imports medical devices offered for sale in the United States, although this tax has been suspended for calendar years 2016, 2017, 2018 and 2019. It is unclear at this time if the moratorium will be further extended. We do not believe that our products are subject to this tax based on the retail exemption under applicable Treasury Regulations. However, the availability of this exemption is subject to interpretation by the Internal Revenue Service (IRS), and the IRS may disagree with our analysis. Absent further legislative action, the medical device excise tax applies to sales of taxable medical devices beginning on January 1, 2020, and future products that we manufacture, produce or import may be subject to this tax (unless the retail exemption or other applicable exemption applies). The financial impact this tax may have on our business is unclear and there can be no assurance that our business will not be materially adversely affected by it. Additionally, Congress could terminate the moratorium or further change the law related to the medical device tax in a manner that could adversely affect 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continue to fluctuate significantly.*</w:t>
      </w:r>
    </w:p>
    <w:p>
      <w:pPr>
        <w:spacing w:after="0" w:line="225"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The trading price of our common stock has been volatile in recent years. We believe our stock price has been, and will continue to be, subject to wide fluctuations in response to a variety of factors, including the following:</w:t>
      </w:r>
    </w:p>
    <w:p>
      <w:pPr>
        <w:spacing w:after="0" w:line="170" w:lineRule="exact"/>
        <w:rPr>
          <w:sz w:val="20"/>
          <w:szCs w:val="20"/>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and operating results from period to period;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actual or perceived need for additional capital to fund our operations;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acceptance of our current products and products under development, and the recognition of our brand;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introduction of proposed products, technologies or treatment techniques by us or our competitors;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significant contracts, acquisitions or divestitures by us or our competitors;</w:t>
      </w:r>
    </w:p>
    <w:p>
      <w:pPr>
        <w:spacing w:after="0" w:line="225" w:lineRule="exact"/>
        <w:rPr>
          <w:rFonts w:ascii="Arial" w:cs="Arial" w:eastAsia="Arial" w:hAnsi="Arial"/>
          <w:sz w:val="18"/>
          <w:szCs w:val="18"/>
          <w:color w:val="auto"/>
        </w:rPr>
      </w:pPr>
    </w:p>
    <w:p>
      <w:pPr>
        <w:ind w:left="1960" w:right="340" w:hanging="655"/>
        <w:spacing w:after="0" w:line="277" w:lineRule="auto"/>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approval of our products or the products of our competitors, or the failure to obtain such approvals on the projected timeline or at all;</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speculative trading practices of market participants;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issuance of securities analysts’ reports or recommendations;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shares of our common stock by our employees, directors or principal stockholders;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political or economic conditions.</w:t>
      </w:r>
    </w:p>
    <w:p>
      <w:pPr>
        <w:spacing w:after="0" w:line="225"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These and other factors might cause the market price of our common stock to fluctuate substantially. Fluctuations in our stock price may negatively affect the liquidity of our common stock, which could further impact our stock price.</w:t>
      </w:r>
    </w:p>
    <w:p>
      <w:pPr>
        <w:spacing w:after="0" w:line="170"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In recent years, the stock market has experienced significant price and volume fluctuations. This volatility has had a significant impact on the market price of securities issued by many companies across many industries. These changes may occur without regard to the financial condition or operating performance of the affected companies. Accordingly, the price of our common stock could fluctuate based upon factors that have little or nothing to do with our company, and these fluctuations could materially reduce the market price of our common stock.</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25"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40"/>
        <w:spacing w:after="0" w:line="381" w:lineRule="auto"/>
        <w:rPr>
          <w:sz w:val="20"/>
          <w:szCs w:val="20"/>
          <w:color w:val="auto"/>
        </w:rPr>
      </w:pPr>
      <w:r>
        <w:rPr>
          <w:rFonts w:ascii="Arial" w:cs="Arial" w:eastAsia="Arial" w:hAnsi="Arial"/>
          <w:sz w:val="15"/>
          <w:szCs w:val="15"/>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01"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70" w:lineRule="exact"/>
        <w:rPr>
          <w:sz w:val="20"/>
          <w:szCs w:val="20"/>
          <w:color w:val="auto"/>
        </w:rPr>
      </w:pPr>
    </w:p>
    <w:p>
      <w:pPr>
        <w:ind w:left="1960" w:right="160" w:hanging="655"/>
        <w:spacing w:after="0" w:line="277" w:lineRule="auto"/>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170" w:lineRule="exact"/>
        <w:rPr>
          <w:rFonts w:ascii="Arial" w:cs="Arial" w:eastAsia="Arial" w:hAnsi="Arial"/>
          <w:sz w:val="18"/>
          <w:szCs w:val="18"/>
          <w:color w:val="auto"/>
        </w:rPr>
      </w:pPr>
    </w:p>
    <w:p>
      <w:pPr>
        <w:ind w:left="1960" w:right="460" w:hanging="655"/>
        <w:spacing w:after="0" w:line="277" w:lineRule="auto"/>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the board is divided into three classes each of which has a different three-year term;</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the number of directors shall be fixed by the board;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w:t>
      </w:r>
    </w:p>
    <w:p>
      <w:pPr>
        <w:spacing w:after="0" w:line="225" w:lineRule="exact"/>
        <w:rPr>
          <w:rFonts w:ascii="Arial" w:cs="Arial" w:eastAsia="Arial" w:hAnsi="Arial"/>
          <w:sz w:val="18"/>
          <w:szCs w:val="18"/>
          <w:color w:val="auto"/>
        </w:rPr>
      </w:pPr>
    </w:p>
    <w:p>
      <w:pPr>
        <w:ind w:left="1960" w:right="820" w:hanging="655"/>
        <w:spacing w:after="0" w:line="277" w:lineRule="auto"/>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for the removal of a director only with cause and then by the affirmative vote of the holders of a majority of the outstanding shares;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225" w:lineRule="exact"/>
        <w:rPr>
          <w:rFonts w:ascii="Arial" w:cs="Arial" w:eastAsia="Arial" w:hAnsi="Arial"/>
          <w:sz w:val="18"/>
          <w:szCs w:val="18"/>
          <w:color w:val="auto"/>
        </w:rPr>
      </w:pPr>
    </w:p>
    <w:p>
      <w:pPr>
        <w:ind w:left="1960" w:right="560" w:hanging="655"/>
        <w:spacing w:after="0" w:line="277" w:lineRule="auto"/>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the vote of at least two-thirds of the outstanding shares to approve amendments to the certificate of incorporation or bylaws;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225" w:lineRule="exact"/>
        <w:rPr>
          <w:sz w:val="20"/>
          <w:szCs w:val="20"/>
          <w:color w:val="auto"/>
        </w:rPr>
      </w:pPr>
    </w:p>
    <w:p>
      <w:pPr>
        <w:ind w:right="20" w:firstLine="1297"/>
        <w:spacing w:after="0" w:line="297" w:lineRule="auto"/>
        <w:rPr>
          <w:sz w:val="20"/>
          <w:szCs w:val="20"/>
          <w:color w:val="auto"/>
        </w:rPr>
      </w:pPr>
      <w:r>
        <w:rPr>
          <w:rFonts w:ascii="Arial" w:cs="Arial" w:eastAsia="Arial" w:hAnsi="Arial"/>
          <w:sz w:val="16"/>
          <w:szCs w:val="16"/>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board of directors is authorized to issue and designate shares of our preferred stock in additional series without stockholder approval.</w:t>
      </w:r>
    </w:p>
    <w:p>
      <w:pPr>
        <w:spacing w:after="0" w:line="237"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Our amended and restated certificate of incorporation authorizes our board of directors, without the approval of our stockholders, to issue 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adversely affect us and our stockholders.</w:t>
      </w:r>
    </w:p>
    <w:p>
      <w:pPr>
        <w:spacing w:after="0" w:line="22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On December 22, 2017, President Trump signed into law the Tax Cuts and Jobs Act (TCJA) which significantly reforms the Internal Revenue Code of 1986, as amended (Code). The TCJA, among other things, includes changes to U.S. federal tax rates, imposes significant additional limitations on the deductibility of interest, allows for the expensing of capital expenditures, and puts into effect the migration from a “worldwide” system of taxation to a territorial system. We do not expect tax reform to have a material impact on our projection of minimal cash taxes. Our net deferred tax assets and liabilities were revalued at the newly-enacted U.S. corporate rate, and the impact was recognized in our tax expense, offset by a full valuation allowance, in the year of enactment. We continue to examine the impact that this tax reform legislation may have on our business. The impact of this tax reform on holders of our common stock is uncertain and could be adverse.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100" w:firstLine="1297"/>
        <w:spacing w:after="0" w:line="276" w:lineRule="auto"/>
        <w:rPr>
          <w:sz w:val="20"/>
          <w:szCs w:val="20"/>
          <w:color w:val="auto"/>
        </w:rPr>
      </w:pPr>
      <w:r>
        <w:rPr>
          <w:rFonts w:ascii="Arial" w:cs="Arial" w:eastAsia="Arial" w:hAnsi="Arial"/>
          <w:sz w:val="17"/>
          <w:szCs w:val="17"/>
          <w:color w:val="auto"/>
        </w:rPr>
        <w:t>As of December 31, 2018, we had federal net operating loss (NOL) carryforwards of approximately $352.7 million, not considering the limitation discussed below. The federal tax loss carryforwards begin to expire in 2026, unless previously utilized. In addition, if there is an “ownership change” with respect to our company, as defined under Section 382 of the Code the utilization of our NOL carryforwards may be subject to substantial limitations imposed by the Code, and similar state provisions. In general, an ownership change occurs whenever there is a shift in ownership of our company by more than 50% by one or more 5% stockholders over a specified time period.</w:t>
      </w:r>
    </w:p>
    <w:p>
      <w:pPr>
        <w:spacing w:after="0" w:line="173" w:lineRule="exact"/>
        <w:rPr>
          <w:sz w:val="20"/>
          <w:szCs w:val="20"/>
          <w:color w:val="auto"/>
        </w:rPr>
      </w:pPr>
    </w:p>
    <w:p>
      <w:pPr>
        <w:ind w:right="60" w:firstLine="1297"/>
        <w:spacing w:after="0" w:line="273" w:lineRule="auto"/>
        <w:rPr>
          <w:sz w:val="20"/>
          <w:szCs w:val="20"/>
          <w:color w:val="auto"/>
        </w:rPr>
      </w:pPr>
      <w:r>
        <w:rPr>
          <w:rFonts w:ascii="Arial" w:cs="Arial" w:eastAsia="Arial" w:hAnsi="Arial"/>
          <w:sz w:val="17"/>
          <w:szCs w:val="17"/>
          <w:color w:val="auto"/>
        </w:rPr>
        <w:t>Although we have not yet completed an update of our Section 382 analysis subsequent to December 31, 2017, we believe that offerings of our securities following that date likely caused an ownership change for purposes of Section 382 of the Code. Based on preliminary results of the Section 382 analysis, the Company anticipates that an ownership change likely occurred in 2018, and that the resulting limitation would significantly reduce the Company’s ability to utilize its net operating loss and credit carryovers before they expire. Limitations imposed on our ability to utilize NOL carryforwards could cause U.S. federal income taxes to be paid earlier than would be paid if such limitations were not in effect and could cause such NOL carryforwards to expire unused, in each case reducing or eliminating the benefit of such NOL carryforwards.</w:t>
      </w:r>
    </w:p>
    <w:p>
      <w:pPr>
        <w:spacing w:after="0" w:line="178"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With respect to our NOLs generated in 2018 and thereafter, the TCJA may reduce the tax benefit of our NOLs. Under the TCJA, our ability to carry back NOLs incurred after December 31, 2017 to previous tax years is eliminated. Under prior law, we could carry back NOLs for two years and carry forward NOLs for 20 years. Under the TCJA, NOL carryforwards may be carried forward indefinitely. However, for NOLs arising after December 31, 2017, NOL carryforwards will be limited to 80% of our taxable income. Our NOLs generated in 2017 and in prior years will not be subject to the limitations under the TCJA.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ind w:right="20" w:firstLine="1297"/>
        <w:spacing w:after="0" w:line="28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Accordingly, investors may have to sell some or all of their shares of our common stock in order to generate cash flow from their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of being a public company have increased our costs and will continue to strain our resources and divert management’s attention.</w:t>
      </w:r>
    </w:p>
    <w:p>
      <w:pPr>
        <w:spacing w:after="0" w:line="248"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As a public company, we are subject to the reporting requirements of the Exchange Act, the Dodd-Frank Wall Street Reform and Consumer Protection Act, the listing requirements of the NASDAQ Global Market and other applicable securities rules and regulations. Compliance with these rules and regulations has increased our legal and financial compliance costs, made some activities more difficult, time-consuming or costly, and increased demand on our systems and resources.</w:t>
      </w:r>
    </w:p>
    <w:p>
      <w:pPr>
        <w:spacing w:after="0" w:line="187" w:lineRule="exact"/>
        <w:rPr>
          <w:sz w:val="20"/>
          <w:szCs w:val="20"/>
          <w:color w:val="auto"/>
        </w:rPr>
      </w:pPr>
    </w:p>
    <w:p>
      <w:pPr>
        <w:ind w:right="100" w:firstLine="1297"/>
        <w:spacing w:after="0" w:line="276" w:lineRule="auto"/>
        <w:rPr>
          <w:sz w:val="20"/>
          <w:szCs w:val="20"/>
          <w:color w:val="auto"/>
        </w:rPr>
      </w:pPr>
      <w:r>
        <w:rPr>
          <w:rFonts w:ascii="Arial" w:cs="Arial" w:eastAsia="Arial" w:hAnsi="Arial"/>
          <w:sz w:val="17"/>
          <w:szCs w:val="17"/>
          <w:color w:val="auto"/>
        </w:rPr>
        <w:t>The Sarbanes-Oxley Act of 2002 (Sarbanes-Oxley Act) requires, among other things, that we maintain effective disclosure controls and procedures and internal control over financial reporting. In order to meet these additional requirements, significant resources and management oversight may be required. As a result, management’s attention may be diverted from other business concerns, which could harm our business and operating results. Although we have hired additional employees to help us comply with these requirements, in the future we may need to hire more employees or utilize external consultants in order to further support our efforts, which will increase our expenses.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170"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The SEC adopted a rule requiring disclosures by public companies of specified minerals, known as conflict minerals, that are necessary to the functionality or production of products manufactured or contracted to be manufactured. The rule requires companies to perform due diligence, disclose and annually report to the SEC whether or not such minerals originate from the Democratic Republic of Congo or an adjoining country. The rule could affect sourcing at competitive prices and availability in sufficient quantities of certain minerals used in the manufacture of our products, which could increase our expenses. In addition, there may be material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1"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any testing conducted by our independent registered public accounting firm in connection with Section 404(b) of the Sarbanes-Oxley Act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67"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We are required to disclose changes made to our internal control procedures on a quarterly basis and our management is required to assess the effectiveness of these controls annually. Undetected material weaknesses in our internal controls could lead to financial statement restatements and require us to incur the expense of remediation.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increased risk of securities class action litigation.</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In the past, securities class action litigation has been instituted against companies following periods of volatility in the overall market and in the price of a company’s securities. We believe this risk may be particularly relevant to us as we have experienced significant stock price volatility in recent years. If we face such litigation, it could result in substantial costs and a diversion of management’s attention and resources, which could harm our business, financial condition and results of operations. Our stock price volatility and the increase in our market capitalization during the past year may also result in higher expenses associated with our directors’ and officers’ liability insurance program.</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forecasts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1280" w:type="dxa"/>
            <w:vAlign w:val="bottom"/>
            <w:gridSpan w:val="2"/>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Table of contents</w:t>
              </w:r>
            </w:hyperlink>
          </w:p>
        </w:tc>
        <w:tc>
          <w:tcPr>
            <w:tcW w:w="5240" w:type="dxa"/>
            <w:vAlign w:val="bottom"/>
          </w:tcPr>
          <w:p>
            <w:pPr>
              <w:spacing w:after="0"/>
              <w:rPr>
                <w:sz w:val="17"/>
                <w:szCs w:val="17"/>
                <w:color w:val="auto"/>
              </w:rPr>
            </w:pPr>
          </w:p>
        </w:tc>
      </w:tr>
      <w:tr>
        <w:trPr>
          <w:trHeight w:val="696"/>
        </w:trPr>
        <w:tc>
          <w:tcPr>
            <w:tcW w:w="124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2.</w:t>
            </w:r>
          </w:p>
        </w:tc>
        <w:tc>
          <w:tcPr>
            <w:tcW w:w="40" w:type="dxa"/>
            <w:vAlign w:val="bottom"/>
          </w:tcPr>
          <w:p>
            <w:pPr>
              <w:spacing w:after="0"/>
              <w:rPr>
                <w:sz w:val="24"/>
                <w:szCs w:val="24"/>
                <w:color w:val="auto"/>
              </w:rPr>
            </w:pPr>
          </w:p>
        </w:tc>
        <w:tc>
          <w:tcPr>
            <w:tcW w:w="5240" w:type="dxa"/>
            <w:vAlign w:val="bottom"/>
          </w:tcPr>
          <w:p>
            <w:pPr>
              <w:ind w:left="680"/>
              <w:spacing w:after="0"/>
              <w:rPr>
                <w:sz w:val="20"/>
                <w:szCs w:val="20"/>
                <w:color w:val="auto"/>
              </w:rPr>
            </w:pPr>
            <w:r>
              <w:rPr>
                <w:rFonts w:ascii="Arial" w:cs="Arial" w:eastAsia="Arial" w:hAnsi="Arial"/>
                <w:sz w:val="18"/>
                <w:szCs w:val="18"/>
                <w:b w:val="1"/>
                <w:bCs w:val="1"/>
                <w:color w:val="auto"/>
                <w:w w:val="87"/>
              </w:rPr>
              <w:t>Unregistered Sales of Equity Securities and Use of Proceeds</w:t>
            </w:r>
          </w:p>
        </w:tc>
      </w:tr>
      <w:tr>
        <w:trPr>
          <w:trHeight w:val="432"/>
        </w:trPr>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None.</w:t>
            </w: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5240" w:type="dxa"/>
            <w:vAlign w:val="bottom"/>
          </w:tcPr>
          <w:p>
            <w:pPr>
              <w:ind w:left="680"/>
              <w:spacing w:after="0"/>
              <w:rPr>
                <w:sz w:val="20"/>
                <w:szCs w:val="20"/>
                <w:color w:val="auto"/>
              </w:rPr>
            </w:pPr>
            <w:r>
              <w:rPr>
                <w:rFonts w:ascii="Arial" w:cs="Arial" w:eastAsia="Arial" w:hAnsi="Arial"/>
                <w:sz w:val="18"/>
                <w:szCs w:val="18"/>
                <w:b w:val="1"/>
                <w:bCs w:val="1"/>
                <w:color w:val="auto"/>
              </w:rPr>
              <w:t>Defaults Upon Senior Securities</w:t>
            </w:r>
          </w:p>
        </w:tc>
      </w:tr>
      <w:tr>
        <w:trPr>
          <w:trHeight w:val="432"/>
        </w:trPr>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None.</w:t>
            </w: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5240" w:type="dxa"/>
            <w:vAlign w:val="bottom"/>
          </w:tcPr>
          <w:p>
            <w:pPr>
              <w:ind w:left="680"/>
              <w:spacing w:after="0"/>
              <w:rPr>
                <w:sz w:val="20"/>
                <w:szCs w:val="20"/>
                <w:color w:val="auto"/>
              </w:rPr>
            </w:pPr>
            <w:r>
              <w:rPr>
                <w:rFonts w:ascii="Arial" w:cs="Arial" w:eastAsia="Arial" w:hAnsi="Arial"/>
                <w:sz w:val="18"/>
                <w:szCs w:val="18"/>
                <w:b w:val="1"/>
                <w:bCs w:val="1"/>
                <w:color w:val="auto"/>
              </w:rPr>
              <w:t>Mine Safety Disclosures</w:t>
            </w:r>
          </w:p>
        </w:tc>
      </w:tr>
      <w:tr>
        <w:trPr>
          <w:trHeight w:val="432"/>
        </w:trPr>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Not applicable.</w:t>
            </w: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5240" w:type="dxa"/>
            <w:vAlign w:val="bottom"/>
          </w:tcPr>
          <w:p>
            <w:pPr>
              <w:ind w:left="680"/>
              <w:spacing w:after="0"/>
              <w:rPr>
                <w:sz w:val="20"/>
                <w:szCs w:val="20"/>
                <w:color w:val="auto"/>
              </w:rPr>
            </w:pPr>
            <w:r>
              <w:rPr>
                <w:rFonts w:ascii="Arial" w:cs="Arial" w:eastAsia="Arial" w:hAnsi="Arial"/>
                <w:sz w:val="18"/>
                <w:szCs w:val="18"/>
                <w:b w:val="1"/>
                <w:bCs w:val="1"/>
                <w:color w:val="auto"/>
              </w:rPr>
              <w:t>Other Information</w:t>
            </w:r>
          </w:p>
        </w:tc>
      </w:tr>
      <w:tr>
        <w:trPr>
          <w:trHeight w:val="432"/>
        </w:trPr>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None.</w:t>
            </w:r>
          </w:p>
        </w:tc>
      </w:tr>
      <w:tr>
        <w:trPr>
          <w:trHeight w:val="459"/>
        </w:trPr>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40" w:type="dxa"/>
            <w:vAlign w:val="bottom"/>
          </w:tcPr>
          <w:p>
            <w:pPr>
              <w:ind w:left="4340"/>
              <w:spacing w:after="0"/>
              <w:rPr>
                <w:sz w:val="20"/>
                <w:szCs w:val="20"/>
                <w:color w:val="auto"/>
              </w:rPr>
            </w:pPr>
            <w:r>
              <w:rPr>
                <w:rFonts w:ascii="Arial" w:cs="Arial" w:eastAsia="Arial" w:hAnsi="Arial"/>
                <w:sz w:val="18"/>
                <w:szCs w:val="18"/>
                <w:color w:val="auto"/>
              </w:rPr>
              <w:t>66</w:t>
            </w:r>
          </w:p>
        </w:tc>
      </w:tr>
    </w:tbl>
    <w:p>
      <w:pPr>
        <w:sectPr>
          <w:pgSz w:w="11900" w:h="16838" w:orient="portrait"/>
          <w:cols w:equalWidth="0" w:num="1">
            <w:col w:w="10219"/>
          </w:cols>
          <w:pgMar w:left="240" w:top="108" w:right="1440"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71" w:lineRule="exact"/>
        <w:rPr>
          <w:sz w:val="20"/>
          <w:szCs w:val="20"/>
          <w:color w:val="auto"/>
        </w:rPr>
      </w:pPr>
    </w:p>
    <w:p>
      <w:pPr>
        <w:jc w:val="right"/>
        <w:ind w:right="340"/>
        <w:spacing w:after="0"/>
        <w:rPr>
          <w:sz w:val="20"/>
          <w:szCs w:val="20"/>
          <w:color w:val="auto"/>
        </w:rPr>
      </w:pPr>
      <w:r>
        <w:rPr>
          <w:rFonts w:ascii="Arial" w:cs="Arial" w:eastAsia="Arial" w:hAnsi="Arial"/>
          <w:sz w:val="18"/>
          <w:szCs w:val="18"/>
          <w:b w:val="1"/>
          <w:bCs w:val="1"/>
          <w:color w:val="auto"/>
        </w:rPr>
        <w:t>Provided</w:t>
      </w:r>
    </w:p>
    <w:p>
      <w:pPr>
        <w:spacing w:after="0" w:line="27" w:lineRule="exact"/>
        <w:rPr>
          <w:sz w:val="20"/>
          <w:szCs w:val="20"/>
          <w:color w:val="auto"/>
        </w:rPr>
      </w:pPr>
    </w:p>
    <w:p>
      <w:pPr>
        <w:jc w:val="right"/>
        <w:ind w:right="320"/>
        <w:spacing w:after="0"/>
        <w:tabs>
          <w:tab w:leader="none" w:pos="700" w:val="left"/>
        </w:tabs>
        <w:rPr>
          <w:sz w:val="20"/>
          <w:szCs w:val="20"/>
          <w:color w:val="auto"/>
        </w:rPr>
      </w:pPr>
      <w:r>
        <w:rPr>
          <w:rFonts w:ascii="Arial" w:cs="Arial" w:eastAsia="Arial" w:hAnsi="Arial"/>
          <w:sz w:val="18"/>
          <w:szCs w:val="18"/>
          <w:b w:val="1"/>
          <w:bCs w:val="1"/>
          <w:color w:val="auto"/>
        </w:rPr>
        <w:t>Incorporated by Reference</w:t>
      </w:r>
      <w:r>
        <w:rPr>
          <w:sz w:val="20"/>
          <w:szCs w:val="20"/>
          <w:color w:val="auto"/>
        </w:rPr>
        <w:tab/>
      </w:r>
      <w:r>
        <w:rPr>
          <w:rFonts w:ascii="Arial" w:cs="Arial" w:eastAsia="Arial" w:hAnsi="Arial"/>
          <w:sz w:val="17"/>
          <w:szCs w:val="17"/>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22860</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58"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92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Exhibit</w:t>
            </w:r>
          </w:p>
        </w:tc>
        <w:tc>
          <w:tcPr>
            <w:tcW w:w="3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Date of First</w:t>
            </w:r>
          </w:p>
        </w:tc>
        <w:tc>
          <w:tcPr>
            <w:tcW w:w="74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Exhibit</w:t>
            </w:r>
          </w:p>
        </w:tc>
        <w:tc>
          <w:tcPr>
            <w:tcW w:w="0" w:type="dxa"/>
            <w:vAlign w:val="bottom"/>
          </w:tcPr>
          <w:p>
            <w:pPr>
              <w:spacing w:after="0"/>
              <w:rPr>
                <w:sz w:val="1"/>
                <w:szCs w:val="1"/>
                <w:color w:val="auto"/>
              </w:rPr>
            </w:pPr>
          </w:p>
        </w:tc>
      </w:tr>
      <w:tr>
        <w:trPr>
          <w:trHeight w:val="234"/>
        </w:trPr>
        <w:tc>
          <w:tcPr>
            <w:tcW w:w="92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Number</w:t>
            </w:r>
          </w:p>
        </w:tc>
        <w:tc>
          <w:tcPr>
            <w:tcW w:w="4320" w:type="dxa"/>
            <w:vAlign w:val="bottom"/>
            <w:gridSpan w:val="5"/>
          </w:tcPr>
          <w:p>
            <w:pPr>
              <w:spacing w:after="0"/>
              <w:rPr>
                <w:sz w:val="20"/>
                <w:szCs w:val="20"/>
                <w:color w:val="auto"/>
              </w:rPr>
            </w:pPr>
            <w:r>
              <w:rPr>
                <w:rFonts w:ascii="Arial" w:cs="Arial" w:eastAsia="Arial" w:hAnsi="Arial"/>
                <w:sz w:val="18"/>
                <w:szCs w:val="18"/>
                <w:b w:val="1"/>
                <w:bCs w:val="1"/>
                <w:color w:val="auto"/>
              </w:rPr>
              <w:t>Exhibit Description</w:t>
            </w:r>
          </w:p>
        </w:tc>
        <w:tc>
          <w:tcPr>
            <w:tcW w:w="1440" w:type="dxa"/>
            <w:vAlign w:val="bottom"/>
          </w:tcPr>
          <w:p>
            <w:pPr>
              <w:ind w:left="740"/>
              <w:spacing w:after="0"/>
              <w:rPr>
                <w:sz w:val="20"/>
                <w:szCs w:val="20"/>
                <w:color w:val="auto"/>
              </w:rPr>
            </w:pPr>
            <w:r>
              <w:rPr>
                <w:rFonts w:ascii="Arial" w:cs="Arial" w:eastAsia="Arial" w:hAnsi="Arial"/>
                <w:sz w:val="18"/>
                <w:szCs w:val="18"/>
                <w:b w:val="1"/>
                <w:bCs w:val="1"/>
                <w:color w:val="auto"/>
              </w:rPr>
              <w:t>Form</w:t>
            </w:r>
          </w:p>
        </w:tc>
        <w:tc>
          <w:tcPr>
            <w:tcW w:w="980" w:type="dxa"/>
            <w:vAlign w:val="bottom"/>
          </w:tcPr>
          <w:p>
            <w:pPr>
              <w:ind w:left="260"/>
              <w:spacing w:after="0"/>
              <w:rPr>
                <w:sz w:val="20"/>
                <w:szCs w:val="20"/>
                <w:color w:val="auto"/>
              </w:rPr>
            </w:pPr>
            <w:r>
              <w:rPr>
                <w:rFonts w:ascii="Arial" w:cs="Arial" w:eastAsia="Arial" w:hAnsi="Arial"/>
                <w:sz w:val="18"/>
                <w:szCs w:val="18"/>
                <w:b w:val="1"/>
                <w:bCs w:val="1"/>
                <w:color w:val="auto"/>
              </w:rPr>
              <w:t>File No.</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Filing</w:t>
            </w:r>
          </w:p>
        </w:tc>
        <w:tc>
          <w:tcPr>
            <w:tcW w:w="74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30"/>
        </w:trPr>
        <w:tc>
          <w:tcPr>
            <w:tcW w:w="920" w:type="dxa"/>
            <w:vAlign w:val="bottom"/>
            <w:vMerge w:val="restart"/>
          </w:tcPr>
          <w:p>
            <w:pPr>
              <w:jc w:val="center"/>
              <w:ind w:right="190"/>
              <w:spacing w:after="0"/>
              <w:rPr>
                <w:sz w:val="20"/>
                <w:szCs w:val="20"/>
                <w:color w:val="auto"/>
              </w:rPr>
            </w:pPr>
            <w:r>
              <w:rPr>
                <w:rFonts w:ascii="Arial" w:cs="Arial" w:eastAsia="Arial" w:hAnsi="Arial"/>
                <w:sz w:val="18"/>
                <w:szCs w:val="18"/>
                <w:color w:val="auto"/>
                <w:w w:val="91"/>
              </w:rPr>
              <w:t>31.1</w:t>
            </w:r>
          </w:p>
        </w:tc>
        <w:tc>
          <w:tcPr>
            <w:tcW w:w="4320" w:type="dxa"/>
            <w:vAlign w:val="bottom"/>
            <w:gridSpan w:val="5"/>
          </w:tcPr>
          <w:p>
            <w:pPr>
              <w:spacing w:after="0"/>
              <w:rPr>
                <w:rFonts w:ascii="Arial" w:cs="Arial" w:eastAsia="Arial" w:hAnsi="Arial"/>
                <w:sz w:val="18"/>
                <w:szCs w:val="18"/>
                <w:color w:val="0000FF"/>
                <w:w w:val="94"/>
              </w:rPr>
            </w:pPr>
            <w:hyperlink w:anchor="page71">
              <w:r>
                <w:rPr>
                  <w:rFonts w:ascii="Arial" w:cs="Arial" w:eastAsia="Arial" w:hAnsi="Arial"/>
                  <w:sz w:val="18"/>
                  <w:szCs w:val="18"/>
                  <w:color w:val="0000FF"/>
                  <w:w w:val="94"/>
                </w:rPr>
                <w:t>Certification of John F. Sheridan, Chief Executive Officer,</w:t>
              </w:r>
            </w:hyperlink>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vMerge w:val="continue"/>
          </w:tcPr>
          <w:p>
            <w:pPr>
              <w:spacing w:after="0"/>
              <w:rPr>
                <w:sz w:val="11"/>
                <w:szCs w:val="11"/>
                <w:color w:val="auto"/>
              </w:rPr>
            </w:pPr>
          </w:p>
        </w:tc>
        <w:tc>
          <w:tcPr>
            <w:tcW w:w="4320" w:type="dxa"/>
            <w:vAlign w:val="bottom"/>
            <w:gridSpan w:val="5"/>
            <w:vMerge w:val="restart"/>
          </w:tcPr>
          <w:p>
            <w:pPr>
              <w:spacing w:after="0" w:line="196" w:lineRule="exact"/>
              <w:rPr>
                <w:rFonts w:ascii="Arial" w:cs="Arial" w:eastAsia="Arial" w:hAnsi="Arial"/>
                <w:sz w:val="18"/>
                <w:szCs w:val="18"/>
                <w:color w:val="0000FF"/>
                <w:w w:val="90"/>
              </w:rPr>
            </w:pPr>
            <w:hyperlink w:anchor="page71">
              <w:r>
                <w:rPr>
                  <w:rFonts w:ascii="Arial" w:cs="Arial" w:eastAsia="Arial" w:hAnsi="Arial"/>
                  <w:sz w:val="18"/>
                  <w:szCs w:val="18"/>
                  <w:color w:val="0000FF"/>
                  <w:w w:val="90"/>
                </w:rPr>
                <w:t>pursuant to Section 302 of the Sarbanes-Oxley Act of 2002.</w:t>
              </w:r>
            </w:hyperlink>
          </w:p>
        </w:tc>
        <w:tc>
          <w:tcPr>
            <w:tcW w:w="1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920" w:type="dxa"/>
            <w:vAlign w:val="bottom"/>
          </w:tcPr>
          <w:p>
            <w:pPr>
              <w:spacing w:after="0"/>
              <w:rPr>
                <w:sz w:val="5"/>
                <w:szCs w:val="5"/>
                <w:color w:val="auto"/>
              </w:rPr>
            </w:pPr>
          </w:p>
        </w:tc>
        <w:tc>
          <w:tcPr>
            <w:tcW w:w="4320" w:type="dxa"/>
            <w:vAlign w:val="bottom"/>
            <w:tcBorders>
              <w:bottom w:val="single" w:sz="8" w:color="0000FF"/>
            </w:tcBorders>
            <w:gridSpan w:val="5"/>
            <w:vMerge w:val="continue"/>
          </w:tcPr>
          <w:p>
            <w:pPr>
              <w:spacing w:after="0"/>
              <w:rPr>
                <w:sz w:val="5"/>
                <w:szCs w:val="5"/>
                <w:color w:val="auto"/>
              </w:rPr>
            </w:pPr>
          </w:p>
        </w:tc>
        <w:tc>
          <w:tcPr>
            <w:tcW w:w="1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920" w:type="dxa"/>
            <w:vAlign w:val="bottom"/>
            <w:vMerge w:val="restart"/>
          </w:tcPr>
          <w:p>
            <w:pPr>
              <w:jc w:val="center"/>
              <w:ind w:right="190"/>
              <w:spacing w:after="0"/>
              <w:rPr>
                <w:sz w:val="20"/>
                <w:szCs w:val="20"/>
                <w:color w:val="auto"/>
              </w:rPr>
            </w:pPr>
            <w:r>
              <w:rPr>
                <w:rFonts w:ascii="Arial" w:cs="Arial" w:eastAsia="Arial" w:hAnsi="Arial"/>
                <w:sz w:val="18"/>
                <w:szCs w:val="18"/>
                <w:color w:val="auto"/>
                <w:w w:val="91"/>
              </w:rPr>
              <w:t>31.2</w:t>
            </w:r>
          </w:p>
        </w:tc>
        <w:tc>
          <w:tcPr>
            <w:tcW w:w="4300" w:type="dxa"/>
            <w:vAlign w:val="bottom"/>
            <w:tcBorders>
              <w:bottom w:val="single" w:sz="8" w:color="0000FF"/>
            </w:tcBorders>
            <w:gridSpan w:val="4"/>
          </w:tcPr>
          <w:p>
            <w:pPr>
              <w:spacing w:after="0"/>
              <w:rPr>
                <w:rFonts w:ascii="Arial" w:cs="Arial" w:eastAsia="Arial" w:hAnsi="Arial"/>
                <w:sz w:val="18"/>
                <w:szCs w:val="18"/>
                <w:color w:val="0000FF"/>
                <w:w w:val="93"/>
              </w:rPr>
            </w:pPr>
            <w:hyperlink w:anchor="page72">
              <w:r>
                <w:rPr>
                  <w:rFonts w:ascii="Arial" w:cs="Arial" w:eastAsia="Arial" w:hAnsi="Arial"/>
                  <w:sz w:val="18"/>
                  <w:szCs w:val="18"/>
                  <w:color w:val="0000FF"/>
                  <w:w w:val="93"/>
                </w:rPr>
                <w:t>Certification of Leigh A. Vosseller, Chief Financial Officer,</w:t>
              </w:r>
            </w:hyperlink>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4320" w:type="dxa"/>
            <w:vAlign w:val="bottom"/>
            <w:gridSpan w:val="5"/>
            <w:vMerge w:val="restart"/>
          </w:tcPr>
          <w:p>
            <w:pPr>
              <w:spacing w:after="0" w:line="196" w:lineRule="exact"/>
              <w:rPr>
                <w:rFonts w:ascii="Arial" w:cs="Arial" w:eastAsia="Arial" w:hAnsi="Arial"/>
                <w:sz w:val="18"/>
                <w:szCs w:val="18"/>
                <w:color w:val="0000FF"/>
                <w:w w:val="90"/>
              </w:rPr>
            </w:pPr>
            <w:hyperlink w:anchor="page72">
              <w:r>
                <w:rPr>
                  <w:rFonts w:ascii="Arial" w:cs="Arial" w:eastAsia="Arial" w:hAnsi="Arial"/>
                  <w:sz w:val="18"/>
                  <w:szCs w:val="18"/>
                  <w:color w:val="0000FF"/>
                  <w:w w:val="90"/>
                </w:rPr>
                <w:t>pursuant to Section 302 of the Sarbanes-Oxley Act of 2002.</w:t>
              </w:r>
            </w:hyperlink>
          </w:p>
        </w:tc>
        <w:tc>
          <w:tcPr>
            <w:tcW w:w="1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920" w:type="dxa"/>
            <w:vAlign w:val="bottom"/>
          </w:tcPr>
          <w:p>
            <w:pPr>
              <w:spacing w:after="0"/>
              <w:rPr>
                <w:sz w:val="5"/>
                <w:szCs w:val="5"/>
                <w:color w:val="auto"/>
              </w:rPr>
            </w:pPr>
          </w:p>
        </w:tc>
        <w:tc>
          <w:tcPr>
            <w:tcW w:w="4320" w:type="dxa"/>
            <w:vAlign w:val="bottom"/>
            <w:tcBorders>
              <w:bottom w:val="single" w:sz="8" w:color="0000FF"/>
            </w:tcBorders>
            <w:gridSpan w:val="5"/>
            <w:vMerge w:val="continue"/>
          </w:tcPr>
          <w:p>
            <w:pPr>
              <w:spacing w:after="0"/>
              <w:rPr>
                <w:sz w:val="5"/>
                <w:szCs w:val="5"/>
                <w:color w:val="auto"/>
              </w:rPr>
            </w:pPr>
          </w:p>
        </w:tc>
        <w:tc>
          <w:tcPr>
            <w:tcW w:w="1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4320" w:type="dxa"/>
            <w:vAlign w:val="bottom"/>
            <w:gridSpan w:val="5"/>
          </w:tcPr>
          <w:p>
            <w:pPr>
              <w:spacing w:after="0"/>
              <w:rPr>
                <w:rFonts w:ascii="Arial" w:cs="Arial" w:eastAsia="Arial" w:hAnsi="Arial"/>
                <w:sz w:val="18"/>
                <w:szCs w:val="18"/>
                <w:color w:val="0000FF"/>
                <w:w w:val="94"/>
              </w:rPr>
            </w:pPr>
            <w:hyperlink w:anchor="page73">
              <w:r>
                <w:rPr>
                  <w:rFonts w:ascii="Arial" w:cs="Arial" w:eastAsia="Arial" w:hAnsi="Arial"/>
                  <w:sz w:val="18"/>
                  <w:szCs w:val="18"/>
                  <w:color w:val="0000FF"/>
                  <w:w w:val="94"/>
                </w:rPr>
                <w:t>Certification of John F. Sheridan, Chief Executive Officer,</w:t>
              </w:r>
            </w:hyperlink>
          </w:p>
        </w:tc>
        <w:tc>
          <w:tcPr>
            <w:tcW w:w="1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7"/>
              </w:rPr>
              <w:t>32.1**</w:t>
            </w:r>
          </w:p>
        </w:tc>
        <w:tc>
          <w:tcPr>
            <w:tcW w:w="40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w:anchor="page73">
              <w:r>
                <w:rPr>
                  <w:rFonts w:ascii="Arial" w:cs="Arial" w:eastAsia="Arial" w:hAnsi="Arial"/>
                  <w:sz w:val="18"/>
                  <w:szCs w:val="18"/>
                  <w:color w:val="0000FF"/>
                  <w:w w:val="88"/>
                </w:rPr>
                <w:t>pursuant to U.S.C. Section 1350, as adopted pursuant to</w:t>
              </w:r>
            </w:hyperlink>
          </w:p>
        </w:tc>
        <w:tc>
          <w:tcPr>
            <w:tcW w:w="160" w:type="dxa"/>
            <w:vAlign w:val="bottom"/>
            <w:tcBorders>
              <w:top w:val="single" w:sz="8" w:color="0000FF"/>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320" w:type="dxa"/>
            <w:vAlign w:val="bottom"/>
            <w:gridSpan w:val="5"/>
          </w:tcPr>
          <w:p>
            <w:pPr>
              <w:spacing w:after="0" w:line="196" w:lineRule="exact"/>
              <w:rPr>
                <w:rFonts w:ascii="Arial" w:cs="Arial" w:eastAsia="Arial" w:hAnsi="Arial"/>
                <w:sz w:val="18"/>
                <w:szCs w:val="18"/>
                <w:color w:val="0000FF"/>
              </w:rPr>
            </w:pPr>
            <w:hyperlink w:anchor="page73">
              <w:r>
                <w:rPr>
                  <w:rFonts w:ascii="Arial" w:cs="Arial" w:eastAsia="Arial" w:hAnsi="Arial"/>
                  <w:sz w:val="18"/>
                  <w:szCs w:val="18"/>
                  <w:color w:val="0000FF"/>
                </w:rPr>
                <w:t>Section 906 of the Sarbanes-Oxley Act of 2002.</w:t>
              </w:r>
            </w:hyperlink>
          </w:p>
        </w:tc>
        <w:tc>
          <w:tcPr>
            <w:tcW w:w="1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4300" w:type="dxa"/>
            <w:vAlign w:val="bottom"/>
            <w:tcBorders>
              <w:bottom w:val="single" w:sz="8" w:color="0000FF"/>
            </w:tcBorders>
            <w:gridSpan w:val="4"/>
          </w:tcPr>
          <w:p>
            <w:pPr>
              <w:spacing w:after="0"/>
              <w:rPr>
                <w:rFonts w:ascii="Arial" w:cs="Arial" w:eastAsia="Arial" w:hAnsi="Arial"/>
                <w:sz w:val="18"/>
                <w:szCs w:val="18"/>
                <w:color w:val="0000FF"/>
                <w:w w:val="93"/>
              </w:rPr>
            </w:pPr>
            <w:hyperlink w:anchor="page74">
              <w:r>
                <w:rPr>
                  <w:rFonts w:ascii="Arial" w:cs="Arial" w:eastAsia="Arial" w:hAnsi="Arial"/>
                  <w:sz w:val="18"/>
                  <w:szCs w:val="18"/>
                  <w:color w:val="0000FF"/>
                  <w:w w:val="93"/>
                </w:rPr>
                <w:t>Certification of Leigh A. Vosseller, Chief Financial Officer,</w:t>
              </w:r>
            </w:hyperlink>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7"/>
              </w:rPr>
              <w:t>32.2**</w:t>
            </w:r>
          </w:p>
        </w:tc>
        <w:tc>
          <w:tcPr>
            <w:tcW w:w="404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w:anchor="page74">
              <w:r>
                <w:rPr>
                  <w:rFonts w:ascii="Arial" w:cs="Arial" w:eastAsia="Arial" w:hAnsi="Arial"/>
                  <w:sz w:val="18"/>
                  <w:szCs w:val="18"/>
                  <w:color w:val="0000FF"/>
                  <w:w w:val="88"/>
                </w:rPr>
                <w:t>pursuant to U.S.C. Section 1350, as adopted pursuant to</w:t>
              </w:r>
            </w:hyperlink>
          </w:p>
        </w:tc>
        <w:tc>
          <w:tcPr>
            <w:tcW w:w="280" w:type="dxa"/>
            <w:vAlign w:val="bottom"/>
            <w:gridSpan w:val="3"/>
          </w:tcPr>
          <w:p>
            <w:pPr>
              <w:spacing w:after="0"/>
              <w:rPr>
                <w:sz w:val="17"/>
                <w:szCs w:val="17"/>
                <w:color w:val="auto"/>
              </w:rPr>
            </w:pPr>
          </w:p>
        </w:tc>
        <w:tc>
          <w:tcPr>
            <w:tcW w:w="1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320" w:type="dxa"/>
            <w:vAlign w:val="bottom"/>
            <w:gridSpan w:val="5"/>
          </w:tcPr>
          <w:p>
            <w:pPr>
              <w:spacing w:after="0" w:line="196" w:lineRule="exact"/>
              <w:rPr>
                <w:rFonts w:ascii="Arial" w:cs="Arial" w:eastAsia="Arial" w:hAnsi="Arial"/>
                <w:sz w:val="18"/>
                <w:szCs w:val="18"/>
                <w:color w:val="0000FF"/>
              </w:rPr>
            </w:pPr>
            <w:hyperlink w:anchor="page74">
              <w:r>
                <w:rPr>
                  <w:rFonts w:ascii="Arial" w:cs="Arial" w:eastAsia="Arial" w:hAnsi="Arial"/>
                  <w:sz w:val="18"/>
                  <w:szCs w:val="18"/>
                  <w:color w:val="0000FF"/>
                </w:rPr>
                <w:t>Section 906 of the Sarbanes-Oxley Act of 2002.</w:t>
              </w:r>
            </w:hyperlink>
          </w:p>
        </w:tc>
        <w:tc>
          <w:tcPr>
            <w:tcW w:w="1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-1474470</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724662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78" w:lineRule="exact"/>
        <w:rPr>
          <w:sz w:val="20"/>
          <w:szCs w:val="20"/>
          <w:color w:val="auto"/>
        </w:rPr>
      </w:pPr>
    </w:p>
    <w:p>
      <w:pPr>
        <w:sectPr>
          <w:pgSz w:w="11900" w:h="16838" w:orient="portrait"/>
          <w:cols w:equalWidth="0" w:num="2">
            <w:col w:w="9960" w:space="720"/>
            <w:col w:w="7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10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101.INS</w:t>
            </w: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Instance Document.</w:t>
            </w:r>
          </w:p>
        </w:tc>
        <w:tc>
          <w:tcPr>
            <w:tcW w:w="322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1060" w:type="dxa"/>
            <w:vAlign w:val="bottom"/>
          </w:tcPr>
          <w:p>
            <w:pPr>
              <w:jc w:val="center"/>
              <w:ind w:left="10"/>
              <w:spacing w:after="0"/>
              <w:rPr>
                <w:sz w:val="20"/>
                <w:szCs w:val="20"/>
                <w:color w:val="auto"/>
              </w:rPr>
            </w:pPr>
            <w:r>
              <w:rPr>
                <w:rFonts w:ascii="Arial" w:cs="Arial" w:eastAsia="Arial" w:hAnsi="Arial"/>
                <w:sz w:val="18"/>
                <w:szCs w:val="18"/>
                <w:color w:val="auto"/>
                <w:w w:val="93"/>
              </w:rPr>
              <w:t>101.SCH</w:t>
            </w:r>
          </w:p>
        </w:tc>
        <w:tc>
          <w:tcPr>
            <w:tcW w:w="714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3220" w:type="dxa"/>
            <w:vAlign w:val="bottom"/>
          </w:tcPr>
          <w:p>
            <w:pPr>
              <w:ind w:left="2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7"/>
              </w:rPr>
              <w:t>101.CAL</w:t>
            </w:r>
          </w:p>
        </w:tc>
        <w:tc>
          <w:tcPr>
            <w:tcW w:w="7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3220" w:type="dxa"/>
            <w:vAlign w:val="bottom"/>
            <w:tcBorders>
              <w:bottom w:val="single" w:sz="8" w:color="CCEEFF"/>
            </w:tcBorders>
            <w:shd w:val="clear" w:color="auto" w:fill="CCEEFF"/>
          </w:tcPr>
          <w:p>
            <w:pPr>
              <w:ind w:left="2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1060" w:type="dxa"/>
            <w:vAlign w:val="bottom"/>
          </w:tcPr>
          <w:p>
            <w:pPr>
              <w:jc w:val="center"/>
              <w:ind w:left="10"/>
              <w:spacing w:after="0"/>
              <w:rPr>
                <w:sz w:val="20"/>
                <w:szCs w:val="20"/>
                <w:color w:val="auto"/>
              </w:rPr>
            </w:pPr>
            <w:r>
              <w:rPr>
                <w:rFonts w:ascii="Arial" w:cs="Arial" w:eastAsia="Arial" w:hAnsi="Arial"/>
                <w:sz w:val="18"/>
                <w:szCs w:val="18"/>
                <w:color w:val="auto"/>
                <w:w w:val="90"/>
              </w:rPr>
              <w:t>101.DEF</w:t>
            </w:r>
          </w:p>
        </w:tc>
        <w:tc>
          <w:tcPr>
            <w:tcW w:w="714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3220" w:type="dxa"/>
            <w:vAlign w:val="bottom"/>
          </w:tcPr>
          <w:p>
            <w:pPr>
              <w:ind w:left="2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8"/>
              </w:rPr>
              <w:t>101.LAB</w:t>
            </w:r>
          </w:p>
        </w:tc>
        <w:tc>
          <w:tcPr>
            <w:tcW w:w="7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3220" w:type="dxa"/>
            <w:vAlign w:val="bottom"/>
            <w:tcBorders>
              <w:bottom w:val="single" w:sz="8" w:color="CCEEFF"/>
            </w:tcBorders>
            <w:shd w:val="clear" w:color="auto" w:fill="CCEEFF"/>
          </w:tcPr>
          <w:p>
            <w:pPr>
              <w:ind w:left="2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1060" w:type="dxa"/>
            <w:vAlign w:val="bottom"/>
          </w:tcPr>
          <w:p>
            <w:pPr>
              <w:jc w:val="center"/>
              <w:ind w:left="10"/>
              <w:spacing w:after="0"/>
              <w:rPr>
                <w:sz w:val="20"/>
                <w:szCs w:val="20"/>
                <w:color w:val="auto"/>
              </w:rPr>
            </w:pPr>
            <w:r>
              <w:rPr>
                <w:rFonts w:ascii="Arial" w:cs="Arial" w:eastAsia="Arial" w:hAnsi="Arial"/>
                <w:sz w:val="18"/>
                <w:szCs w:val="18"/>
                <w:color w:val="auto"/>
                <w:w w:val="88"/>
              </w:rPr>
              <w:t>101.PRE</w:t>
            </w:r>
          </w:p>
        </w:tc>
        <w:tc>
          <w:tcPr>
            <w:tcW w:w="714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3220" w:type="dxa"/>
            <w:vAlign w:val="bottom"/>
          </w:tcPr>
          <w:p>
            <w:pPr>
              <w:ind w:left="2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60" w:type="dxa"/>
            <w:vAlign w:val="bottom"/>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93"/>
              </w:rPr>
              <w:t>104</w:t>
            </w: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Cover Page Interactive Data File (embedded within the Inline</w:t>
            </w:r>
          </w:p>
        </w:tc>
        <w:tc>
          <w:tcPr>
            <w:tcW w:w="3220" w:type="dxa"/>
            <w:vAlign w:val="bottom"/>
            <w:vMerge w:val="restart"/>
            <w:shd w:val="clear" w:color="auto" w:fill="CCEEFF"/>
          </w:tcPr>
          <w:p>
            <w:pPr>
              <w:ind w:left="2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22"/>
        </w:trPr>
        <w:tc>
          <w:tcPr>
            <w:tcW w:w="1060" w:type="dxa"/>
            <w:vAlign w:val="bottom"/>
            <w:vMerge w:val="continue"/>
            <w:shd w:val="clear" w:color="auto" w:fill="CCEEFF"/>
          </w:tcPr>
          <w:p>
            <w:pPr>
              <w:spacing w:after="0"/>
              <w:rPr>
                <w:sz w:val="10"/>
                <w:szCs w:val="10"/>
                <w:color w:val="auto"/>
              </w:rPr>
            </w:pPr>
          </w:p>
        </w:tc>
        <w:tc>
          <w:tcPr>
            <w:tcW w:w="714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XBRL Document)</w:t>
            </w:r>
          </w:p>
        </w:tc>
        <w:tc>
          <w:tcPr>
            <w:tcW w:w="32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60" w:type="dxa"/>
            <w:vAlign w:val="bottom"/>
            <w:shd w:val="clear" w:color="auto" w:fill="CCEEFF"/>
          </w:tcPr>
          <w:p>
            <w:pPr>
              <w:spacing w:after="0"/>
              <w:rPr>
                <w:sz w:val="9"/>
                <w:szCs w:val="9"/>
                <w:color w:val="auto"/>
              </w:rPr>
            </w:pPr>
          </w:p>
        </w:tc>
        <w:tc>
          <w:tcPr>
            <w:tcW w:w="7140" w:type="dxa"/>
            <w:vAlign w:val="bottom"/>
            <w:vMerge w:val="continue"/>
            <w:shd w:val="clear" w:color="auto" w:fill="CCEEFF"/>
          </w:tcPr>
          <w:p>
            <w:pPr>
              <w:spacing w:after="0"/>
              <w:rPr>
                <w:sz w:val="9"/>
                <w:szCs w:val="9"/>
                <w:color w:val="auto"/>
              </w:rPr>
            </w:pPr>
          </w:p>
        </w:tc>
        <w:tc>
          <w:tcPr>
            <w:tcW w:w="3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060" w:type="dxa"/>
            <w:vAlign w:val="bottom"/>
            <w:shd w:val="clear" w:color="auto" w:fill="CCEEFF"/>
          </w:tcPr>
          <w:p>
            <w:pPr>
              <w:spacing w:after="0"/>
              <w:rPr>
                <w:sz w:val="2"/>
                <w:szCs w:val="2"/>
                <w:color w:val="auto"/>
              </w:rPr>
            </w:pPr>
          </w:p>
        </w:tc>
        <w:tc>
          <w:tcPr>
            <w:tcW w:w="714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right="80" w:hanging="332"/>
        <w:spacing w:after="0" w:line="257"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Tandem Diabetes Care, Inc.</w:t>
      </w:r>
    </w:p>
    <w:p>
      <w:pPr>
        <w:spacing w:after="0" w:line="360" w:lineRule="exact"/>
        <w:rPr>
          <w:sz w:val="20"/>
          <w:szCs w:val="20"/>
          <w:color w:val="auto"/>
        </w:rPr>
      </w:pPr>
    </w:p>
    <w:p>
      <w:pPr>
        <w:ind w:left="40"/>
        <w:spacing w:after="0"/>
        <w:tabs>
          <w:tab w:leader="none" w:pos="5960" w:val="left"/>
          <w:tab w:leader="none" w:pos="6420" w:val="left"/>
        </w:tabs>
        <w:rPr>
          <w:sz w:val="20"/>
          <w:szCs w:val="20"/>
          <w:color w:val="auto"/>
        </w:rPr>
      </w:pPr>
      <w:r>
        <w:rPr>
          <w:rFonts w:ascii="Arial" w:cs="Arial" w:eastAsia="Arial" w:hAnsi="Arial"/>
          <w:sz w:val="18"/>
          <w:szCs w:val="18"/>
          <w:color w:val="auto"/>
        </w:rPr>
        <w:t>Dated: November 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John F. Sheridan</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(on behalf of the registrant and as the registrant’s</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Executive Officer)</w:t>
      </w:r>
    </w:p>
    <w:p>
      <w:pPr>
        <w:spacing w:after="0" w:line="346" w:lineRule="exact"/>
        <w:rPr>
          <w:sz w:val="20"/>
          <w:szCs w:val="20"/>
          <w:color w:val="auto"/>
        </w:rPr>
      </w:pPr>
    </w:p>
    <w:p>
      <w:pPr>
        <w:ind w:left="40"/>
        <w:spacing w:after="0"/>
        <w:tabs>
          <w:tab w:leader="none" w:pos="5960" w:val="left"/>
          <w:tab w:leader="none" w:pos="6420" w:val="left"/>
        </w:tabs>
        <w:rPr>
          <w:sz w:val="20"/>
          <w:szCs w:val="20"/>
          <w:color w:val="auto"/>
        </w:rPr>
      </w:pPr>
      <w:r>
        <w:rPr>
          <w:rFonts w:ascii="Arial" w:cs="Arial" w:eastAsia="Arial" w:hAnsi="Arial"/>
          <w:sz w:val="18"/>
          <w:szCs w:val="18"/>
          <w:color w:val="auto"/>
        </w:rPr>
        <w:t>Dated: November 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Leigh A. Vosseller</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Executive Vice President, Chief Financial Officer and Treasurer</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(on behalf of the registrant and as the registrant’s</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20"/>
          </w:cols>
          <w:pgMar w:left="240" w:top="125"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F. Sheridan, certify that:</w:t>
      </w:r>
    </w:p>
    <w:p>
      <w:pPr>
        <w:spacing w:after="0" w:line="225"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2120" w:right="100" w:hanging="653"/>
        <w:spacing w:after="0" w:line="286" w:lineRule="auto"/>
        <w:tabs>
          <w:tab w:leader="none" w:pos="21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2120" w:right="220" w:hanging="653"/>
        <w:spacing w:after="0" w:line="286" w:lineRule="auto"/>
        <w:tabs>
          <w:tab w:leader="none" w:pos="21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120" w:right="20" w:hanging="653"/>
        <w:spacing w:after="0" w:line="264" w:lineRule="auto"/>
        <w:tabs>
          <w:tab w:leader="none" w:pos="21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2120" w:right="340" w:hanging="653"/>
        <w:spacing w:after="0" w:line="312" w:lineRule="auto"/>
        <w:tabs>
          <w:tab w:leader="none" w:pos="21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660" w:right="260" w:hanging="652"/>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2120" w:right="80" w:hanging="653"/>
        <w:spacing w:after="0" w:line="235" w:lineRule="auto"/>
        <w:tabs>
          <w:tab w:leader="none" w:pos="21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2120" w:right="100" w:hanging="653"/>
        <w:spacing w:after="0" w:line="246" w:lineRule="auto"/>
        <w:tabs>
          <w:tab w:leader="none" w:pos="21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Tandem Diabetes Care, Inc.</w:t>
      </w:r>
    </w:p>
    <w:p>
      <w:pPr>
        <w:spacing w:after="0" w:line="185" w:lineRule="exact"/>
        <w:rPr>
          <w:sz w:val="20"/>
          <w:szCs w:val="20"/>
          <w:color w:val="auto"/>
        </w:rPr>
      </w:pPr>
    </w:p>
    <w:p>
      <w:pPr>
        <w:ind w:left="6900"/>
        <w:spacing w:after="0"/>
        <w:tabs>
          <w:tab w:leader="none" w:pos="7320" w:val="left"/>
        </w:tabs>
        <w:rPr>
          <w:sz w:val="20"/>
          <w:szCs w:val="20"/>
          <w:color w:val="auto"/>
        </w:rPr>
      </w:pPr>
      <w:r>
        <w:rPr>
          <w:rFonts w:ascii="Arial" w:cs="Arial" w:eastAsia="Arial" w:hAnsi="Arial"/>
          <w:sz w:val="18"/>
          <w:szCs w:val="18"/>
          <w:color w:val="auto"/>
        </w:rPr>
        <w:t>By:</w:t>
        <w:tab/>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John F. Sheridan</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President, Chief Executive Officer</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4, 2019</w:t>
      </w:r>
    </w:p>
    <w:p>
      <w:pPr>
        <w:sectPr>
          <w:pgSz w:w="11900" w:h="16838" w:orient="portrait"/>
          <w:cols w:equalWidth="0" w:num="1">
            <w:col w:w="11420"/>
          </w:cols>
          <w:pgMar w:left="240" w:top="796"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Leigh A. Vosseller, certify that:</w:t>
      </w:r>
    </w:p>
    <w:p>
      <w:pPr>
        <w:spacing w:after="0" w:line="225"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2120" w:right="100" w:hanging="653"/>
        <w:spacing w:after="0" w:line="286" w:lineRule="auto"/>
        <w:tabs>
          <w:tab w:leader="none" w:pos="21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2120" w:right="220" w:hanging="653"/>
        <w:spacing w:after="0" w:line="308" w:lineRule="auto"/>
        <w:tabs>
          <w:tab w:leader="none" w:pos="21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w:t>
      </w:r>
    </w:p>
    <w:p>
      <w:pPr>
        <w:spacing w:after="0" w:line="146" w:lineRule="exact"/>
        <w:rPr>
          <w:rFonts w:ascii="Arial" w:cs="Arial" w:eastAsia="Arial" w:hAnsi="Arial"/>
          <w:sz w:val="17"/>
          <w:szCs w:val="17"/>
          <w:color w:val="auto"/>
        </w:rPr>
      </w:pPr>
    </w:p>
    <w:p>
      <w:pPr>
        <w:ind w:left="2120" w:right="20" w:hanging="653"/>
        <w:spacing w:after="0" w:line="264" w:lineRule="auto"/>
        <w:tabs>
          <w:tab w:leader="none" w:pos="2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2120" w:right="340" w:hanging="653"/>
        <w:spacing w:after="0" w:line="312" w:lineRule="auto"/>
        <w:tabs>
          <w:tab w:leader="none" w:pos="21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660" w:right="260" w:hanging="652"/>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2120" w:right="80" w:hanging="653"/>
        <w:spacing w:after="0" w:line="264" w:lineRule="auto"/>
        <w:tabs>
          <w:tab w:leader="none" w:pos="2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2120" w:right="100" w:hanging="653"/>
        <w:spacing w:after="0" w:line="277" w:lineRule="auto"/>
        <w:tabs>
          <w:tab w:leader="none" w:pos="2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Tandem Diabetes Care, Inc.</w:t>
      </w:r>
    </w:p>
    <w:p>
      <w:pPr>
        <w:spacing w:after="0" w:line="185" w:lineRule="exact"/>
        <w:rPr>
          <w:sz w:val="20"/>
          <w:szCs w:val="20"/>
          <w:color w:val="auto"/>
        </w:rPr>
      </w:pPr>
    </w:p>
    <w:p>
      <w:pPr>
        <w:ind w:left="6900"/>
        <w:spacing w:after="0"/>
        <w:tabs>
          <w:tab w:leader="none" w:pos="7320" w:val="left"/>
        </w:tabs>
        <w:rPr>
          <w:sz w:val="20"/>
          <w:szCs w:val="20"/>
          <w:color w:val="auto"/>
        </w:rPr>
      </w:pPr>
      <w:r>
        <w:rPr>
          <w:rFonts w:ascii="Arial" w:cs="Arial" w:eastAsia="Arial" w:hAnsi="Arial"/>
          <w:sz w:val="18"/>
          <w:szCs w:val="18"/>
          <w:color w:val="auto"/>
        </w:rPr>
        <w:t>By:</w:t>
        <w:tab/>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Leigh A. Vosseller</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7"/>
          <w:szCs w:val="17"/>
          <w:color w:val="auto"/>
        </w:rPr>
        <w:t>Executive Vice President, Chief Financial Officer and</w:t>
      </w:r>
    </w:p>
    <w:p>
      <w:pPr>
        <w:spacing w:after="0" w:line="35"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4, 2019</w:t>
      </w:r>
    </w:p>
    <w:p>
      <w:pPr>
        <w:sectPr>
          <w:pgSz w:w="11900" w:h="16838" w:orient="portrait"/>
          <w:cols w:equalWidth="0" w:num="1">
            <w:col w:w="11420"/>
          </w:cols>
          <w:pgMar w:left="240" w:top="796"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40" w:firstLine="1297"/>
        <w:spacing w:after="0" w:line="312" w:lineRule="auto"/>
        <w:rPr>
          <w:sz w:val="20"/>
          <w:szCs w:val="20"/>
          <w:color w:val="auto"/>
        </w:rPr>
      </w:pPr>
      <w:r>
        <w:rPr>
          <w:rFonts w:ascii="Arial" w:cs="Arial" w:eastAsia="Arial" w:hAnsi="Arial"/>
          <w:sz w:val="16"/>
          <w:szCs w:val="16"/>
          <w:color w:val="auto"/>
        </w:rPr>
        <w:t>In connection with the Quarterly Report on Form 10-Q of Tandem Diabetes Care, Inc. (the “Company”) for the period ended September 30, 2019, as filed with the Securities and Exchange Commission on the date hereof (the “Report”), I, John F. Sheridan, President and Chief Executive Officer of the Company, certify, pursuant to 18 U.S.C. Section 1350, as adopted pursuant to Section 906 of the Sarbanes-Oxley Act of 2002, that to my knowledge: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1.The Report fully complies with the requirements of Section 13(a) or 15(d) of the Securities Exchange Act of 1934, as amended; and</w:t>
      </w:r>
    </w:p>
    <w:p>
      <w:pPr>
        <w:spacing w:after="0" w:line="237" w:lineRule="exact"/>
        <w:rPr>
          <w:sz w:val="20"/>
          <w:szCs w:val="20"/>
          <w:color w:val="auto"/>
        </w:rPr>
      </w:pPr>
    </w:p>
    <w:p>
      <w:pPr>
        <w:ind w:left="1460" w:right="320" w:hanging="161"/>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 as of the dates and for the periods presented.</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November 4, 2019</w:t>
      </w:r>
      <w:r>
        <w:rPr>
          <w:sz w:val="20"/>
          <w:szCs w:val="20"/>
          <w:color w:val="auto"/>
        </w:rPr>
        <w:tab/>
      </w:r>
      <w:r>
        <w:rPr>
          <w:rFonts w:ascii="Arial" w:cs="Arial" w:eastAsia="Arial" w:hAnsi="Arial"/>
          <w:sz w:val="15"/>
          <w:szCs w:val="15"/>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John F. Sheridan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Chief Executive Officer</w:t>
      </w:r>
    </w:p>
    <w:p>
      <w:pPr>
        <w:spacing w:after="0" w:line="252" w:lineRule="exact"/>
        <w:rPr>
          <w:sz w:val="20"/>
          <w:szCs w:val="20"/>
          <w:color w:val="auto"/>
        </w:rPr>
      </w:pPr>
    </w:p>
    <w:p>
      <w:pPr>
        <w:ind w:right="60" w:firstLine="1297"/>
        <w:spacing w:after="0" w:line="30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foregoing certification is being furnished solely to accompany the Report pursuant to 18 U.S.C. § 1350, and is not being filed for</w:t>
      </w:r>
      <w:r>
        <w:rPr>
          <w:rFonts w:ascii="Arial" w:cs="Arial" w:eastAsia="Arial" w:hAnsi="Arial"/>
          <w:sz w:val="16"/>
          <w:szCs w:val="16"/>
          <w:color w:val="auto"/>
        </w:rPr>
        <w:t xml:space="preserve"> </w:t>
      </w:r>
      <w:r>
        <w:rPr>
          <w:rFonts w:ascii="Arial" w:cs="Arial" w:eastAsia="Arial" w:hAnsi="Arial"/>
          <w:sz w:val="16"/>
          <w:szCs w:val="16"/>
          <w:i w:val="1"/>
          <w:iCs w:val="1"/>
          <w:color w:val="auto"/>
        </w:rPr>
        <w:t>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In connection with the Quarterly Report on Form 10-Q of Tandem Diabetes Care, Inc. (the “Company”) for the period ended September 30, 2019, as filed with the Securities and Exchange Commission on the date hereof (the “Report”), I, Leigh A. Vosseller, Executive Vice President, Chief Financial Officer and Treasurer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1.The Report fully complies with the requirements of Section 13(a) or 15(d) of the Securities Exchange Act of 1934, as amended; and</w:t>
      </w:r>
    </w:p>
    <w:p>
      <w:pPr>
        <w:spacing w:after="0" w:line="237" w:lineRule="exact"/>
        <w:rPr>
          <w:sz w:val="20"/>
          <w:szCs w:val="20"/>
          <w:color w:val="auto"/>
        </w:rPr>
      </w:pPr>
    </w:p>
    <w:p>
      <w:pPr>
        <w:ind w:left="1460" w:right="320" w:hanging="161"/>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 as of the dates and for the periods presented.</w:t>
      </w:r>
    </w:p>
    <w:p>
      <w:pPr>
        <w:spacing w:after="0" w:line="333" w:lineRule="exact"/>
        <w:rPr>
          <w:sz w:val="20"/>
          <w:szCs w:val="20"/>
          <w:color w:val="auto"/>
        </w:rPr>
      </w:pPr>
    </w:p>
    <w:p>
      <w:pPr>
        <w:ind w:left="40"/>
        <w:spacing w:after="0"/>
        <w:tabs>
          <w:tab w:leader="none" w:pos="5500" w:val="left"/>
        </w:tabs>
        <w:rPr>
          <w:sz w:val="20"/>
          <w:szCs w:val="20"/>
          <w:color w:val="auto"/>
        </w:rPr>
      </w:pPr>
      <w:r>
        <w:rPr>
          <w:rFonts w:ascii="Arial" w:cs="Arial" w:eastAsia="Arial" w:hAnsi="Arial"/>
          <w:sz w:val="18"/>
          <w:szCs w:val="18"/>
          <w:color w:val="auto"/>
        </w:rPr>
        <w:t>Dated: November 4, 2019</w:t>
      </w:r>
      <w:r>
        <w:rPr>
          <w:sz w:val="20"/>
          <w:szCs w:val="20"/>
          <w:color w:val="auto"/>
        </w:rPr>
        <w:tab/>
      </w:r>
      <w:r>
        <w:rPr>
          <w:rFonts w:ascii="Arial" w:cs="Arial" w:eastAsia="Arial" w:hAnsi="Arial"/>
          <w:sz w:val="16"/>
          <w:szCs w:val="16"/>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Leigh A. Vosseller</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52" w:lineRule="exact"/>
        <w:rPr>
          <w:sz w:val="20"/>
          <w:szCs w:val="20"/>
          <w:color w:val="auto"/>
        </w:rPr>
      </w:pPr>
    </w:p>
    <w:p>
      <w:pPr>
        <w:ind w:right="60" w:firstLine="1297"/>
        <w:spacing w:after="0" w:line="302" w:lineRule="auto"/>
        <w:rPr>
          <w:sz w:val="20"/>
          <w:szCs w:val="20"/>
          <w:color w:val="auto"/>
        </w:rPr>
      </w:pPr>
      <w:r>
        <w:rPr>
          <w:rFonts w:ascii="Arial" w:cs="Arial" w:eastAsia="Arial" w:hAnsi="Arial"/>
          <w:sz w:val="16"/>
          <w:szCs w:val="16"/>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lvl w:ilvl="1">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2019-12-28T03:45:16Z</dcterms:created>
  <dcterms:modified xsi:type="dcterms:W3CDTF">2019-12-28T03:45:16Z</dcterms:modified>
</cp:coreProperties>
</file>