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5"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71" w:lineRule="exact"/>
        <w:rPr>
          <w:sz w:val="24"/>
          <w:szCs w:val="24"/>
          <w:color w:val="auto"/>
        </w:rPr>
      </w:pPr>
    </w:p>
    <w:p>
      <w:pPr>
        <w:ind w:left="600" w:hanging="430"/>
        <w:spacing w:after="0"/>
        <w:tabs>
          <w:tab w:leader="none" w:pos="6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62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12" w:lineRule="exact"/>
        <w:rPr>
          <w:sz w:val="24"/>
          <w:szCs w:val="24"/>
          <w:color w:val="auto"/>
        </w:rPr>
      </w:pPr>
    </w:p>
    <w:tbl>
      <w:tblPr>
        <w:tblLayout w:type="fixed"/>
        <w:tblInd w:w="540" w:type="dxa"/>
        <w:tblCellMar>
          <w:top w:w="0" w:type="dxa"/>
          <w:left w:w="0" w:type="dxa"/>
          <w:bottom w:w="0" w:type="dxa"/>
          <w:right w:w="0" w:type="dxa"/>
        </w:tblCellMar>
      </w:tblPr>
      <w:tr>
        <w:trPr>
          <w:trHeight w:val="225"/>
        </w:trPr>
        <w:tc>
          <w:tcPr>
            <w:tcW w:w="1080" w:type="dxa"/>
            <w:vAlign w:val="bottom"/>
          </w:tcPr>
          <w:p>
            <w:pPr>
              <w:spacing w:after="0"/>
              <w:rPr>
                <w:sz w:val="19"/>
                <w:szCs w:val="19"/>
                <w:color w:val="auto"/>
              </w:rPr>
            </w:pPr>
          </w:p>
        </w:tc>
        <w:tc>
          <w:tcPr>
            <w:tcW w:w="2360" w:type="dxa"/>
            <w:vAlign w:val="bottom"/>
            <w:gridSpan w:val="2"/>
          </w:tcPr>
          <w:p>
            <w:pPr>
              <w:jc w:val="center"/>
              <w:ind w:left="380"/>
              <w:spacing w:after="0"/>
              <w:rPr>
                <w:sz w:val="20"/>
                <w:szCs w:val="20"/>
                <w:color w:val="auto"/>
              </w:rPr>
            </w:pPr>
            <w:r>
              <w:rPr>
                <w:rFonts w:ascii="Arial" w:cs="Arial" w:eastAsia="Arial" w:hAnsi="Arial"/>
                <w:sz w:val="18"/>
                <w:szCs w:val="18"/>
                <w:b w:val="1"/>
                <w:bCs w:val="1"/>
                <w:color w:val="auto"/>
                <w:w w:val="93"/>
              </w:rPr>
              <w:t>Delaware</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80" w:type="dxa"/>
            <w:vAlign w:val="bottom"/>
            <w:gridSpan w:val="2"/>
          </w:tcPr>
          <w:p>
            <w:pPr>
              <w:jc w:val="right"/>
              <w:ind w:right="344"/>
              <w:spacing w:after="0"/>
              <w:rPr>
                <w:sz w:val="20"/>
                <w:szCs w:val="20"/>
                <w:color w:val="auto"/>
              </w:rPr>
            </w:pPr>
            <w:r>
              <w:rPr>
                <w:rFonts w:ascii="Arial" w:cs="Arial" w:eastAsia="Arial" w:hAnsi="Arial"/>
                <w:sz w:val="18"/>
                <w:szCs w:val="18"/>
                <w:b w:val="1"/>
                <w:bCs w:val="1"/>
                <w:color w:val="auto"/>
              </w:rPr>
              <w:t>20-4327508</w:t>
            </w:r>
          </w:p>
        </w:tc>
      </w:tr>
      <w:tr>
        <w:trPr>
          <w:trHeight w:val="144"/>
        </w:trPr>
        <w:tc>
          <w:tcPr>
            <w:tcW w:w="1080" w:type="dxa"/>
            <w:vAlign w:val="bottom"/>
          </w:tcPr>
          <w:p>
            <w:pPr>
              <w:spacing w:after="0"/>
              <w:rPr>
                <w:sz w:val="12"/>
                <w:szCs w:val="12"/>
                <w:color w:val="auto"/>
              </w:rPr>
            </w:pPr>
          </w:p>
        </w:tc>
        <w:tc>
          <w:tcPr>
            <w:tcW w:w="2360" w:type="dxa"/>
            <w:vAlign w:val="bottom"/>
            <w:gridSpan w:val="2"/>
          </w:tcPr>
          <w:p>
            <w:pPr>
              <w:jc w:val="center"/>
              <w:ind w:left="40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ind w:left="6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1080" w:type="dxa"/>
            <w:vAlign w:val="bottom"/>
          </w:tcPr>
          <w:p>
            <w:pPr>
              <w:spacing w:after="0"/>
              <w:rPr>
                <w:sz w:val="16"/>
                <w:szCs w:val="16"/>
                <w:color w:val="auto"/>
              </w:rPr>
            </w:pPr>
          </w:p>
        </w:tc>
        <w:tc>
          <w:tcPr>
            <w:tcW w:w="236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4"/>
              </w:rPr>
              <w:t>incorporation or organization)</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jc w:val="center"/>
              <w:ind w:left="704"/>
              <w:spacing w:after="0"/>
              <w:rPr>
                <w:sz w:val="20"/>
                <w:szCs w:val="20"/>
                <w:color w:val="auto"/>
              </w:rPr>
            </w:pPr>
            <w:r>
              <w:rPr>
                <w:rFonts w:ascii="Arial" w:cs="Arial" w:eastAsia="Arial" w:hAnsi="Arial"/>
                <w:sz w:val="14"/>
                <w:szCs w:val="14"/>
                <w:b w:val="1"/>
                <w:bCs w:val="1"/>
                <w:color w:val="auto"/>
                <w:w w:val="96"/>
              </w:rPr>
              <w:t>Identification No.)</w:t>
            </w:r>
          </w:p>
        </w:tc>
      </w:tr>
      <w:tr>
        <w:trPr>
          <w:trHeight w:val="225"/>
        </w:trPr>
        <w:tc>
          <w:tcPr>
            <w:tcW w:w="1080" w:type="dxa"/>
            <w:vAlign w:val="bottom"/>
          </w:tcPr>
          <w:p>
            <w:pPr>
              <w:spacing w:after="0"/>
              <w:rPr>
                <w:sz w:val="19"/>
                <w:szCs w:val="19"/>
                <w:color w:val="auto"/>
              </w:rPr>
            </w:pPr>
          </w:p>
        </w:tc>
        <w:tc>
          <w:tcPr>
            <w:tcW w:w="2360" w:type="dxa"/>
            <w:vAlign w:val="bottom"/>
            <w:gridSpan w:val="2"/>
          </w:tcPr>
          <w:p>
            <w:pPr>
              <w:jc w:val="center"/>
              <w:ind w:left="380"/>
              <w:spacing w:after="0"/>
              <w:rPr>
                <w:sz w:val="20"/>
                <w:szCs w:val="20"/>
                <w:color w:val="auto"/>
              </w:rPr>
            </w:pPr>
            <w:r>
              <w:rPr>
                <w:rFonts w:ascii="Arial" w:cs="Arial" w:eastAsia="Arial" w:hAnsi="Arial"/>
                <w:sz w:val="18"/>
                <w:szCs w:val="18"/>
                <w:b w:val="1"/>
                <w:bCs w:val="1"/>
                <w:color w:val="auto"/>
                <w:w w:val="87"/>
              </w:rPr>
              <w:t>11075 Roselle Street</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80" w:type="dxa"/>
            <w:vAlign w:val="bottom"/>
            <w:gridSpan w:val="2"/>
          </w:tcPr>
          <w:p>
            <w:pPr>
              <w:jc w:val="right"/>
              <w:ind w:right="544"/>
              <w:spacing w:after="0"/>
              <w:rPr>
                <w:sz w:val="20"/>
                <w:szCs w:val="20"/>
                <w:color w:val="auto"/>
              </w:rPr>
            </w:pPr>
            <w:r>
              <w:rPr>
                <w:rFonts w:ascii="Arial" w:cs="Arial" w:eastAsia="Arial" w:hAnsi="Arial"/>
                <w:sz w:val="18"/>
                <w:szCs w:val="18"/>
                <w:b w:val="1"/>
                <w:bCs w:val="1"/>
                <w:color w:val="auto"/>
              </w:rPr>
              <w:t>92121</w:t>
            </w:r>
          </w:p>
        </w:tc>
      </w:tr>
      <w:tr>
        <w:trPr>
          <w:trHeight w:val="230"/>
        </w:trPr>
        <w:tc>
          <w:tcPr>
            <w:tcW w:w="1080" w:type="dxa"/>
            <w:vAlign w:val="bottom"/>
          </w:tcPr>
          <w:p>
            <w:pPr>
              <w:spacing w:after="0"/>
              <w:rPr>
                <w:sz w:val="19"/>
                <w:szCs w:val="19"/>
                <w:color w:val="auto"/>
              </w:rPr>
            </w:pPr>
          </w:p>
        </w:tc>
        <w:tc>
          <w:tcPr>
            <w:tcW w:w="2360" w:type="dxa"/>
            <w:vAlign w:val="bottom"/>
            <w:gridSpan w:val="2"/>
          </w:tcPr>
          <w:p>
            <w:pPr>
              <w:ind w:left="640"/>
              <w:spacing w:after="0"/>
              <w:rPr>
                <w:sz w:val="20"/>
                <w:szCs w:val="20"/>
                <w:color w:val="auto"/>
              </w:rPr>
            </w:pPr>
            <w:r>
              <w:rPr>
                <w:rFonts w:ascii="Arial" w:cs="Arial" w:eastAsia="Arial" w:hAnsi="Arial"/>
                <w:sz w:val="18"/>
                <w:szCs w:val="18"/>
                <w:b w:val="1"/>
                <w:bCs w:val="1"/>
                <w:color w:val="auto"/>
                <w:w w:val="93"/>
              </w:rPr>
              <w:t>San Diego, California</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jc w:val="center"/>
              <w:ind w:left="704"/>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1080" w:type="dxa"/>
            <w:vAlign w:val="bottom"/>
          </w:tcPr>
          <w:p>
            <w:pPr>
              <w:spacing w:after="0"/>
              <w:rPr>
                <w:sz w:val="16"/>
                <w:szCs w:val="16"/>
                <w:color w:val="auto"/>
              </w:rPr>
            </w:pPr>
          </w:p>
        </w:tc>
        <w:tc>
          <w:tcPr>
            <w:tcW w:w="5720" w:type="dxa"/>
            <w:vAlign w:val="bottom"/>
            <w:gridSpan w:val="5"/>
          </w:tcPr>
          <w:p>
            <w:pPr>
              <w:jc w:val="center"/>
              <w:ind w:right="29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00"/>
        </w:trPr>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(858) 366-6900</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234"/>
        </w:trPr>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gridSpan w:val="6"/>
          </w:tcPr>
          <w:p>
            <w:pPr>
              <w:jc w:val="center"/>
              <w:ind w:right="138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10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Trading Symbol(s)</w:t>
            </w:r>
          </w:p>
        </w:tc>
        <w:tc>
          <w:tcPr>
            <w:tcW w:w="25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700" w:type="dxa"/>
            <w:vAlign w:val="bottom"/>
          </w:tcPr>
          <w:p>
            <w:pPr>
              <w:spacing w:after="0"/>
              <w:rPr>
                <w:sz w:val="21"/>
                <w:szCs w:val="21"/>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rPr>
              <w:t>TNDM</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67"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1340"/>
              <w:spacing w:after="0"/>
              <w:rPr>
                <w:sz w:val="20"/>
                <w:szCs w:val="20"/>
                <w:color w:val="auto"/>
              </w:rPr>
            </w:pPr>
            <w:r>
              <w:rPr>
                <w:rFonts w:ascii="Arial" w:cs="Arial" w:eastAsia="Arial" w:hAnsi="Arial"/>
                <w:sz w:val="14"/>
                <w:szCs w:val="14"/>
                <w:color w:val="auto"/>
              </w:rPr>
              <w:t>x</w:t>
            </w:r>
          </w:p>
        </w:tc>
        <w:tc>
          <w:tcPr>
            <w:tcW w:w="4020" w:type="dxa"/>
            <w:vAlign w:val="bottom"/>
          </w:tcPr>
          <w:p>
            <w:pPr>
              <w:ind w:left="124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24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20" w:type="dxa"/>
            <w:vAlign w:val="bottom"/>
          </w:tcPr>
          <w:p>
            <w:pPr>
              <w:ind w:left="124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jc w:val="both"/>
        <w:ind w:right="54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820"/>
        <w:spacing w:after="0"/>
        <w:rPr>
          <w:sz w:val="20"/>
          <w:szCs w:val="20"/>
          <w:color w:val="auto"/>
        </w:rPr>
      </w:pPr>
      <w:r>
        <w:rPr>
          <w:rFonts w:ascii="Arial" w:cs="Arial" w:eastAsia="Arial" w:hAnsi="Arial"/>
          <w:sz w:val="14"/>
          <w:szCs w:val="14"/>
          <w:color w:val="auto"/>
        </w:rPr>
        <w:t>As of April 30, 2021, there were 62,637,925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89535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94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9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Information</w:t>
            </w:r>
          </w:p>
        </w:tc>
        <w:tc>
          <w:tcPr>
            <w:tcW w:w="500" w:type="dxa"/>
            <w:vAlign w:val="bottom"/>
            <w:shd w:val="clear" w:color="auto" w:fill="CCEEFF"/>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9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Condensed Consolidated Balance Sheets at March 31, 2021 (Unaudited) and December 31, 2020</w:t>
            </w:r>
          </w:p>
        </w:tc>
        <w:tc>
          <w:tcPr>
            <w:tcW w:w="500" w:type="dxa"/>
            <w:vAlign w:val="bottom"/>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940" w:type="dxa"/>
            <w:vAlign w:val="bottom"/>
          </w:tcPr>
          <w:p>
            <w:pPr>
              <w:ind w:left="140"/>
              <w:spacing w:after="0" w:line="176" w:lineRule="exact"/>
              <w:rPr>
                <w:sz w:val="20"/>
                <w:szCs w:val="20"/>
                <w:color w:val="auto"/>
              </w:rPr>
            </w:pPr>
            <w:r>
              <w:rPr>
                <w:rFonts w:ascii="Arial" w:cs="Arial" w:eastAsia="Arial" w:hAnsi="Arial"/>
                <w:sz w:val="18"/>
                <w:szCs w:val="18"/>
                <w:color w:val="auto"/>
                <w:w w:val="92"/>
              </w:rPr>
              <w:t>Condensed Consolidated Statements of Operations and Comprehensive Loss for the Three Months Ended March 31, 2021 and 2020</w:t>
            </w:r>
          </w:p>
        </w:tc>
        <w:tc>
          <w:tcPr>
            <w:tcW w:w="50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(Unaudited)</w:t>
            </w:r>
          </w:p>
        </w:tc>
        <w:tc>
          <w:tcPr>
            <w:tcW w:w="5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Condensed Consolidated Statements of Stockholders’ Equity for the Three Months Ended March 31, 2021 and 2020 (Unaudited)</w:t>
            </w:r>
          </w:p>
        </w:tc>
        <w:tc>
          <w:tcPr>
            <w:tcW w:w="500" w:type="dxa"/>
            <w:vAlign w:val="bottom"/>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Condensed Consolidated Statements of Cash Flows for the Three Months Ended March 31, 2021 and 2020 (Unaudited)</w:t>
            </w:r>
          </w:p>
        </w:tc>
        <w:tc>
          <w:tcPr>
            <w:tcW w:w="5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to Unaudited Condensed Consolidated Financial Statements</w:t>
            </w:r>
          </w:p>
        </w:tc>
        <w:tc>
          <w:tcPr>
            <w:tcW w:w="500" w:type="dxa"/>
            <w:vAlign w:val="bottom"/>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99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500" w:type="dxa"/>
            <w:vAlign w:val="bottom"/>
            <w:shd w:val="clear" w:color="auto" w:fill="CCEEFF"/>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9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5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9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99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5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500" w:type="dxa"/>
            <w:vAlign w:val="bottom"/>
            <w:shd w:val="clear" w:color="auto" w:fill="CCEEFF"/>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9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rFonts w:ascii="Arial" w:cs="Arial" w:eastAsia="Arial" w:hAnsi="Arial"/>
                <w:sz w:val="18"/>
                <w:szCs w:val="18"/>
                <w:color w:val="auto"/>
              </w:rPr>
            </w:pPr>
            <w:hyperlink w:anchor="page75">
              <w:r>
                <w:rPr>
                  <w:rFonts w:ascii="Arial" w:cs="Arial" w:eastAsia="Arial" w:hAnsi="Arial"/>
                  <w:sz w:val="18"/>
                  <w:szCs w:val="18"/>
                  <w:color w:val="auto"/>
                </w:rPr>
                <w:t>Item 6</w:t>
              </w:r>
            </w:hyperlink>
          </w:p>
        </w:tc>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500" w:type="dxa"/>
            <w:vAlign w:val="bottom"/>
            <w:shd w:val="clear" w:color="auto" w:fill="CCEEFF"/>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76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31"/>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94,613</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392,646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390,323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63,721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637,235</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50,022</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716,415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Employee-related liabilities</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34,159</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Common stock warrants</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103,852</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 net - long-term</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liabilities - long-term</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440,859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350,110</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89"/>
              </w:rPr>
              <w:t>Common stock, $0.001 par value; 200,000 shares authorized, 62,571 and 62,335 shares issued and outstanding at</w:t>
            </w: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March 31, 2021 (unaudited) and December 31, 2020, respectively.</w:t>
            </w:r>
          </w:p>
        </w:tc>
        <w:tc>
          <w:tcPr>
            <w:tcW w:w="200" w:type="dxa"/>
            <w:vAlign w:val="bottom"/>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968,450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1,025,233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(655,205)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(659,210)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313,414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366,305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716,415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580" w:type="dxa"/>
            <w:vAlign w:val="bottom"/>
            <w:tcBorders>
              <w:bottom w:val="single" w:sz="8" w:color="CFF0FC"/>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r>
      <w:tr>
        <w:trPr>
          <w:trHeight w:val="224"/>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97,926</w:t>
            </w:r>
          </w:p>
        </w:tc>
        <w:tc>
          <w:tcPr>
            <w:tcW w:w="100" w:type="dxa"/>
            <w:vAlign w:val="bottom"/>
            <w:shd w:val="clear" w:color="auto" w:fill="CFF0FC"/>
          </w:tcPr>
          <w:p>
            <w:pPr>
              <w:spacing w:after="0"/>
              <w:rPr>
                <w:sz w:val="19"/>
                <w:szCs w:val="19"/>
                <w:color w:val="auto"/>
              </w:rPr>
            </w:pPr>
          </w:p>
        </w:tc>
      </w:tr>
      <w:tr>
        <w:trPr>
          <w:trHeight w:val="229"/>
        </w:trPr>
        <w:tc>
          <w:tcPr>
            <w:tcW w:w="85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67,750</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73,287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50,261</w:t>
            </w:r>
          </w:p>
        </w:tc>
        <w:tc>
          <w:tcPr>
            <w:tcW w:w="100" w:type="dxa"/>
            <w:vAlign w:val="bottom"/>
            <w:shd w:val="clear" w:color="auto" w:fill="CFF0FC"/>
          </w:tcPr>
          <w:p>
            <w:pPr>
              <w:spacing w:after="0"/>
              <w:rPr>
                <w:sz w:val="19"/>
                <w:szCs w:val="19"/>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49,717</w:t>
            </w:r>
          </w:p>
        </w:tc>
        <w:tc>
          <w:tcPr>
            <w:tcW w:w="100" w:type="dxa"/>
            <w:vAlign w:val="bottom"/>
            <w:shd w:val="clear" w:color="auto" w:fill="CFF0FC"/>
          </w:tcPr>
          <w:p>
            <w:pPr>
              <w:spacing w:after="0"/>
              <w:rPr>
                <w:sz w:val="19"/>
                <w:szCs w:val="19"/>
                <w:color w:val="auto"/>
              </w:rPr>
            </w:pPr>
          </w:p>
        </w:tc>
      </w:tr>
      <w:tr>
        <w:trPr>
          <w:trHeight w:val="230"/>
        </w:trPr>
        <w:tc>
          <w:tcPr>
            <w:tcW w:w="8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14,117</w:t>
            </w:r>
          </w:p>
        </w:tc>
        <w:tc>
          <w:tcPr>
            <w:tcW w:w="10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76,524</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63,834</w:t>
            </w:r>
          </w:p>
        </w:tc>
        <w:tc>
          <w:tcPr>
            <w:tcW w:w="100" w:type="dxa"/>
            <w:vAlign w:val="bottom"/>
            <w:shd w:val="clear" w:color="auto" w:fill="CFF0FC"/>
          </w:tcPr>
          <w:p>
            <w:pPr>
              <w:spacing w:after="0"/>
              <w:rPr>
                <w:sz w:val="19"/>
                <w:szCs w:val="19"/>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tcPr>
          <w:p>
            <w:pPr>
              <w:spacing w:after="0"/>
              <w:rPr>
                <w:sz w:val="19"/>
                <w:szCs w:val="19"/>
                <w:color w:val="auto"/>
              </w:rPr>
            </w:pPr>
          </w:p>
        </w:tc>
      </w:tr>
      <w:tr>
        <w:trPr>
          <w:trHeight w:val="229"/>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58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r>
      <w:tr>
        <w:trPr>
          <w:trHeight w:val="229"/>
        </w:trPr>
        <w:tc>
          <w:tcPr>
            <w:tcW w:w="8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Change in fair value of common stock warrants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9"/>
                <w:szCs w:val="19"/>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19"/>
                <w:szCs w:val="19"/>
                <w:color w:val="auto"/>
              </w:rPr>
            </w:pPr>
          </w:p>
        </w:tc>
      </w:tr>
      <w:tr>
        <w:trPr>
          <w:trHeight w:val="230"/>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tcPr>
          <w:p>
            <w:pPr>
              <w:spacing w:after="0"/>
              <w:rPr>
                <w:sz w:val="19"/>
                <w:szCs w:val="19"/>
                <w:color w:val="auto"/>
              </w:rPr>
            </w:pPr>
          </w:p>
        </w:tc>
      </w:tr>
      <w:tr>
        <w:trPr>
          <w:trHeight w:val="20"/>
        </w:trPr>
        <w:tc>
          <w:tcPr>
            <w:tcW w:w="85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7"/>
        </w:trPr>
        <w:tc>
          <w:tcPr>
            <w:tcW w:w="8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8580" w:type="dxa"/>
            <w:vAlign w:val="bottom"/>
          </w:tcPr>
          <w:p>
            <w:pPr>
              <w:ind w:left="220"/>
              <w:spacing w:after="0"/>
              <w:rPr>
                <w:sz w:val="20"/>
                <w:szCs w:val="20"/>
                <w:color w:val="auto"/>
              </w:rPr>
            </w:pPr>
            <w:r>
              <w:rPr>
                <w:rFonts w:ascii="Arial" w:cs="Arial" w:eastAsia="Arial" w:hAnsi="Arial"/>
                <w:sz w:val="18"/>
                <w:szCs w:val="18"/>
                <w:color w:val="auto"/>
              </w:rPr>
              <w:t>Unrealized gain (loss) on short-term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29"/>
        </w:trPr>
        <w:tc>
          <w:tcPr>
            <w:tcW w:w="8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 loss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19"/>
                <w:szCs w:val="19"/>
                <w:color w:val="auto"/>
              </w:rPr>
            </w:pPr>
          </w:p>
        </w:tc>
      </w:tr>
      <w:tr>
        <w:trPr>
          <w:trHeight w:val="20"/>
        </w:trPr>
        <w:tc>
          <w:tcPr>
            <w:tcW w:w="85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37"/>
        </w:trPr>
        <w:tc>
          <w:tcPr>
            <w:tcW w:w="8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3"/>
        </w:trPr>
        <w:tc>
          <w:tcPr>
            <w:tcW w:w="858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r>
      <w:tr>
        <w:trPr>
          <w:trHeight w:val="20"/>
        </w:trPr>
        <w:tc>
          <w:tcPr>
            <w:tcW w:w="85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48"/>
        </w:trPr>
        <w:tc>
          <w:tcPr>
            <w:tcW w:w="8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62,448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8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16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382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62,335</w:t>
            </w:r>
          </w:p>
        </w:tc>
        <w:tc>
          <w:tcPr>
            <w:tcW w:w="10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62</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1,025,233</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(659,210)</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366,305</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line="189" w:lineRule="exact"/>
              <w:rPr>
                <w:sz w:val="20"/>
                <w:szCs w:val="20"/>
                <w:color w:val="auto"/>
              </w:rPr>
            </w:pPr>
            <w:r>
              <w:rPr>
                <w:rFonts w:ascii="Arial" w:cs="Arial" w:eastAsia="Arial" w:hAnsi="Arial"/>
                <w:sz w:val="14"/>
                <w:szCs w:val="14"/>
                <w:color w:val="auto"/>
              </w:rPr>
              <w:t>Effect of change in accounting for convertible debt</w:t>
            </w:r>
            <w:r>
              <w:rPr>
                <w:rFonts w:ascii="Arial" w:cs="Arial" w:eastAsia="Arial" w:hAnsi="Arial"/>
                <w:sz w:val="18"/>
                <w:szCs w:val="18"/>
                <w:color w:val="auto"/>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(76,754)</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3,136</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12,434</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13,014</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(5,044)</w:t>
            </w:r>
          </w:p>
        </w:tc>
        <w:tc>
          <w:tcPr>
            <w:tcW w:w="0" w:type="dxa"/>
            <w:vAlign w:val="bottom"/>
          </w:tcPr>
          <w:p>
            <w:pPr>
              <w:spacing w:after="0"/>
              <w:rPr>
                <w:sz w:val="1"/>
                <w:szCs w:val="1"/>
                <w:color w:val="auto"/>
              </w:rPr>
            </w:pP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62,571</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968,450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(655,205)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313,414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2"/>
                <w:szCs w:val="2"/>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
                <w:szCs w:val="2"/>
                <w:color w:val="auto"/>
              </w:rPr>
            </w:pPr>
          </w:p>
        </w:tc>
        <w:tc>
          <w:tcPr>
            <w:tcW w:w="116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59,396</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59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819,626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(624,828)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11,475</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(14,867)</w:t>
            </w:r>
          </w:p>
        </w:tc>
        <w:tc>
          <w:tcPr>
            <w:tcW w:w="0" w:type="dxa"/>
            <w:vAlign w:val="bottom"/>
          </w:tcPr>
          <w:p>
            <w:pPr>
              <w:spacing w:after="0"/>
              <w:rPr>
                <w:sz w:val="1"/>
                <w:szCs w:val="1"/>
                <w:color w:val="auto"/>
              </w:rPr>
            </w:pPr>
          </w:p>
        </w:tc>
      </w:tr>
      <w:tr>
        <w:trPr>
          <w:trHeight w:val="211"/>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847,056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(639,695)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207,176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right="480" w:hanging="252"/>
        <w:spacing w:after="0" w:line="275" w:lineRule="auto"/>
        <w:tabs>
          <w:tab w:leader="none" w:pos="24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Company adopted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effective January 1, 2021 (see Note 2, “Summary of Significant Accounting Policies”).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(5,044)</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(14,867)</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provided (used) by operating activities: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3,485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Provision for expected credit losses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Provision (recovery) for inventory obsolescence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Change in fair value of common stock warrants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premium (discount) on short-term investments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12,947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w:t>
            </w:r>
          </w:p>
        </w:tc>
        <w:tc>
          <w:tcPr>
            <w:tcW w:w="0" w:type="dxa"/>
            <w:vAlign w:val="bottom"/>
          </w:tcPr>
          <w:p>
            <w:pPr>
              <w:spacing w:after="0"/>
              <w:rPr>
                <w:sz w:val="1"/>
                <w:szCs w:val="1"/>
                <w:color w:val="auto"/>
              </w:rPr>
            </w:pPr>
          </w:p>
        </w:tc>
      </w:tr>
      <w:tr>
        <w:trPr>
          <w:trHeight w:val="186"/>
        </w:trPr>
        <w:tc>
          <w:tcPr>
            <w:tcW w:w="844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(11,095)</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86"/>
        </w:trPr>
        <w:tc>
          <w:tcPr>
            <w:tcW w:w="8440" w:type="dxa"/>
            <w:vAlign w:val="bottom"/>
          </w:tcPr>
          <w:p>
            <w:pPr>
              <w:ind w:left="46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w:t>
            </w:r>
          </w:p>
        </w:tc>
        <w:tc>
          <w:tcPr>
            <w:tcW w:w="0" w:type="dxa"/>
            <w:vAlign w:val="bottom"/>
          </w:tcPr>
          <w:p>
            <w:pPr>
              <w:spacing w:after="0"/>
              <w:rPr>
                <w:sz w:val="1"/>
                <w:szCs w:val="1"/>
                <w:color w:val="auto"/>
              </w:rPr>
            </w:pPr>
          </w:p>
        </w:tc>
      </w:tr>
      <w:tr>
        <w:trPr>
          <w:trHeight w:val="186"/>
        </w:trPr>
        <w:tc>
          <w:tcPr>
            <w:tcW w:w="8440" w:type="dxa"/>
            <w:vAlign w:val="bottom"/>
          </w:tcPr>
          <w:p>
            <w:pPr>
              <w:ind w:left="46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Employee-related liabilities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w:t>
            </w:r>
          </w:p>
        </w:tc>
        <w:tc>
          <w:tcPr>
            <w:tcW w:w="0" w:type="dxa"/>
            <w:vAlign w:val="bottom"/>
          </w:tcPr>
          <w:p>
            <w:pPr>
              <w:spacing w:after="0"/>
              <w:rPr>
                <w:sz w:val="1"/>
                <w:szCs w:val="1"/>
                <w:color w:val="auto"/>
              </w:rPr>
            </w:pPr>
          </w:p>
        </w:tc>
      </w:tr>
      <w:tr>
        <w:trPr>
          <w:trHeight w:val="186"/>
        </w:trPr>
        <w:tc>
          <w:tcPr>
            <w:tcW w:w="844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(used) by operating activities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(20,631)</w:t>
            </w:r>
          </w:p>
        </w:tc>
        <w:tc>
          <w:tcPr>
            <w:tcW w:w="0" w:type="dxa"/>
            <w:vAlign w:val="bottom"/>
          </w:tcPr>
          <w:p>
            <w:pPr>
              <w:spacing w:after="0"/>
              <w:rPr>
                <w:sz w:val="1"/>
                <w:szCs w:val="1"/>
                <w:color w:val="auto"/>
              </w:rPr>
            </w:pPr>
          </w:p>
        </w:tc>
      </w:tr>
      <w:tr>
        <w:trPr>
          <w:trHeight w:val="188"/>
        </w:trPr>
        <w:tc>
          <w:tcPr>
            <w:tcW w:w="84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Purchases of short-term investments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(9,727)</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Proceeds from maturities of short-term investments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140,200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30,859</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short-term investments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18,550</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(6,766)</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32,916</w:t>
            </w:r>
          </w:p>
        </w:tc>
        <w:tc>
          <w:tcPr>
            <w:tcW w:w="0" w:type="dxa"/>
            <w:vAlign w:val="bottom"/>
          </w:tcPr>
          <w:p>
            <w:pPr>
              <w:spacing w:after="0"/>
              <w:rPr>
                <w:sz w:val="1"/>
                <w:szCs w:val="1"/>
                <w:color w:val="auto"/>
              </w:rPr>
            </w:pPr>
          </w:p>
        </w:tc>
      </w:tr>
      <w:tr>
        <w:trPr>
          <w:trHeight w:val="188"/>
        </w:trPr>
        <w:tc>
          <w:tcPr>
            <w:tcW w:w="84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common stock under Company stock plans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exercise of common stock warrants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11,481</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foreign exchange rate changes on cash</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23,310</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94,613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51,175</w:t>
            </w:r>
          </w:p>
        </w:tc>
        <w:tc>
          <w:tcPr>
            <w:tcW w:w="0" w:type="dxa"/>
            <w:vAlign w:val="bottom"/>
          </w:tcPr>
          <w:p>
            <w:pPr>
              <w:spacing w:after="0"/>
              <w:rPr>
                <w:sz w:val="1"/>
                <w:szCs w:val="1"/>
                <w:color w:val="auto"/>
              </w:rPr>
            </w:pPr>
          </w:p>
        </w:tc>
      </w:tr>
      <w:tr>
        <w:trPr>
          <w:trHeight w:val="211"/>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120,791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74,485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15,087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20"/>
                <w:szCs w:val="20"/>
                <w:color w:val="auto"/>
              </w:rPr>
            </w:pPr>
            <w:r>
              <w:rPr>
                <w:rFonts w:ascii="Arial" w:cs="Arial" w:eastAsia="Arial" w:hAnsi="Arial"/>
                <w:sz w:val="14"/>
                <w:szCs w:val="14"/>
                <w:color w:val="auto"/>
              </w:rPr>
              <w:t>Property and equipment included in accounts payable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auto"/>
        </w:rPr>
        <w:t>Tandem Diabetes Care, Inc. is a medical device company with a positively different approach to the design, development and commercialization of products for people with insulin-dependent diabetes. Tandem Diabetes Care, Inc. is incorporated in the state of Delaware. Unless the context requires otherwise, the terms the “Company” or “Tandem” refer to Tandem Diabetes Care, Inc., together with its wholly-owned subsidiaries in the U.S. and Canada.</w:t>
      </w:r>
    </w:p>
    <w:p>
      <w:pPr>
        <w:spacing w:after="0" w:line="149"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software updates and is designed to display continuous glucose monitoring (CGM) sensor information directly on the pump home screen. The Company’s insulin pump products are compatible with other complementary digital health offerings, such as the t:connect cloud-based diabetes management application (t:connect) and the Tandem Device Updater, a Mac and PC-compatible tool which offers and supports different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2020 (Annual Report), from which the balance sheet information herein was derived.</w:t>
      </w:r>
    </w:p>
    <w:p>
      <w:pPr>
        <w:spacing w:after="0" w:line="187"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wholly-owned subsidiaries in the U.S. and Canada. All significant intercompany balances and transactions have been eliminated in consolidation.</w:t>
      </w:r>
    </w:p>
    <w:p>
      <w:pPr>
        <w:spacing w:after="0" w:line="170"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other comprehensive loss, and in accumulated other comprehensive income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3" w:lineRule="exact"/>
        <w:rPr>
          <w:sz w:val="20"/>
          <w:szCs w:val="20"/>
          <w:color w:val="auto"/>
        </w:rPr>
      </w:pPr>
    </w:p>
    <w:p>
      <w:pPr>
        <w:ind w:right="40" w:firstLine="810"/>
        <w:spacing w:after="0" w:line="237" w:lineRule="auto"/>
        <w:rPr>
          <w:sz w:val="20"/>
          <w:szCs w:val="20"/>
          <w:color w:val="auto"/>
        </w:rPr>
      </w:pPr>
      <w:r>
        <w:rPr>
          <w:rFonts w:ascii="Arial" w:cs="Arial" w:eastAsia="Arial" w:hAnsi="Arial"/>
          <w:sz w:val="18"/>
          <w:szCs w:val="18"/>
          <w:color w:val="auto"/>
        </w:rPr>
        <w:t>Prior year amounts related to the presentation of other income (expense), net on the Company’s condensed consolidated statement of operations and comprehensive loss, have been reclassified to conform to the current year presentation. Starting with the third quarter of 2020, the first full quarter in which the Company’s convertible senior notes were outstanding, the Company began to present non-operating expenses unrelated to the convertible senior notes with interest income and other, net. In prior periods, other non-operating expenses were combined with interest expense and reported as interest and other expense.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 xml:space="preserve">There have been no material changes to the Company’s significant accounting policies during the three months ended March 31, 2021, as compared to those disclosed in the Annual Report, other than the adoption of ASU No. 2020-06, </w:t>
      </w:r>
      <w:r>
        <w:rPr>
          <w:rFonts w:ascii="Arial" w:cs="Arial" w:eastAsia="Arial" w:hAnsi="Arial"/>
          <w:sz w:val="18"/>
          <w:szCs w:val="18"/>
          <w:i w:val="1"/>
          <w:iCs w:val="1"/>
          <w:color w:val="auto"/>
        </w:rPr>
        <w:t>Accounting for Convertible Instruments and 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Entity’s Own Equity, </w:t>
      </w:r>
      <w:r>
        <w:rPr>
          <w:rFonts w:ascii="Arial" w:cs="Arial" w:eastAsia="Arial" w:hAnsi="Arial"/>
          <w:sz w:val="18"/>
          <w:szCs w:val="18"/>
          <w:color w:val="auto"/>
        </w:rPr>
        <w:t>effective January 1, 2021 (see Note 7, “Convertible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The Company recorded $8.0 million of restricted cash as of March 31, 2021, representing funds deposited and held in escrow in connection with an investment commitment. The restricted cash balance is included as a component of cash and cash equivalents on the condensed consolidated balance sheet at March 31, 2021, and the condensed consolidated statement of cash flows for the three months ended March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the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coronavirus pandemic (COVID-19 global pandemic). Uncollectible accounts are written off against the allowance after appropriate collection efforts have been exhausted and when it is deemed that a balance is uncollectible.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810"/>
        <w:spacing w:after="0" w:line="296"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determined the fair value of its convertible senior notes to be $306.2 million at March 31, 2021, and $333.5 million at December 31, 2020, based on Level 2 quoted market prices (see Note 7, “Convertible Senior Notes”). The estimated fair value of certain of the Company’s common stock warrants was determined using the Black-Scholes pricing model as of March 31, 2021 and December 31, 2020 (see Note 5,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Operating Lease Right-of-Use Assets and Liabilities</w:t>
      </w:r>
    </w:p>
    <w:p>
      <w:pPr>
        <w:spacing w:after="0" w:line="225"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the Company combines lease and non-lease components. Rent expense on noncancellable leases containing known future scheduled rent increases is recorded on a straight-line basis over the term of the respective leases beginning on the Commencement Date (see Note 6, “Leases”). The difference between rent expense and rent paid is accounted for as a component of operating lease right-of-use assets on the Company’s consolidated balance sheet. Landlord improvement allowances and other similar lease incentives are recorded as property and equipment and as a reduction of the right-of-use leased assets, and are amortized on a straight-line basis as a reduction to operating lease costs.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2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Finite-lived intangible assets are recorded at cost, net of accumulated amortization and, if applicable, impairment charges. Amortization of finite-lived intangible assets is provided over their estimated useful lives on a straight-line basis. The Company reviews its finite-lived intangible assets for impairment whenever events or changes in circumstances indicate that the carrying amount of an asset may not be recoverable. The Company has not recognized any impairment losses through March 31, 2021.</w:t>
      </w:r>
    </w:p>
    <w:p>
      <w:pPr>
        <w:spacing w:after="0" w:line="187"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 xml:space="preserve">On June 24, 2020, the Company acquired Sugarmate, Inc. (Sugarmate), the developer of a mobile app designed to help people visualize diabetes therapy data in innovative ways. The Sugarmate acquisition was accounted for as an acquisition of assets in accordance with ASU No. 2017-01,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Clarifying the Definition of a Business</w:t>
      </w:r>
      <w:r>
        <w:rPr>
          <w:rFonts w:ascii="Arial" w:cs="Arial" w:eastAsia="Arial" w:hAnsi="Arial"/>
          <w:sz w:val="16"/>
          <w:szCs w:val="16"/>
          <w:color w:val="auto"/>
        </w:rPr>
        <w:t>. Substantially all of the fair value was concentrated in a single identifiable asset, a</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technology-based intangible asset. The purchased intangible asset is being amortized on a straight-line basis over an estimated useful life of five years. The Company’s results of operations include the operating results of Sugarmate since the date of acquisition, the amounts of which were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with third-party insurance coverage and through a network of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When there is no standalone value for the complementary product,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March 31, 2021 and December 31, 2020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7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80" w:firstLine="810"/>
        <w:spacing w:after="0" w:line="290" w:lineRule="auto"/>
        <w:rPr>
          <w:sz w:val="20"/>
          <w:szCs w:val="20"/>
          <w:color w:val="auto"/>
        </w:rPr>
      </w:pPr>
      <w:r>
        <w:rPr>
          <w:rFonts w:ascii="Arial" w:cs="Arial" w:eastAsia="Arial" w:hAnsi="Arial"/>
          <w:sz w:val="16"/>
          <w:szCs w:val="16"/>
          <w:color w:val="auto"/>
        </w:rPr>
        <w:t>The Company generally provides a four-year warranty on its insulin pumps to end-user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The Company evaluates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the length of time the pump version has been in the field and future expectations of performance based on new features and capabilities that may become available through Tandem Device Updater.</w:t>
      </w:r>
    </w:p>
    <w:p>
      <w:pPr>
        <w:spacing w:after="0" w:line="16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three months ended March 31, 2021 and 2020 (in thousands):</w:t>
      </w:r>
    </w:p>
    <w:p>
      <w:pPr>
        <w:spacing w:after="0" w:line="287"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in warranty estimates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r>
      <w:tr>
        <w:trPr>
          <w:trHeight w:val="248"/>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23,169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As of March 31, 2021 and December 31, 2020, total product warranty reserves of $23.2 million and $22.1 million, respectively, were included in the following consolidated balance sheet accounts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w:t>
            </w:r>
          </w:p>
        </w:tc>
      </w:tr>
      <w:tr>
        <w:trPr>
          <w:trHeight w:val="248"/>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Company’s 2013 Plan that vest solely based on service is estimated based on the fair market value of the underlying stock on the date of grant.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reflects the potential dilution that would occur if securities exercisable for or convertible into common stock were exercised for or converted into common stock. Dilutive common share equivalents are comprised of warrants, stock options outstanding under the Company’s equity incentive plans, unvested RSUs, and potential awards granted pursuant to the ESPP, each calculated using the treasury stock method; and shares issuable upon conversion of the senior convertible notes using the if-converted method.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the three month periods ended March 31, 2021 and 2020, there is no difference in the number of shares used to calculate basic and diluted shares outstanding due to the Company’s net loss position.</w:t>
      </w:r>
    </w:p>
    <w:p>
      <w:pPr>
        <w:spacing w:after="0" w:line="209" w:lineRule="exact"/>
        <w:rPr>
          <w:sz w:val="20"/>
          <w:szCs w:val="20"/>
          <w:color w:val="auto"/>
        </w:rPr>
      </w:pPr>
    </w:p>
    <w:p>
      <w:pPr>
        <w:ind w:right="400" w:firstLine="810"/>
        <w:spacing w:after="0" w:line="261"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287"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6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Awards granted under the ESPP</w:t>
            </w: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83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Measurement of Credit Losses on Financial Instruments, </w:t>
      </w:r>
      <w:r>
        <w:rPr>
          <w:rFonts w:ascii="Arial" w:cs="Arial" w:eastAsia="Arial" w:hAnsi="Arial"/>
          <w:sz w:val="17"/>
          <w:szCs w:val="17"/>
          <w:color w:val="auto"/>
        </w:rPr>
        <w:t>which modifies the measurement and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prior, other-than-temporary-impairment model. The new standard must be adopted using the modified retrospective approach and was effective for the Company starting in the first quarter of 2020. The Company determined there was no cumulative-effect transition adjustment to the opening balance of accumulated deficit for recognition of additional credit losses upon adoption of this standard as of January 1, 2020 based on its outstanding accounts receivable, the composition and credit quality of its short-term investments, and current economic conditions as of that date.</w:t>
      </w:r>
    </w:p>
    <w:p>
      <w:pPr>
        <w:spacing w:after="0" w:line="185"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early adopted the new guidance in the second quarter of 2020. As a result, the Company recognized, on a prospective basis, $13,000 of income tax expense in the second quarter of 2020 upon the reversal of tax benefits recorded in the first quarter of 2020 related to unrealized gains on short-term investments.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In June 2020, the FASB issued ASU No. 2020-06, </w:t>
      </w:r>
      <w:r>
        <w:rPr>
          <w:rFonts w:ascii="Arial" w:cs="Arial" w:eastAsia="Arial" w:hAnsi="Arial"/>
          <w:sz w:val="18"/>
          <w:szCs w:val="18"/>
          <w:i w:val="1"/>
          <w:iCs w:val="1"/>
          <w:color w:val="auto"/>
        </w:rPr>
        <w:t>Accounting for Convertible Instruments and Contracts in</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i w:val="1"/>
          <w:iCs w:val="1"/>
          <w:color w:val="auto"/>
        </w:rPr>
        <w:t>an Entity’s Own Equity</w:t>
      </w:r>
      <w:r>
        <w:rPr>
          <w:rFonts w:ascii="Arial" w:cs="Arial" w:eastAsia="Arial" w:hAnsi="Arial"/>
          <w:sz w:val="16"/>
          <w:szCs w:val="16"/>
          <w:color w:val="auto"/>
        </w:rPr>
        <w:t>, which is intended to simplify the accounting for convertible instruments. This new guidance eliminates certain models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elected to early adopt the new standard on January 1, 2021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(see Note 7, “Convertible Senior Notes”).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Company invests in marketable securities consisting of debt instruments of the U.S. Government, and financial institutions and corporations with strong credit ratings. The following represents a summary of the estimated fair value of short-term investments as of March 31, 2021 and December 31, 2020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March 31, 2021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140" w:type="dxa"/>
            <w:vAlign w:val="bottom"/>
            <w:tcBorders>
              <w:top w:val="single" w:sz="8" w:color="auto"/>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126,705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126,711</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U.S. Government-sponsored enterprise</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U.S. Treasury securities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140,197</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Supranational bonds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8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2020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140" w:type="dxa"/>
            <w:vAlign w:val="bottom"/>
            <w:tcBorders>
              <w:top w:val="single" w:sz="8" w:color="auto"/>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CFF0FC"/>
            </w:tcBorders>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108,896</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U.S. Government-sponsored enterprise</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U.S. Treasury securities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143,254</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85,788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97"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impaired due to changes in credit risk or other potential valuation concerns. Unrealized losses on available-for-sale debt securities at March 31, 2021 were not significant and were due to changes in interest rates, including credit spreads from perceived increased credit risks as a result of the COVID-19 global pandemic.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that are in an unrealized loss position, and the Company’s estimates of future cash flows to be collected from those securities, the Company believes the unrealized losses are not credit losses. Accordingly, the Company has not recognized any impairment losses related to its available-for-sale debt securities at March 31,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77,232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86,052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4"/>
              </w:rPr>
              <w:t>(3,559)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1"/>
              </w:rPr>
              <w:t>(3,857)</w:t>
            </w:r>
          </w:p>
        </w:tc>
      </w:tr>
      <w:tr>
        <w:trPr>
          <w:trHeight w:val="248"/>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73,673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82,195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the estimated allowance for expected accounts receivable credit losses for the three months ended March 31, 2021 and 2020 (in thousands):</w:t>
      </w:r>
    </w:p>
    <w:p>
      <w:pPr>
        <w:spacing w:after="0" w:line="5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82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3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280" w:type="dxa"/>
            <w:vAlign w:val="bottom"/>
          </w:tcPr>
          <w:p>
            <w:pPr>
              <w:ind w:left="740"/>
              <w:spacing w:after="0"/>
              <w:rPr>
                <w:sz w:val="20"/>
                <w:szCs w:val="20"/>
                <w:color w:val="auto"/>
              </w:rPr>
            </w:pPr>
            <w:r>
              <w:rPr>
                <w:rFonts w:ascii="Arial" w:cs="Arial" w:eastAsia="Arial" w:hAnsi="Arial"/>
                <w:sz w:val="18"/>
                <w:szCs w:val="18"/>
                <w:color w:val="auto"/>
                <w:w w:val="95"/>
              </w:rPr>
              <w:t>Inventories consisted of the following as of March 31, 2021 and December 31, 2020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 w:type="dxa"/>
            <w:vAlign w:val="bottom"/>
            <w:tcBorders>
              <w:bottom w:val="single" w:sz="8" w:color="CFF0FC"/>
            </w:tcBorders>
          </w:tcPr>
          <w:p>
            <w:pPr>
              <w:spacing w:after="0"/>
              <w:rPr>
                <w:sz w:val="16"/>
                <w:szCs w:val="16"/>
                <w:color w:val="auto"/>
              </w:rPr>
            </w:pPr>
          </w:p>
        </w:tc>
        <w:tc>
          <w:tcPr>
            <w:tcW w:w="828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17,177</w:t>
            </w:r>
          </w:p>
        </w:tc>
        <w:tc>
          <w:tcPr>
            <w:tcW w:w="4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2" w:lineRule="exact"/>
        <w:rPr>
          <w:sz w:val="20"/>
          <w:szCs w:val="20"/>
          <w:color w:val="auto"/>
        </w:rPr>
      </w:pPr>
    </w:p>
    <w:p>
      <w:pPr>
        <w:ind w:left="780" w:right="20" w:hanging="809"/>
        <w:spacing w:after="0" w:line="277" w:lineRule="auto"/>
        <w:tabs>
          <w:tab w:leader="none" w:pos="760" w:val="left"/>
        </w:tabs>
        <w:rPr>
          <w:sz w:val="20"/>
          <w:szCs w:val="20"/>
          <w:color w:val="auto"/>
        </w:rPr>
      </w:pPr>
      <w:r>
        <w:rPr>
          <w:rFonts w:ascii="Arial" w:cs="Arial" w:eastAsia="Arial" w:hAnsi="Arial"/>
          <w:sz w:val="18"/>
          <w:szCs w:val="18"/>
          <w:color w:val="auto"/>
        </w:rPr>
        <w:t>Level 1:</w:t>
        <w:tab/>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780" w:right="280" w:hanging="809"/>
        <w:spacing w:after="0" w:line="277" w:lineRule="auto"/>
        <w:tabs>
          <w:tab w:leader="none" w:pos="760" w:val="left"/>
        </w:tabs>
        <w:rPr>
          <w:sz w:val="20"/>
          <w:szCs w:val="20"/>
          <w:color w:val="auto"/>
        </w:rPr>
      </w:pPr>
      <w:r>
        <w:rPr>
          <w:rFonts w:ascii="Arial" w:cs="Arial" w:eastAsia="Arial" w:hAnsi="Arial"/>
          <w:sz w:val="18"/>
          <w:szCs w:val="18"/>
          <w:color w:val="auto"/>
        </w:rPr>
        <w:t>Level 2:</w:t>
        <w:tab/>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780" w:hanging="809"/>
        <w:spacing w:after="0" w:line="277" w:lineRule="auto"/>
        <w:tabs>
          <w:tab w:leader="none" w:pos="760" w:val="left"/>
        </w:tabs>
        <w:rPr>
          <w:sz w:val="20"/>
          <w:szCs w:val="20"/>
          <w:color w:val="auto"/>
        </w:rPr>
      </w:pPr>
      <w:r>
        <w:rPr>
          <w:rFonts w:ascii="Arial" w:cs="Arial" w:eastAsia="Arial" w:hAnsi="Arial"/>
          <w:sz w:val="18"/>
          <w:szCs w:val="18"/>
          <w:color w:val="auto"/>
        </w:rPr>
        <w:t>Level 3:</w:t>
        <w:tab/>
        <w:t>Unobservable inputs in which there is little or no market data and that are significant to the fair value of the assets or liabilities, which require the reporting entity to develop its own valuation techniques that require input assumptions.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March 31, 2021 and December 31, 2020, and indicates the fair value hierarchy of the valuation techniques utilized by the Company to determine such fair value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4"/>
              </w:rPr>
              <w:t>Fair Value Measurements at March 31, 2021</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110,616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110,616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Measurements at December 31, 2020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0"/>
                <w:szCs w:val="10"/>
                <w:color w:val="auto"/>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87,300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87,300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7"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The Company’s Level 3 liabilities at March 31, 2021 and December 31, 2020 include the remaining Series A warrants issued by the Company in connection with the public offering of common stock in October 2017, and which expire in October 2022. As of March 31, 2021 and 2020, there were Series A warrants outstanding to purchase 29,700 shares and 415,200 shares, respectively, of the Company’s common stock (see Note 8, “Stockholders’ Equity”).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85"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expected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March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and December 31, 2020 are presented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Series A Warrants</w:t>
            </w:r>
          </w:p>
        </w:tc>
      </w:tr>
      <w:tr>
        <w:trPr>
          <w:trHeight w:val="187"/>
        </w:trPr>
        <w:tc>
          <w:tcPr>
            <w:tcW w:w="7560" w:type="dxa"/>
            <w:vAlign w:val="bottom"/>
          </w:tcPr>
          <w:p>
            <w:pPr>
              <w:spacing w:after="0"/>
              <w:rPr>
                <w:sz w:val="16"/>
                <w:szCs w:val="16"/>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2021</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23,509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Loss recognized from the change in fair value of common stock warrants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fair value from warrants exercised during the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(12,434)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780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25,290</w:t>
            </w: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Of the loss recognized from the change in fair value of common stock warrants for the three months ended March 31, 2021 and 2020, a gain of $0.2 million and a loss of $1.9 million was attributable to warrants outstanding as of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Company’s leases consist of operating leases for general office space, laboratory, manufacturing and warehouse facilities, and equipment. These noncancellable operating leases have initial lease terms ranging from one year to seven years. Leases with an initial term of 12 months or less are expensed as incurred and are not recorded as right-of-use assets on the consolidated balance sheets. 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92"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w:t>
      </w:r>
    </w:p>
    <w:p>
      <w:pPr>
        <w:spacing w:after="0" w:line="187"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In March 2021, the Company entered into a second amendment (Second Amendment) to its lease agreement covering approximately 59,013 square feet of general administrative office space (Existing Premises) located on Vista Sorrento Parkway, in San Diego, California (Vista Sorrento Lease). The Second Amendment expanded the Existing Premises by adding approximately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each option providing for an additional period of five years. The Company recognized right-of-use leased assets and corresponding operating lease liabilities of $15.1 million on the consolidated balance sheet in the first quarter of 2021 related to the Second Amendment.</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 recorded in the condensed consolidated statements of operations was as follows (in thousands):</w:t>
      </w:r>
    </w:p>
    <w:p>
      <w:pPr>
        <w:spacing w:after="0" w:line="342"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Three Months Ended</w:t>
      </w:r>
    </w:p>
    <w:p>
      <w:pPr>
        <w:jc w:val="center"/>
        <w:ind w:left="83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Borders>
              <w:bottom w:val="single" w:sz="8" w:color="CCEEFF"/>
            </w:tcBorders>
          </w:tcPr>
          <w:p>
            <w:pPr>
              <w:spacing w:after="0"/>
              <w:rPr>
                <w:sz w:val="16"/>
                <w:szCs w:val="16"/>
                <w:color w:val="auto"/>
              </w:rPr>
            </w:pPr>
          </w:p>
        </w:tc>
        <w:tc>
          <w:tcPr>
            <w:tcW w:w="80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320" w:type="dxa"/>
            <w:vAlign w:val="bottom"/>
            <w:tcBorders>
              <w:top w:val="single" w:sz="8" w:color="CCEEFF"/>
              <w:bottom w:val="single" w:sz="8" w:color="CCEEFF"/>
            </w:tcBorders>
            <w:gridSpan w:val="2"/>
            <w:vMerge w:val="restart"/>
          </w:tcPr>
          <w:p>
            <w:pPr>
              <w:ind w:left="780"/>
              <w:spacing w:after="0"/>
              <w:rPr>
                <w:sz w:val="20"/>
                <w:szCs w:val="20"/>
                <w:color w:val="auto"/>
              </w:rPr>
            </w:pPr>
            <w:r>
              <w:rPr>
                <w:rFonts w:ascii="Arial" w:cs="Arial" w:eastAsia="Arial" w:hAnsi="Arial"/>
                <w:sz w:val="18"/>
                <w:szCs w:val="18"/>
                <w:color w:val="auto"/>
              </w:rPr>
              <w:t>Maturities of operating lease liabilities at March 31, 2021 were as follows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8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6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45,227</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23"/>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38,457</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 term</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29,011</w:t>
            </w:r>
          </w:p>
        </w:tc>
        <w:tc>
          <w:tcPr>
            <w:tcW w:w="40" w:type="dxa"/>
            <w:vAlign w:val="bottom"/>
            <w:tcBorders>
              <w:left w:val="single" w:sz="8" w:color="CFF0FC"/>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gridSpan w:val="2"/>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9800" w:type="dxa"/>
            <w:vAlign w:val="bottom"/>
            <w:gridSpan w:val="7"/>
          </w:tcPr>
          <w:p>
            <w:pPr>
              <w:ind w:left="780"/>
              <w:spacing w:after="0"/>
              <w:rPr>
                <w:sz w:val="20"/>
                <w:szCs w:val="20"/>
                <w:color w:val="auto"/>
              </w:rPr>
            </w:pPr>
            <w:r>
              <w:rPr>
                <w:rFonts w:ascii="Arial" w:cs="Arial" w:eastAsia="Arial" w:hAnsi="Arial"/>
                <w:sz w:val="18"/>
                <w:szCs w:val="18"/>
                <w:color w:val="auto"/>
                <w:w w:val="95"/>
              </w:rPr>
              <w:t>The weighted-average remaining lease term and weighted-average discount rate for operating leases were as follows: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0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60" w:firstLine="810"/>
        <w:spacing w:after="0" w:line="277"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used for operating leases, was $2.3 million and $1.6 million for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net proceeds from the issuance of the Notes were $244.6 million, net of debt issuance costs and cash used to purchase the capped call transactions (Capped Call Transactions) discussed below.</w:t>
      </w:r>
    </w:p>
    <w:p>
      <w:pPr>
        <w:spacing w:after="0" w:line="187"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approximately $112.57 (Conversion Price) per share of the Company’s common stock. The conversion rate is subject to customary adjustments for certain events as described in the Indenture. It is the Company’s intent and policy to settle conversions through combination settlement, which essentially involves payment in cash equal to the principal portion and delivery of shares of common stock for the excess of the conversion value over the principal portion.</w:t>
      </w:r>
    </w:p>
    <w:p>
      <w:pPr>
        <w:spacing w:after="0" w:line="192"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188"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prior to November 1, 2024, in multiples of $1,000 principal amounts, only under the following circumstances:</w:t>
      </w:r>
    </w:p>
    <w:p>
      <w:pPr>
        <w:spacing w:after="0" w:line="200" w:lineRule="exact"/>
        <w:rPr>
          <w:sz w:val="20"/>
          <w:szCs w:val="20"/>
          <w:color w:val="auto"/>
        </w:rPr>
      </w:pPr>
    </w:p>
    <w:p>
      <w:pPr>
        <w:spacing w:after="0" w:line="240" w:lineRule="exact"/>
        <w:rPr>
          <w:sz w:val="20"/>
          <w:szCs w:val="20"/>
          <w:color w:val="auto"/>
        </w:rPr>
      </w:pPr>
    </w:p>
    <w:p>
      <w:pPr>
        <w:ind w:left="1300" w:right="100" w:hanging="644"/>
        <w:spacing w:after="0" w:line="291"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w:t>
      </w:r>
    </w:p>
    <w:p>
      <w:pPr>
        <w:ind w:left="1300"/>
        <w:spacing w:after="0"/>
        <w:rPr>
          <w:rFonts w:ascii="Arial" w:cs="Arial" w:eastAsia="Arial" w:hAnsi="Arial"/>
          <w:sz w:val="16"/>
          <w:szCs w:val="16"/>
          <w:color w:val="auto"/>
        </w:rPr>
      </w:pPr>
      <w:r>
        <w:rPr>
          <w:rFonts w:ascii="Arial" w:cs="Arial" w:eastAsia="Arial" w:hAnsi="Arial"/>
          <w:sz w:val="18"/>
          <w:szCs w:val="18"/>
          <w:color w:val="auto"/>
        </w:rPr>
        <w:t>to 130% of the applicable Conversion Price of the Notes on each such trading day;</w:t>
      </w:r>
    </w:p>
    <w:p>
      <w:pPr>
        <w:spacing w:after="0" w:line="237" w:lineRule="exact"/>
        <w:rPr>
          <w:rFonts w:ascii="Arial" w:cs="Arial" w:eastAsia="Arial" w:hAnsi="Arial"/>
          <w:sz w:val="16"/>
          <w:szCs w:val="16"/>
          <w:color w:val="auto"/>
        </w:rPr>
      </w:pPr>
    </w:p>
    <w:p>
      <w:pPr>
        <w:ind w:left="1300" w:hanging="644"/>
        <w:spacing w:after="0" w:line="286"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4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70"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8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Initially, 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$85.8 million and was recorded as a debt discount, to be amortized to interest expense at an effective interest rate of 9.9%. In addition, the Company allocated $2.7 million of debt issuance costs to the equity component and the remaining debt issuance costs of $6.1 million were allocated to the liability component, to be amortized to interest expense under the effective interest rate method.</w:t>
      </w:r>
    </w:p>
    <w:p>
      <w:pPr>
        <w:spacing w:after="0" w:line="192"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 xml:space="preserve">On January 1, 2021, the Company early adopted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which is intended to simplify the accounting for convertible instruments. The ASU eliminates the cash conversion feature models in ASC 470-20,</w:t>
      </w:r>
      <w:r>
        <w:rPr>
          <w:rFonts w:ascii="Arial" w:cs="Arial" w:eastAsia="Arial" w:hAnsi="Arial"/>
          <w:sz w:val="17"/>
          <w:szCs w:val="17"/>
          <w:i w:val="1"/>
          <w:iCs w:val="1"/>
          <w:color w:val="auto"/>
        </w:rPr>
        <w:t xml:space="preserve"> Debt with Conversion and Other Options</w:t>
      </w:r>
      <w:r>
        <w:rPr>
          <w:rFonts w:ascii="Arial" w:cs="Arial" w:eastAsia="Arial" w:hAnsi="Arial"/>
          <w:sz w:val="17"/>
          <w:szCs w:val="17"/>
          <w:color w:val="auto"/>
        </w:rPr>
        <w:t>, which required an issuer of certain convertible debt to separately account for embedded conversion features as a</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equity. Instead, an issuer will account for these securities as a single unit of account, unless the conversion feature meets certain criteria. The Company adopted the new standard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The Notes are now accounted for as a single liability measured at amortized cost, as no other embedded features require bifurcation and recognition as derivatives.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liability and equity components of the Notes consisted of the following (in thousands) at March 31, 2021 and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2020</w:t>
            </w:r>
          </w:p>
        </w:tc>
      </w:tr>
      <w:tr>
        <w:trPr>
          <w:trHeight w:val="229"/>
        </w:trPr>
        <w:tc>
          <w:tcPr>
            <w:tcW w:w="7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w:t>
            </w:r>
          </w:p>
        </w:tc>
        <w:tc>
          <w:tcPr>
            <w:tcW w:w="2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r>
      <w:tr>
        <w:trPr>
          <w:trHeight w:val="229"/>
        </w:trPr>
        <w:tc>
          <w:tcPr>
            <w:tcW w:w="7440" w:type="dxa"/>
            <w:vAlign w:val="bottom"/>
          </w:tcPr>
          <w:p>
            <w:pPr>
              <w:ind w:left="100"/>
              <w:spacing w:after="0"/>
              <w:rPr>
                <w:sz w:val="20"/>
                <w:szCs w:val="20"/>
                <w:color w:val="auto"/>
              </w:rPr>
            </w:pPr>
            <w:r>
              <w:rPr>
                <w:rFonts w:ascii="Arial" w:cs="Arial" w:eastAsia="Arial" w:hAnsi="Arial"/>
                <w:sz w:val="18"/>
                <w:szCs w:val="18"/>
                <w:color w:val="auto"/>
              </w:rPr>
              <w:t>Principal amount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287,500</w:t>
            </w:r>
          </w:p>
        </w:tc>
      </w:tr>
      <w:tr>
        <w:trPr>
          <w:trHeight w:val="230"/>
        </w:trPr>
        <w:tc>
          <w:tcPr>
            <w:tcW w:w="7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Unamortized debt discount and debt issuance costs</w:t>
            </w:r>
          </w:p>
        </w:tc>
        <w:tc>
          <w:tcPr>
            <w:tcW w:w="2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(84,516)</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280,168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202,984</w:t>
            </w:r>
          </w:p>
        </w:tc>
      </w:tr>
      <w:tr>
        <w:trPr>
          <w:trHeight w:val="20"/>
        </w:trPr>
        <w:tc>
          <w:tcPr>
            <w:tcW w:w="74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Carrying amount of the equity component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85,803</w:t>
            </w: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of March 31, 2021, the unamortized debt issuance costs of $7.3 million associated with the Notes will be amortized to interest expense, at an effective interest rate of 2.2%, over the remaining term of the Notes of approximately 4.1 years.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details interest expense recognized related to the Notes for the three months ended March 31, 2021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57"/>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92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March 31, 2021</w:t>
            </w:r>
          </w:p>
        </w:tc>
      </w:tr>
      <w:tr>
        <w:trPr>
          <w:trHeight w:val="224"/>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Contractual interest expense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48"/>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810"/>
        <w:spacing w:after="0" w:line="308" w:lineRule="auto"/>
        <w:rPr>
          <w:sz w:val="20"/>
          <w:szCs w:val="20"/>
          <w:color w:val="auto"/>
        </w:rPr>
      </w:pPr>
      <w:r>
        <w:rPr>
          <w:rFonts w:ascii="Arial" w:cs="Arial" w:eastAsia="Arial" w:hAnsi="Arial"/>
          <w:sz w:val="17"/>
          <w:szCs w:val="17"/>
          <w:color w:val="auto"/>
        </w:rPr>
        <w:t>The Notes will have a dilutive effect to the extent the average market price per share of the Company’s common stock for a given reporting period exceeds the Conversion Price of $112.57. As of March 31, 2021, the “if-converted value” did not exceed the principal amount of the Notes.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7"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In connection with the issuance of the Notes, the Company entered into Capped Call Transactions in May of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178"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For accounting purposes, the Capped Call Transactions are separate transactions, and not part of the terms of the Notes. As these transactions meet certain criteria under the applicable accounting guidance, the Capped Call Transactions are recorded in stockholders' equity and are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shares of the Company’s common stock were reserved for future issuance as of March 31, 2021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reserved for issuance upon conversion of Convertible Senior Notes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Shares underlying outstanding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r>
      <w:tr>
        <w:trPr>
          <w:trHeight w:val="229"/>
        </w:trPr>
        <w:tc>
          <w:tcPr>
            <w:tcW w:w="9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r>
      <w:tr>
        <w:trPr>
          <w:trHeight w:val="248"/>
        </w:trPr>
        <w:tc>
          <w:tcPr>
            <w:tcW w:w="97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12,062</w:t>
            </w:r>
          </w:p>
        </w:tc>
      </w:tr>
      <w:tr>
        <w:trPr>
          <w:trHeight w:val="20"/>
        </w:trPr>
        <w:tc>
          <w:tcPr>
            <w:tcW w:w="97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March 31, 2021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 Per</w:t>
            </w: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2017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March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193,788</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August 2011 - August 2012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30,861</w:t>
            </w:r>
          </w:p>
        </w:tc>
        <w:tc>
          <w:tcPr>
            <w:tcW w:w="10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August 2021 - August 2022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254,349</w:t>
            </w: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color w:val="auto"/>
        </w:rPr>
        <w:t>Each warrant allows the holder to purchase one share of the Company's common stock at the exercise price per share of the respective warrant. The Company issued 125,000 and 2,320 shares of its common stock, respectively, upon the exercise of warrants during the three months ended March 31, 2021 and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 Company issued 110,424 and 672,442 shares of its common stock, respectively, upon the exercise of stock options during the three months ended March 31, 2021 and 2020.</w:t>
      </w:r>
    </w:p>
    <w:p>
      <w:pPr>
        <w:spacing w:after="0" w:line="170" w:lineRule="exact"/>
        <w:rPr>
          <w:sz w:val="20"/>
          <w:szCs w:val="20"/>
          <w:color w:val="auto"/>
        </w:rPr>
      </w:pPr>
    </w:p>
    <w:p>
      <w:pPr>
        <w:ind w:right="40" w:firstLine="810"/>
        <w:spacing w:after="0" w:line="311" w:lineRule="auto"/>
        <w:rPr>
          <w:sz w:val="20"/>
          <w:szCs w:val="20"/>
          <w:color w:val="auto"/>
        </w:rPr>
      </w:pPr>
      <w:r>
        <w:rPr>
          <w:rFonts w:ascii="Arial" w:cs="Arial" w:eastAsia="Arial" w:hAnsi="Arial"/>
          <w:sz w:val="16"/>
          <w:szCs w:val="16"/>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 There were no shares of common stock purchased under the ESPP during the three months ended March 31,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During the three months ended March 31, 2021 and 2020, the Company granted options to purchase 115,400 and 229,911 shares of common stock under the 2013 Plan, respectively.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187"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color w:val="auto"/>
        </w:rPr>
        <w:t>The Company also granted 3,208 restricted stock units (RSUs) during the three months ended March 31, 2021. These RSUs have a grant value equal to the closing price of the Company’s common stock on the award date, and vest in annual installments over a period of three years.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assumptions used in the Black-Scholes option-pricing model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Stock Options</w:t>
            </w:r>
          </w:p>
        </w:tc>
        <w:tc>
          <w:tcPr>
            <w:tcW w:w="760" w:type="dxa"/>
            <w:vAlign w:val="bottom"/>
            <w:tcBorders>
              <w:bottom w:val="single" w:sz="8" w:color="auto"/>
            </w:tcBorders>
          </w:tcPr>
          <w:p>
            <w:pPr>
              <w:spacing w:after="0"/>
              <w:rPr>
                <w:sz w:val="16"/>
                <w:szCs w:val="16"/>
                <w:color w:val="auto"/>
              </w:rPr>
            </w:pPr>
          </w:p>
        </w:tc>
      </w:tr>
      <w:tr>
        <w:trPr>
          <w:trHeight w:val="175"/>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r>
      <w:tr>
        <w:trPr>
          <w:trHeight w:val="191"/>
        </w:trPr>
        <w:tc>
          <w:tcPr>
            <w:tcW w:w="86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2020</w:t>
            </w:r>
          </w:p>
        </w:tc>
      </w:tr>
      <w:tr>
        <w:trPr>
          <w:trHeight w:val="229"/>
        </w:trPr>
        <w:tc>
          <w:tcPr>
            <w:tcW w:w="8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60.98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43.40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8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72.5 %</w:t>
            </w:r>
          </w:p>
        </w:tc>
      </w:tr>
      <w:tr>
        <w:trPr>
          <w:trHeight w:val="229"/>
        </w:trPr>
        <w:tc>
          <w:tcPr>
            <w:tcW w:w="8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r>
    </w:tbl>
    <w:p>
      <w:pPr>
        <w:spacing w:after="0" w:line="202" w:lineRule="exact"/>
        <w:rPr>
          <w:sz w:val="20"/>
          <w:szCs w:val="20"/>
          <w:color w:val="auto"/>
        </w:rPr>
      </w:pPr>
    </w:p>
    <w:p>
      <w:pPr>
        <w:ind w:right="180" w:firstLine="810"/>
        <w:spacing w:after="0" w:line="308" w:lineRule="auto"/>
        <w:rPr>
          <w:sz w:val="20"/>
          <w:szCs w:val="20"/>
          <w:color w:val="auto"/>
        </w:rPr>
      </w:pPr>
      <w:r>
        <w:rPr>
          <w:rFonts w:ascii="Arial" w:cs="Arial" w:eastAsia="Arial" w:hAnsi="Arial"/>
          <w:sz w:val="17"/>
          <w:szCs w:val="17"/>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w:t>
      </w:r>
    </w:p>
    <w:p>
      <w:pPr>
        <w:spacing w:after="0" w:line="146"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condensed consolidated statement of operations for all stock-based compensation arrangements (in thousands):</w:t>
      </w:r>
    </w:p>
    <w:p>
      <w:pPr>
        <w:spacing w:after="0" w:line="273"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24"/>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Selling, general &amp; administrative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11,501</w:t>
            </w:r>
          </w:p>
        </w:tc>
      </w:tr>
      <w:tr>
        <w:trPr>
          <w:trHeight w:val="22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w:t>
            </w:r>
          </w:p>
        </w:tc>
      </w:tr>
      <w:tr>
        <w:trPr>
          <w:trHeight w:val="223"/>
        </w:trPr>
        <w:tc>
          <w:tcPr>
            <w:tcW w:w="90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$0.7 million and $0.6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recognized an income tax benefit of $0.1 million on a pre-tax loss of $5.2 million for the three months ended March 31, 2021, compared to income tax expense of $0.1 million on a pre-tax loss of $14.8 million for the three months ended March 31, 2020. The income tax benefit for the three months ended March 31, 2021 was primarily attributable to the pre-tax loss position and excess tax benefits from stock compensation recorded discretely during the quarter. Income tax expense for the three months ended March 31, 2020 was primarily attributable to state and foreign income tax expense as a result of current taxable income in those jurisdictions.</w:t>
      </w:r>
    </w:p>
    <w:p>
      <w:pPr>
        <w:spacing w:after="0" w:line="188"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For the three months ended March 31, 2021, the Company calculated the provision (benefit) for income taxes by applying an estimate of the annual effective tax rate for the full year to ordinary income (loss) adjusted by the tax impact of discrete items. For the three months ended March 31, 2020, the Company calculated the provision for income taxes using a discrete effective tax rate method as the annual effective tax rate method would not provide a reliable estimate.</w:t>
      </w:r>
    </w:p>
    <w:p>
      <w:pPr>
        <w:spacing w:after="0" w:line="214"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The Company continues to maintain a full valuation allowance against its net deferred tax assets as of March 31, 2021, based on the current assessment that it is not more likely than not these future benefits will be realized before expiration.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 and Geographic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180" w:firstLine="810"/>
        <w:spacing w:after="0" w:line="301" w:lineRule="auto"/>
        <w:rPr>
          <w:sz w:val="20"/>
          <w:szCs w:val="20"/>
          <w:color w:val="auto"/>
        </w:rPr>
      </w:pPr>
      <w:r>
        <w:rPr>
          <w:rFonts w:ascii="Arial" w:cs="Arial" w:eastAsia="Arial" w:hAnsi="Arial"/>
          <w:sz w:val="16"/>
          <w:szCs w:val="16"/>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w:t>
      </w:r>
    </w:p>
    <w:p>
      <w:pPr>
        <w:spacing w:after="0" w:line="252"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During the three months ended March 31, 2021 and 2020, no individual country outside the United States generated revenue that represented more than 10% of total revenue. The table below sets forth revenues for the Company’s two primary geographical markets, based on the geographic location to which its products are shipped.</w:t>
      </w:r>
    </w:p>
    <w:p>
      <w:pPr>
        <w:spacing w:after="0" w:line="23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Borders>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79,546</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18,380</w:t>
            </w:r>
          </w:p>
        </w:tc>
      </w:tr>
      <w:tr>
        <w:trPr>
          <w:trHeight w:val="248"/>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97,926</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Sales to distributors accounted for 68% and 69% of the Company’s total domestic sales for the three months ended March 31, 2021 and 2020, respectively. Sales to distributors accounted for 96% and 93% of the Company’s total international sales for the three months ended March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In April 2020, the Company was named as a defendant in four federal class action lawsuits relating to a data breach it experienced in January 2020, each of which was subsequently dismissed.</w:t>
      </w:r>
    </w:p>
    <w:p>
      <w:pPr>
        <w:spacing w:after="0" w:line="197"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 xml:space="preserve">In addition, in May 2020 the Company was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w:t>
      </w:r>
      <w:r>
        <w:rPr>
          <w:rFonts w:ascii="Arial" w:cs="Arial" w:eastAsia="Arial" w:hAnsi="Arial"/>
          <w:sz w:val="17"/>
          <w:szCs w:val="17"/>
          <w:color w:val="auto"/>
        </w:rPr>
        <w:t xml:space="preserve"> </w:t>
      </w:r>
      <w:r>
        <w:rPr>
          <w:rFonts w:ascii="Arial" w:cs="Arial" w:eastAsia="Arial" w:hAnsi="Arial"/>
          <w:sz w:val="17"/>
          <w:szCs w:val="17"/>
          <w:i w:val="1"/>
          <w:iCs w:val="1"/>
          <w:color w:val="auto"/>
        </w:rPr>
        <w:t>Diabetes Care, Inc</w:t>
      </w:r>
      <w:r>
        <w:rPr>
          <w:rFonts w:ascii="Arial" w:cs="Arial" w:eastAsia="Arial" w:hAnsi="Arial"/>
          <w:sz w:val="17"/>
          <w:szCs w:val="17"/>
          <w:color w:val="auto"/>
        </w:rPr>
        <w:t>. The consolidated case alleges violations of the Confidentiality of Medical Information Act (CMIA), California Consumer Privacy Act</w:t>
      </w:r>
      <w:r>
        <w:rPr>
          <w:rFonts w:ascii="Arial" w:cs="Arial" w:eastAsia="Arial" w:hAnsi="Arial"/>
          <w:sz w:val="17"/>
          <w:szCs w:val="17"/>
          <w:i w:val="1"/>
          <w:iCs w:val="1"/>
          <w:color w:val="auto"/>
        </w:rPr>
        <w:t xml:space="preserve"> </w:t>
      </w:r>
      <w:r>
        <w:rPr>
          <w:rFonts w:ascii="Arial" w:cs="Arial" w:eastAsia="Arial" w:hAnsi="Arial"/>
          <w:sz w:val="17"/>
          <w:szCs w:val="17"/>
          <w:color w:val="auto"/>
        </w:rPr>
        <w:t>(CCPA), California’s Unfair Competition Law (UCL), and breach of contract. The Company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either failing to allege cognizable damages or injuries-in-fact, resulting in two remaining plaintiffs.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 xml:space="preserve">In September 2020, the Company was named as a defendant in a lawsuit entitled </w:t>
      </w:r>
      <w:r>
        <w:rPr>
          <w:rFonts w:ascii="Arial" w:cs="Arial" w:eastAsia="Arial" w:hAnsi="Arial"/>
          <w:sz w:val="18"/>
          <w:szCs w:val="18"/>
          <w:i w:val="1"/>
          <w:iCs w:val="1"/>
          <w:color w:val="auto"/>
        </w:rPr>
        <w:t>Buck Walsh, individually and on behalf of others similarly</w:t>
      </w:r>
      <w:r>
        <w:rPr>
          <w:rFonts w:ascii="Arial" w:cs="Arial" w:eastAsia="Arial" w:hAnsi="Arial"/>
          <w:sz w:val="18"/>
          <w:szCs w:val="18"/>
          <w:color w:val="auto"/>
        </w:rPr>
        <w:t xml:space="preserve"> </w:t>
      </w:r>
      <w:r>
        <w:rPr>
          <w:rFonts w:ascii="Arial" w:cs="Arial" w:eastAsia="Arial" w:hAnsi="Arial"/>
          <w:sz w:val="18"/>
          <w:szCs w:val="18"/>
          <w:i w:val="1"/>
          <w:iCs w:val="1"/>
          <w:color w:val="auto"/>
        </w:rPr>
        <w:t>situated v. Tandem Diabetes Care, Inc.</w:t>
      </w:r>
      <w:r>
        <w:rPr>
          <w:rFonts w:ascii="Arial" w:cs="Arial" w:eastAsia="Arial" w:hAnsi="Arial"/>
          <w:sz w:val="18"/>
          <w:szCs w:val="18"/>
          <w:color w:val="auto"/>
        </w:rPr>
        <w:t>, which was filed in the Superior Court of the State of California in the County of San Diego. The alleged violations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business 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w:t>
      </w:r>
    </w:p>
    <w:p>
      <w:pPr>
        <w:spacing w:after="0" w:line="215"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color w:val="auto"/>
        </w:rPr>
        <w:t>Although the Company intends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124"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From time to time, the Company is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In connection with these proceedings or matters, the Company regularly assesses the probability and amount (or range) of possible losses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proceeding or matter where no liability has been accrued, to make a reasonable estimate of the possible loss (or range of loss) that could result from an adverse outcome.</w:t>
      </w:r>
    </w:p>
    <w:p>
      <w:pPr>
        <w:spacing w:after="0" w:line="166"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As of March 31, 2021 and December 31, 2020,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March 31, 2021 (Quarterly Report).</w:t>
      </w:r>
    </w:p>
    <w:p>
      <w:pPr>
        <w:spacing w:after="0" w:line="170"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integration of acquisitions and partner technologies, and the application of accounting guidance. We caution you that the foregoing list may not include all of the forward-looking statements made in this Quarterly Report.</w:t>
      </w:r>
    </w:p>
    <w:p>
      <w:pPr>
        <w:spacing w:after="0" w:line="172"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77"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5"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We are a medical device company with a positively different approach to the design, development and commercialization of products for people with insulin-dependent diabetes. Diabetes management can vary greatly from person-to-person, creating multiple market segments based on clinical needs and personal preferences. We aim to improve and simplify the lives of all people living with insulin-dependent diabetes and those of their healthcare providers, by delivering innovative hardware and software solutions, as well as best-in-class customer support.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w:t>
      </w:r>
    </w:p>
    <w:p>
      <w:pPr>
        <w:spacing w:after="0" w:line="178" w:lineRule="exact"/>
        <w:rPr>
          <w:sz w:val="20"/>
          <w:szCs w:val="20"/>
          <w:color w:val="auto"/>
        </w:rPr>
      </w:pPr>
    </w:p>
    <w:p>
      <w:pPr>
        <w:ind w:right="100" w:firstLine="810"/>
        <w:spacing w:after="0" w:line="286"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 configurations in the United States since 2012 and three insulin pump configurations outside the United States since 2018. Today, our software-updatable t:slim X2 hardware platform represents 100% of our new pump shipments.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Our simple-to-use t:slim X2 is based on our proprietary technology platform and is the smallest durable insulin pump available. We have commercially offered our pump technology integrated with three generations of Dexcom’s continuous glucose monitoring (CGM) sensors. The t:slim X2 is the only pump on which remote software updates have been commercially available in the United States. This experience, which offers and supports different software updates quickly and easily from a personal computer through the use of our revolutionary tool referred to as Tandem Device Updater (TDU), provides us with a unique competitive advantage. Two of our updates provided our users access to our automated insulin delivery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their targeted glycemic range. It is the first and only system cleared by the U.S. Food and Drug Administration (FDA) to deliver automatic correction boluses in addition to adjusting insulin to help prevent high and low blood sugar. Outside the United States we began selling t:slim X2 with Dexcom G5 integration in the third quarter of 2018, offering no-cost software updates for Basal-IQ technology in the third quarter of 2019 and for Control-IQ technology beginning in the third quarter of 2020. We intend to continue our scaled launch of Control-IQ technology outside the United States throughout the remainder of 2021, subject to securing necessary regulatory clearances or approvals. We continue to offer both AID algorithms on the market to support the varying needs of people living with diabetes.</w:t>
      </w:r>
    </w:p>
    <w:p>
      <w:pPr>
        <w:spacing w:after="0" w:line="174"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as well as a variety of accessories designed for enhanced usability. We also offer t:connect, a web-based data management application that provides users, their caregivers and their healthcare providers with a fast, easy and visual way to display diabetes therapy management data from our pumps, integrated CGMs and supported blood glucose meters.</w:t>
      </w:r>
    </w:p>
    <w:p>
      <w:pPr>
        <w:spacing w:after="0" w:line="161"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In the four-year period ended March 31, 2021, we shipped approximately 239,000 insulin pumps, which is representative of our estimated global installed customer base, assuming the typical four-year reimbursement cycle. Approximately 186,000 of these pumps were shipped to customers in the United States and approximately 53,000 were shipped to international markets.</w:t>
      </w:r>
    </w:p>
    <w:p>
      <w:pPr>
        <w:spacing w:after="0" w:line="184"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For the three months ended March 31, 2021 and 2020, our consolidated sales were $141.0 million and $97.9 million, respectively. For the three months ended March 31, 2021 and 2020, our net loss was $5.0 million and $14.9 million, respectively. Worldwide pump sales accounted for 58% and 63% of our total sales for the three months ended March 31, 2021 and 2020, respectively, while pump-related supplies and accessories accounted for the remainder in each year. Our accumulated deficit as of March 31, 2021 and December 31, 2020 was $655.2 million and $659.2 million, respectively. These amounts included $305.8 million and $292.1 million of accumulated non-cash stock-based compensation charges and non-cash charges from the change in fair value of common stock warrants as of March 31, 2021 and December 31, 2020, respectively.</w:t>
      </w:r>
    </w:p>
    <w:p>
      <w:pPr>
        <w:spacing w:after="0" w:line="178"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In support of our digital health strategy, we continue to offer and improve t:connect and TDU, and also develop and launch other complementary offerings. In the first quarter of 2020, we began a limited launch in the United States of our first-generation t:connect mobile application, followed by general availability in July 2020. This mobile app wirelessly uploads pump data to our t:connect diabetes management application, receives notification of pump alerts and alarms, and provides a discrete, secondary display of glucose and insulin data. The availability of this mobile app is intended to reduce patient burden and increase healthcare provider office efficiency by reducing the manual and more time-consuming steps historically required for data extraction. In addition, in the second quarter of 2020, we acquired Sugarmate, the developer of a popular app designed to help people visualize diabetes therapy data in innovative ways that also connects with many other popular, consumer-friendly devices. We intend to support the Sugarmate app in addition to our t:connect mobile app to provide a wide variety of features intended to benefit a broad community of people with diabetes.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68" w:lineRule="auto"/>
        <w:rPr>
          <w:sz w:val="20"/>
          <w:szCs w:val="20"/>
          <w:color w:val="auto"/>
        </w:rPr>
      </w:pPr>
      <w:r>
        <w:rPr>
          <w:rFonts w:ascii="Arial" w:cs="Arial" w:eastAsia="Arial" w:hAnsi="Arial"/>
          <w:sz w:val="17"/>
          <w:szCs w:val="17"/>
          <w:color w:val="auto"/>
        </w:rPr>
        <w:t>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an expanding number of geographies outside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studies using Control-IQ technology that were published in the New England Journal of Medicine in October 2019 and August 2020, and post-market real-world data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TDU,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25" w:lineRule="exact"/>
        <w:rPr>
          <w:sz w:val="20"/>
          <w:szCs w:val="20"/>
          <w:color w:val="auto"/>
        </w:rPr>
      </w:pPr>
    </w:p>
    <w:p>
      <w:pPr>
        <w:ind w:right="100" w:firstLine="810"/>
        <w:spacing w:after="0" w:line="269" w:lineRule="auto"/>
        <w:rPr>
          <w:sz w:val="20"/>
          <w:szCs w:val="20"/>
          <w:color w:val="auto"/>
        </w:rPr>
      </w:pPr>
      <w:r>
        <w:rPr>
          <w:rFonts w:ascii="Arial" w:cs="Arial" w:eastAsia="Arial" w:hAnsi="Arial"/>
          <w:sz w:val="17"/>
          <w:szCs w:val="17"/>
          <w:color w:val="auto"/>
        </w:rPr>
        <w:t>We are deemed an essential healthcare business under applicable governmental orders based on the critical nature of the products we offer and the communities we serve. We experienced modest impacts from the COVID-19 global pandemic during the first quarter of 2020, which became more pronounced beginning in the second quarter and continuing through the current period. Initially, the impact on our business was relatively consistent worldwide but we have since seen varying degrees of impact in international markets based on local conditions. We anticipate that our sales and operating results will continue to be adversely impacted and subject to unpredictable variability for the duration of the pandemic. For example, we have experienced delays in certain programs of up to three or six months from when they were originally planned, such as human factors studies associated with our product development efforts. In addition, regulatory timelines have been and may continue to be difficult to predict as the FDA has stated that its review process may take longer than normal due to the impact of the COVID-19 global pandemic, and we have experienced delays in the review of pending submissions. The full extent of the impact of the COVID-19 global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182" w:lineRule="exact"/>
        <w:rPr>
          <w:sz w:val="20"/>
          <w:szCs w:val="20"/>
          <w:color w:val="auto"/>
        </w:rPr>
      </w:pPr>
    </w:p>
    <w:p>
      <w:pPr>
        <w:ind w:right="40" w:firstLine="810"/>
        <w:spacing w:after="0" w:line="289" w:lineRule="auto"/>
        <w:rPr>
          <w:sz w:val="20"/>
          <w:szCs w:val="20"/>
          <w:color w:val="auto"/>
        </w:rPr>
      </w:pPr>
      <w:r>
        <w:rPr>
          <w:rFonts w:ascii="Arial" w:cs="Arial" w:eastAsia="Arial" w:hAnsi="Arial"/>
          <w:sz w:val="16"/>
          <w:szCs w:val="16"/>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We continue to restrict non-essential employee travel and ban non-essential visitors from all of our facilities. Those employees who are able to perform their job functions outside of our facilities continue to work in a remote environment. We are planning for employees to return to our offices in a limited capacity over a period of several months. For our field-based sales and clinical employees, we initially discontinued all in-person activities and began utilizing technology to remotely engage healthcare providers and customers. We continue to work closely with our healthcare providers and customers, remaining flexible in our method of interaction. To help ensure the safety and health of our employees in manufacturing and warehousing positions involved in production and fulfillment operations, we have implemented preventative measures to comply with social distancing requirements and require temperature checks of our employees before each shift.</w:t>
      </w:r>
    </w:p>
    <w:p>
      <w:pPr>
        <w:spacing w:after="0" w:line="166"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response to developments surrounding the COVID-19 global pandemic, we initiated discussions with our key suppliers in early 2020 regarding their abilities to fulfill existing orders, and we have continued to regularly assess their capacity. During the first six months of 2020, we experienced certain challenges managing our inventory, primarily due to the impacts of the COVID-19 global pandemic. For example, in the first quarter of 2020, we observed customers purchasing cartridges and infusion sets at a higher rate than anticipated. In addition, during the second quarter of 2020, our infusion set manufacturer experienced certain inventory constraints which resulted in us asking some customers to accept substitutions of similar products to prevent delays in order fulfillment. At this time, we believe many of our suppliers are deemed essential businesses under applicable governmental orders, and we have not experienced, and do not anticipate experiencing, disruption in our ability to manufacture insulin pumps and cartridges due to component procurement limitations. Our finished goods and raw material inventory, as well as available manufacturing capacity, position us well to respond to unforeseen disruptions in the near term.</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Commercially, we have been communicating with our customers and healthcare providers through social media, direct email outreach and our website, in addition to regular communications sent by our sales and clinical employees. We are also leveraging our technology platforms, such as our t:connect diabetes management application, to support healthcare providers utilizing telehealth capabilities in their practices. By the end of the first quarter of 2020, we expanded our remote new pump training offering to all customers who purchased a t:slim X2 insulin pump, and in the third quarter of 2020, we resumed offering in-person trainings under specific conditions.</w:t>
      </w:r>
    </w:p>
    <w:p>
      <w:pPr>
        <w:spacing w:after="0" w:line="188"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We are prudently managing our use of cash and completed a convertible debt financing in May 2020 to further strengthen our balance sheet.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through the recruitment of key employees, advancement of our research and development pipeline, and implementation of technology solutions. We will continue to evaluate our business operations and strategy based on new information as it becomes available and will make changes that we consider necessary in light of this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 connected (mobile) health offering, a next-generation hardware platform, which we refer to as the t:sport Insulin Delivery System (t:sport), AID system enhancements, and additional CGM integrations with our current and future products.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88" w:lineRule="exact"/>
        <w:rPr>
          <w:sz w:val="20"/>
          <w:szCs w:val="20"/>
          <w:color w:val="auto"/>
        </w:rPr>
      </w:pPr>
    </w:p>
    <w:p>
      <w:pPr>
        <w:ind w:left="1300" w:right="20" w:hanging="644"/>
        <w:spacing w:after="0" w:line="289"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Connected (Mobile) Health Offerings – </w:t>
      </w:r>
      <w:r>
        <w:rPr>
          <w:rFonts w:ascii="Arial" w:cs="Arial" w:eastAsia="Arial" w:hAnsi="Arial"/>
          <w:sz w:val="16"/>
          <w:szCs w:val="16"/>
          <w:color w:val="auto"/>
        </w:rPr>
        <w:t>In July 2020 we began offering the first version of our t:connect mobile application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wirelessly uploads pump data to our cloud-based t:connect diabetes management application, receives notification of pump alerts and alarms, and provides a discrete, secondary display of glucose and insulin data. Future updates of our mobile application are planned to include mobile bolus delivery, add further pump control features, integrate other health-related information from third-party sources and support future capabilities for our products under development. In the future, we plan to provide mobile health offerings to all users, including pump users, caregivers and healthcare providers, with a simplified and tailored user experience. Our mobile health offerings are being designed to enhance the user experience, streamline the pump and supplies purchasing process, and provide internal efficiencies. In the future, data from our centralized system may be used for new product development, continuous product improvement, and for the generation of health economic outcomes data, and may ultimately support other advanced technology and patient monitoring services.</w:t>
      </w:r>
    </w:p>
    <w:p>
      <w:pPr>
        <w:spacing w:after="0" w:line="166" w:lineRule="exact"/>
        <w:rPr>
          <w:rFonts w:ascii="Arial" w:cs="Arial" w:eastAsia="Arial" w:hAnsi="Arial"/>
          <w:sz w:val="16"/>
          <w:szCs w:val="16"/>
          <w:color w:val="auto"/>
        </w:rPr>
      </w:pPr>
    </w:p>
    <w:p>
      <w:pPr>
        <w:ind w:left="1300" w:right="140" w:hanging="644"/>
        <w:spacing w:after="0" w:line="273" w:lineRule="auto"/>
        <w:tabs>
          <w:tab w:leader="none" w:pos="129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t:sport Insulin Delivery System – </w:t>
      </w:r>
      <w:r>
        <w:rPr>
          <w:rFonts w:ascii="Arial" w:cs="Arial" w:eastAsia="Arial" w:hAnsi="Arial"/>
          <w:sz w:val="17"/>
          <w:szCs w:val="17"/>
          <w:color w:val="auto"/>
        </w:rPr>
        <w:t>Approximately half the size of our t:slim X2 pump, the t:sport pump is being designed for people who</w:t>
      </w:r>
      <w:r>
        <w:rPr>
          <w:rFonts w:ascii="Arial" w:cs="Arial" w:eastAsia="Arial" w:hAnsi="Arial"/>
          <w:sz w:val="17"/>
          <w:szCs w:val="17"/>
          <w:i w:val="1"/>
          <w:iCs w:val="1"/>
          <w:color w:val="auto"/>
        </w:rPr>
        <w:t xml:space="preserve"> </w:t>
      </w:r>
      <w:r>
        <w:rPr>
          <w:rFonts w:ascii="Arial" w:cs="Arial" w:eastAsia="Arial" w:hAnsi="Arial"/>
          <w:sz w:val="17"/>
          <w:szCs w:val="17"/>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full mobile control availability.</w:t>
      </w:r>
    </w:p>
    <w:p>
      <w:pPr>
        <w:spacing w:after="0" w:line="177" w:lineRule="exact"/>
        <w:rPr>
          <w:rFonts w:ascii="Arial" w:cs="Arial" w:eastAsia="Arial" w:hAnsi="Arial"/>
          <w:sz w:val="17"/>
          <w:szCs w:val="17"/>
          <w:i w:val="1"/>
          <w:iCs w:val="1"/>
          <w:color w:val="auto"/>
        </w:rPr>
      </w:pPr>
    </w:p>
    <w:p>
      <w:pPr>
        <w:ind w:left="1300" w:right="60" w:hanging="644"/>
        <w:spacing w:after="0" w:line="311" w:lineRule="auto"/>
        <w:tabs>
          <w:tab w:leader="none" w:pos="129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AID Enhancements – </w:t>
      </w:r>
      <w:r>
        <w:rPr>
          <w:rFonts w:ascii="Arial" w:cs="Arial" w:eastAsia="Arial" w:hAnsi="Arial"/>
          <w:sz w:val="16"/>
          <w:szCs w:val="16"/>
          <w:color w:val="auto"/>
        </w:rPr>
        <w:t>We intend to further enhance our automated insulin delivery system and are considering alternative strategies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new features and benefits to our customers on a regular basis. In addition to algorithm enhancements intended to improve clinical outcomes, we are also developing new features for greater personalization and refinements to the overall system usability.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right="20" w:hanging="644"/>
        <w:spacing w:after="0" w:line="291" w:lineRule="auto"/>
        <w:tabs>
          <w:tab w:leader="none" w:pos="129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Additional CGM Integration – </w:t>
      </w:r>
      <w:r>
        <w:rPr>
          <w:rFonts w:ascii="Arial" w:cs="Arial" w:eastAsia="Arial" w:hAnsi="Arial"/>
          <w:sz w:val="16"/>
          <w:szCs w:val="16"/>
          <w:color w:val="auto"/>
        </w:rPr>
        <w:t>In June 2020 we announced an agreement with Abbott to develop and commercialize integrated diabetes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that combine Abbott’s CGM technology with our insulin delivery systems to provide more options for people to manage their diabetes.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 In November 2020, we entered into an agreement with Dexcom to extend our current collaboration to include integration with Dexcom’s future G7 CGM technology. Following integrated product development work, and required regulatory clearances or approvals, this will be the fourth generation of Dexcom CGM that we intend to integrate with our devices.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In the four-year period ended March 31, 2021, we shipped approximately 239,000 insulin pumps, of which approximately 186,000 were shipped to customers in the United States and approximately 53,000 were shipped to international markets.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6640" w:type="dxa"/>
            <w:vAlign w:val="bottom"/>
            <w:tcBorders>
              <w:bottom w:val="single" w:sz="8" w:color="auto"/>
            </w:tcBorders>
            <w:gridSpan w:val="9"/>
          </w:tcPr>
          <w:p>
            <w:pPr>
              <w:jc w:val="center"/>
              <w:ind w:left="973"/>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 - U.S.</w:t>
            </w:r>
          </w:p>
        </w:tc>
        <w:tc>
          <w:tcPr>
            <w:tcW w:w="1080" w:type="dxa"/>
            <w:vAlign w:val="bottom"/>
            <w:tcBorders>
              <w:bottom w:val="single" w:sz="8" w:color="auto"/>
            </w:tcBorders>
          </w:tcPr>
          <w:p>
            <w:pPr>
              <w:spacing w:after="0"/>
              <w:rPr>
                <w:sz w:val="16"/>
                <w:szCs w:val="16"/>
                <w:color w:val="auto"/>
              </w:rPr>
            </w:pPr>
          </w:p>
        </w:tc>
      </w:tr>
      <w:tr>
        <w:trPr>
          <w:trHeight w:val="187"/>
        </w:trPr>
        <w:tc>
          <w:tcPr>
            <w:tcW w:w="3460" w:type="dxa"/>
            <w:vAlign w:val="bottom"/>
          </w:tcPr>
          <w:p>
            <w:pPr>
              <w:spacing w:after="0"/>
              <w:rPr>
                <w:sz w:val="16"/>
                <w:szCs w:val="16"/>
                <w:color w:val="auto"/>
              </w:rPr>
            </w:pP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96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24"/>
        </w:trPr>
        <w:tc>
          <w:tcPr>
            <w:tcW w:w="3460" w:type="dxa"/>
            <w:vAlign w:val="bottom"/>
            <w:tcBorders>
              <w:top w:val="single" w:sz="8" w:color="CFF0FC"/>
            </w:tcBorders>
            <w:shd w:val="clear" w:color="auto" w:fill="CFF0FC"/>
          </w:tcPr>
          <w:p>
            <w:pPr>
              <w:jc w:val="right"/>
              <w:ind w:right="2990"/>
              <w:spacing w:after="0"/>
              <w:rPr>
                <w:sz w:val="20"/>
                <w:szCs w:val="20"/>
                <w:color w:val="auto"/>
              </w:rPr>
            </w:pPr>
            <w:r>
              <w:rPr>
                <w:rFonts w:ascii="Arial" w:cs="Arial" w:eastAsia="Arial" w:hAnsi="Arial"/>
                <w:sz w:val="18"/>
                <w:szCs w:val="18"/>
                <w:color w:val="auto"/>
                <w:w w:val="89"/>
              </w:rPr>
              <w:t>2012</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2013</w:t>
            </w:r>
          </w:p>
        </w:tc>
        <w:tc>
          <w:tcPr>
            <w:tcW w:w="14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6,472</w:t>
            </w:r>
          </w:p>
        </w:tc>
      </w:tr>
      <w:tr>
        <w:trPr>
          <w:trHeight w:val="230"/>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2014</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r>
      <w:tr>
        <w:trPr>
          <w:trHeight w:val="229"/>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2015</w:t>
            </w:r>
          </w:p>
        </w:tc>
        <w:tc>
          <w:tcPr>
            <w:tcW w:w="144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15,483</w:t>
            </w:r>
          </w:p>
        </w:tc>
      </w:tr>
      <w:tr>
        <w:trPr>
          <w:trHeight w:val="230"/>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2016</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r>
      <w:tr>
        <w:trPr>
          <w:trHeight w:val="230"/>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2017</w:t>
            </w:r>
          </w:p>
        </w:tc>
        <w:tc>
          <w:tcPr>
            <w:tcW w:w="144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29"/>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2018</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r>
      <w:tr>
        <w:trPr>
          <w:trHeight w:val="230"/>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53,735</w:t>
            </w:r>
          </w:p>
        </w:tc>
      </w:tr>
      <w:tr>
        <w:trPr>
          <w:trHeight w:val="230"/>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70,825</w:t>
            </w:r>
          </w:p>
        </w:tc>
      </w:tr>
      <w:tr>
        <w:trPr>
          <w:trHeight w:val="230"/>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2021</w:t>
            </w:r>
          </w:p>
        </w:tc>
        <w:tc>
          <w:tcPr>
            <w:tcW w:w="1440" w:type="dxa"/>
            <w:vAlign w:val="bottom"/>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tcPr>
          <w:p>
            <w:pPr>
              <w:spacing w:after="0"/>
              <w:rPr>
                <w:sz w:val="20"/>
                <w:szCs w:val="20"/>
                <w:color w:val="auto"/>
              </w:rPr>
            </w:pPr>
          </w:p>
        </w:tc>
        <w:tc>
          <w:tcPr>
            <w:tcW w:w="156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1960" w:type="dxa"/>
            <w:vAlign w:val="bottom"/>
            <w:gridSpan w:val="3"/>
          </w:tcPr>
          <w:p>
            <w:pPr>
              <w:ind w:left="114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16,644</w:t>
            </w: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6720" w:type="dxa"/>
            <w:vAlign w:val="bottom"/>
            <w:tcBorders>
              <w:bottom w:val="single" w:sz="8" w:color="auto"/>
            </w:tcBorders>
            <w:gridSpan w:val="9"/>
          </w:tcPr>
          <w:p>
            <w:pPr>
              <w:jc w:val="center"/>
              <w:ind w:left="816"/>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c>
          <w:tcPr>
            <w:tcW w:w="900" w:type="dxa"/>
            <w:vAlign w:val="bottom"/>
            <w:tcBorders>
              <w:bottom w:val="single" w:sz="8" w:color="auto"/>
            </w:tcBorders>
          </w:tcPr>
          <w:p>
            <w:pPr>
              <w:spacing w:after="0"/>
              <w:rPr>
                <w:sz w:val="16"/>
                <w:szCs w:val="16"/>
                <w:color w:val="auto"/>
              </w:rPr>
            </w:pPr>
          </w:p>
        </w:tc>
      </w:tr>
      <w:tr>
        <w:trPr>
          <w:trHeight w:val="187"/>
        </w:trPr>
        <w:tc>
          <w:tcPr>
            <w:tcW w:w="3580" w:type="dxa"/>
            <w:vAlign w:val="bottom"/>
          </w:tcPr>
          <w:p>
            <w:pPr>
              <w:spacing w:after="0"/>
              <w:rPr>
                <w:sz w:val="16"/>
                <w:szCs w:val="16"/>
                <w:color w:val="auto"/>
              </w:rPr>
            </w:pP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08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474"/>
              <w:spacing w:after="0"/>
              <w:rPr>
                <w:sz w:val="20"/>
                <w:szCs w:val="20"/>
                <w:color w:val="auto"/>
              </w:rPr>
            </w:pPr>
            <w:r>
              <w:rPr>
                <w:rFonts w:ascii="Arial" w:cs="Arial" w:eastAsia="Arial" w:hAnsi="Arial"/>
                <w:sz w:val="14"/>
                <w:szCs w:val="14"/>
                <w:b w:val="1"/>
                <w:bCs w:val="1"/>
                <w:color w:val="auto"/>
                <w:w w:val="95"/>
              </w:rPr>
              <w:t>Total</w:t>
            </w:r>
          </w:p>
        </w:tc>
      </w:tr>
      <w:tr>
        <w:trPr>
          <w:trHeight w:val="224"/>
        </w:trPr>
        <w:tc>
          <w:tcPr>
            <w:tcW w:w="3580" w:type="dxa"/>
            <w:vAlign w:val="bottom"/>
            <w:tcBorders>
              <w:top w:val="single" w:sz="8" w:color="CFF0FC"/>
            </w:tcBorders>
            <w:shd w:val="clear" w:color="auto" w:fill="CFF0FC"/>
          </w:tcPr>
          <w:p>
            <w:pPr>
              <w:jc w:val="right"/>
              <w:ind w:right="3110"/>
              <w:spacing w:after="0"/>
              <w:rPr>
                <w:sz w:val="20"/>
                <w:szCs w:val="20"/>
                <w:color w:val="auto"/>
              </w:rPr>
            </w:pPr>
            <w:r>
              <w:rPr>
                <w:rFonts w:ascii="Arial" w:cs="Arial" w:eastAsia="Arial" w:hAnsi="Arial"/>
                <w:sz w:val="18"/>
                <w:szCs w:val="18"/>
                <w:color w:val="auto"/>
                <w:w w:val="89"/>
              </w:rPr>
              <w:t>2018</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29"/>
        </w:trPr>
        <w:tc>
          <w:tcPr>
            <w:tcW w:w="3580" w:type="dxa"/>
            <w:vAlign w:val="bottom"/>
          </w:tcPr>
          <w:p>
            <w:pPr>
              <w:jc w:val="right"/>
              <w:ind w:right="3110"/>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30"/>
        </w:trPr>
        <w:tc>
          <w:tcPr>
            <w:tcW w:w="3580" w:type="dxa"/>
            <w:vAlign w:val="bottom"/>
            <w:shd w:val="clear" w:color="auto" w:fill="CFF0FC"/>
          </w:tcPr>
          <w:p>
            <w:pPr>
              <w:jc w:val="right"/>
              <w:ind w:right="3110"/>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19,946</w:t>
            </w:r>
          </w:p>
        </w:tc>
      </w:tr>
      <w:tr>
        <w:trPr>
          <w:trHeight w:val="230"/>
        </w:trPr>
        <w:tc>
          <w:tcPr>
            <w:tcW w:w="3580" w:type="dxa"/>
            <w:vAlign w:val="bottom"/>
          </w:tcPr>
          <w:p>
            <w:pPr>
              <w:jc w:val="right"/>
              <w:ind w:right="3110"/>
              <w:spacing w:after="0"/>
              <w:rPr>
                <w:sz w:val="20"/>
                <w:szCs w:val="20"/>
                <w:color w:val="auto"/>
              </w:rPr>
            </w:pPr>
            <w:r>
              <w:rPr>
                <w:rFonts w:ascii="Arial" w:cs="Arial" w:eastAsia="Arial" w:hAnsi="Arial"/>
                <w:sz w:val="18"/>
                <w:szCs w:val="18"/>
                <w:color w:val="auto"/>
                <w:w w:val="89"/>
              </w:rPr>
              <w:t>2021</w:t>
            </w:r>
          </w:p>
        </w:tc>
        <w:tc>
          <w:tcPr>
            <w:tcW w:w="1440" w:type="dxa"/>
            <w:vAlign w:val="bottom"/>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80" w:type="dxa"/>
            <w:vAlign w:val="bottom"/>
            <w:gridSpan w:val="3"/>
          </w:tcPr>
          <w:p>
            <w:pPr>
              <w:jc w:val="right"/>
              <w:ind w:right="660"/>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8,708</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Condition and Operating Results</w:t>
      </w:r>
    </w:p>
    <w:p>
      <w:pPr>
        <w:spacing w:after="0" w:line="22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70" w:lineRule="exact"/>
        <w:rPr>
          <w:sz w:val="20"/>
          <w:szCs w:val="20"/>
          <w:color w:val="auto"/>
        </w:rPr>
      </w:pPr>
    </w:p>
    <w:p>
      <w:pPr>
        <w:ind w:left="1960" w:right="36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960" w:right="12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36" w:lineRule="exact"/>
        <w:rPr>
          <w:rFonts w:ascii="Arial" w:cs="Arial" w:eastAsia="Arial" w:hAnsi="Arial"/>
          <w:sz w:val="17"/>
          <w:szCs w:val="17"/>
          <w:color w:val="auto"/>
        </w:rPr>
      </w:pPr>
    </w:p>
    <w:p>
      <w:pPr>
        <w:ind w:left="1960" w:right="26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70"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privacy breaches, which may subject us to legal and regulatory proceedings and substantial fines, penalties and expenses, as well as significant reputational harm;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225" w:lineRule="exact"/>
        <w:rPr>
          <w:rFonts w:ascii="Arial" w:cs="Arial" w:eastAsia="Arial" w:hAnsi="Arial"/>
          <w:sz w:val="18"/>
          <w:szCs w:val="18"/>
          <w:color w:val="auto"/>
        </w:rPr>
      </w:pPr>
    </w:p>
    <w:p>
      <w:pPr>
        <w:ind w:left="1960" w:right="26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70"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70" w:lineRule="exact"/>
        <w:rPr>
          <w:sz w:val="20"/>
          <w:szCs w:val="20"/>
          <w:color w:val="auto"/>
        </w:rPr>
      </w:pPr>
    </w:p>
    <w:p>
      <w:pPr>
        <w:ind w:left="1960" w:right="66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70" w:lineRule="exact"/>
        <w:rPr>
          <w:rFonts w:ascii="Arial" w:cs="Arial" w:eastAsia="Arial" w:hAnsi="Arial"/>
          <w:sz w:val="18"/>
          <w:szCs w:val="18"/>
          <w:color w:val="auto"/>
        </w:rPr>
      </w:pPr>
    </w:p>
    <w:p>
      <w:pPr>
        <w:ind w:left="1960" w:right="80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in additional geographies, and the demonstrated success of our Tandem Device Updater;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 from July 2016 through June 2020;</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and new product launches in select international geographies, including initial orders to stock inventories; and</w:t>
      </w:r>
    </w:p>
    <w:p>
      <w:pPr>
        <w:spacing w:after="0" w:line="236" w:lineRule="exact"/>
        <w:rPr>
          <w:rFonts w:ascii="Arial" w:cs="Arial" w:eastAsia="Arial" w:hAnsi="Arial"/>
          <w:sz w:val="17"/>
          <w:szCs w:val="17"/>
          <w:color w:val="auto"/>
        </w:rPr>
      </w:pPr>
    </w:p>
    <w:p>
      <w:pPr>
        <w:ind w:left="1960" w:right="20" w:hanging="656"/>
        <w:spacing w:after="0" w:line="263"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211"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In addition to working to achieve our sales growth expectations, in the long-term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and again in the fourth quarters of 2019 and 2020. Though we may be unable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cartridges and infusion sets, as well as our complementary t:connect, Tandem Device Updater and mobile application products. We also offer additional accessories including protective cases, belt clips, and power adapters, although sales of these products are not significant.</w:t>
      </w:r>
    </w:p>
    <w:p>
      <w:pPr>
        <w:spacing w:after="0" w:line="178"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has had, and may continue to have, an adverse impact on our sales.</w:t>
      </w:r>
    </w:p>
    <w:p>
      <w:pPr>
        <w:spacing w:after="0" w:line="17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the third quarter of 2018, we began the launch of our t:slim X2 hardware platform through distribution partners outside the United States. Our products are now sold in more than 20 countries, including in Canada, France and Germany. The software version on the t:slim X2 hardware platform has progressed from Dexcom G5 CGM integration at initial launch, followed by Basal-IQ technology scaling across various international markets beginning in the second quarter of 2019, and most recently we commenced the launch of our Control-IQ technology in select geographies. Our launch of Control-IQ technology in international markets will continue to scale across additional geographies throughout 2021 subject to applicable regulatory and reimbursement approvals.</w:t>
      </w:r>
    </w:p>
    <w:p>
      <w:pPr>
        <w:spacing w:after="0" w:line="192"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Our independent international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76"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Internationally, we do not expect this same impact from seasonality associated with reimbursement, although the quarterly sales trends may be impacted by a number of other factors, including summer vacations and product launches into new geographies.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During 2020, the COVID-19 global pandemic had a major impact on businesses around the world. While we experienced only a modest negative impact from the pandemic during the first quarter of 2020, which became more pronounced in the second quarter and remained through the end of the year, we anticipate that our sales and operating results will continue to be adversely impacted for the duration of the pandemic. Starting in March 2020, we ceased nearly all in-person sales, marketing and training activities and adopted numerous other changes to our daily business operations. These changes primarily remain in effect as of the date of this report and, while we are planning for employees to return to our offices in a limited capacity, it remains uncertain when we may be able to resume our normal operations. Accordingly, we anticipate that our sales may not follow historical trends and may be subject to unpredictable variability in the coming months based on varying levels of impact of the global pandemic across the markets in which we operate. Our sales outside the United States have been negatively impacted due to similar disruptions. Initially, the impact was relatively consistent worldwide but we have since seen varying degrees of impact in international markets based on local conditions.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82"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instance, we believe certain customers paused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ind w:right="80" w:firstLine="810"/>
        <w:spacing w:after="0" w:line="287" w:lineRule="auto"/>
        <w:rPr>
          <w:sz w:val="20"/>
          <w:szCs w:val="20"/>
          <w:color w:val="auto"/>
        </w:rPr>
      </w:pPr>
      <w:r>
        <w:rPr>
          <w:rFonts w:ascii="Arial" w:cs="Arial" w:eastAsia="Arial" w:hAnsi="Arial"/>
          <w:sz w:val="16"/>
          <w:szCs w:val="16"/>
          <w:color w:val="auto"/>
        </w:rPr>
        <w:t>Historically, we have manufactured our pumps and disposable cartridges at our manufacturing facility in San Diego, California. Near the end of the first quarter of 2020, our third-party cartridge manufacturer completed validation and commenced commercial-scale manufacturing to supplement our existing cartridge manufacturing capacity. We expect to increase production capacity and volumes at our third-party cartridge manufacturer over the next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24 months.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91" w:lineRule="exact"/>
        <w:rPr>
          <w:sz w:val="20"/>
          <w:szCs w:val="20"/>
          <w:color w:val="auto"/>
        </w:rPr>
      </w:pPr>
    </w:p>
    <w:p>
      <w:pPr>
        <w:ind w:right="40" w:firstLine="810"/>
        <w:spacing w:after="0" w:line="267" w:lineRule="auto"/>
        <w:rPr>
          <w:sz w:val="20"/>
          <w:szCs w:val="20"/>
          <w:color w:val="auto"/>
        </w:rPr>
      </w:pPr>
      <w:r>
        <w:rPr>
          <w:rFonts w:ascii="Arial" w:cs="Arial" w:eastAsia="Arial" w:hAnsi="Arial"/>
          <w:sz w:val="17"/>
          <w:szCs w:val="17"/>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whether as a result of the COVID-19 global pandemic, or for other reasons,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have implemented operational changes that may introduce unpredictable variability to our cost of sales, such as supplemental staffing,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Specifically, in 2020, we invested in additional manufacturing equipment to substantially increase our existing capacity in order to meet anticipated long-term demand for our cartridges, which may initially place downward pressure on the gross margin percentage associated with our pump-related supplies.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increased costs to support our digital health platforms, cost associated with excess and obsolete inventories, and changes in our manufacturing processes, capacity, costs or output.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 w:firstLine="810"/>
        <w:spacing w:after="0" w:line="285" w:lineRule="auto"/>
        <w:rPr>
          <w:sz w:val="20"/>
          <w:szCs w:val="20"/>
          <w:color w:val="auto"/>
        </w:rPr>
      </w:pPr>
      <w:r>
        <w:rPr>
          <w:rFonts w:ascii="Arial" w:cs="Arial" w:eastAsia="Arial" w:hAnsi="Arial"/>
          <w:sz w:val="16"/>
          <w:szCs w:val="16"/>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for our products. We had approximately 95 sales territories in the United States as of March 31, 2021.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recognized higher non-cash stock-based compensation expense through the first half of 2020, and experienced a reduction in expense beginning in the third quarter of 2020 as certain 2018 employee stock option grants became fully amortized. We anticipate that we will continue to see improvement in non-cash stock-based compensation expense as a percent of sales in future years.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Other income and expense primarily consists of changes in the fair value of certain warrants issued in connection with our public offering of common stock in October 2017, interest expense which includes the amortization of debt issuance costs related to our 1.50% Convertible Senior Notes due 2025, issued in May 2020 (our Notes), and interest earned on our cash equivalents and short-term investments. We expect interest expense in future quarters to be comparable with that of the first quarter of 2021, assuming that none of the Notes are converted or redeemed, and total other income and expense, net to fluctuate from period to period primarily due to the revaluation of the outstanding Series A warrants, which expire in the fourth quarter of 2022.</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500" w:firstLine="810"/>
        <w:spacing w:after="0" w:line="311"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780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(in thousands, except percentages)</w:t>
            </w:r>
          </w:p>
        </w:tc>
        <w:tc>
          <w:tcPr>
            <w:tcW w:w="400" w:type="dxa"/>
            <w:vAlign w:val="bottom"/>
          </w:tcPr>
          <w:p>
            <w:pPr>
              <w:spacing w:after="0"/>
              <w:rPr>
                <w:sz w:val="11"/>
                <w:szCs w:val="11"/>
                <w:color w:val="auto"/>
              </w:rPr>
            </w:pPr>
          </w:p>
        </w:tc>
        <w:tc>
          <w:tcPr>
            <w:tcW w:w="1300" w:type="dxa"/>
            <w:vAlign w:val="bottom"/>
          </w:tcPr>
          <w:p>
            <w:pPr>
              <w:jc w:val="right"/>
              <w:ind w:right="613"/>
              <w:spacing w:after="0" w:line="11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jc w:val="right"/>
              <w:ind w:right="571"/>
              <w:spacing w:after="0" w:line="115" w:lineRule="exact"/>
              <w:rPr>
                <w:sz w:val="20"/>
                <w:szCs w:val="20"/>
                <w:color w:val="auto"/>
              </w:rPr>
            </w:pPr>
            <w:r>
              <w:rPr>
                <w:rFonts w:ascii="Arial" w:cs="Arial" w:eastAsia="Arial" w:hAnsi="Arial"/>
                <w:sz w:val="13"/>
                <w:szCs w:val="13"/>
                <w:b w:val="1"/>
                <w:bCs w:val="1"/>
                <w:color w:val="auto"/>
              </w:rPr>
              <w:t>2020</w:t>
            </w:r>
          </w:p>
        </w:tc>
      </w:tr>
      <w:tr>
        <w:trPr>
          <w:trHeight w:val="34"/>
        </w:trPr>
        <w:tc>
          <w:tcPr>
            <w:tcW w:w="20" w:type="dxa"/>
            <w:vAlign w:val="bottom"/>
            <w:tcBorders>
              <w:bottom w:val="single" w:sz="8" w:color="CFF0FC"/>
            </w:tcBorders>
          </w:tcPr>
          <w:p>
            <w:pPr>
              <w:spacing w:after="0"/>
              <w:rPr>
                <w:sz w:val="2"/>
                <w:szCs w:val="2"/>
                <w:color w:val="auto"/>
              </w:rPr>
            </w:pPr>
          </w:p>
        </w:tc>
        <w:tc>
          <w:tcPr>
            <w:tcW w:w="2100" w:type="dxa"/>
            <w:vAlign w:val="bottom"/>
            <w:tcBorders>
              <w:top w:val="single" w:sz="8" w:color="auto"/>
              <w:bottom w:val="single" w:sz="8" w:color="CFF0FC"/>
            </w:tcBorders>
          </w:tcPr>
          <w:p>
            <w:pPr>
              <w:spacing w:after="0"/>
              <w:rPr>
                <w:sz w:val="2"/>
                <w:szCs w:val="2"/>
                <w:color w:val="auto"/>
              </w:rPr>
            </w:pPr>
          </w:p>
        </w:tc>
        <w:tc>
          <w:tcPr>
            <w:tcW w:w="57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FF0FC"/>
          </w:tcPr>
          <w:p>
            <w:pPr>
              <w:spacing w:after="0"/>
              <w:rPr>
                <w:sz w:val="18"/>
                <w:szCs w:val="18"/>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Domestic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103,339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79,546</w:t>
            </w:r>
          </w:p>
        </w:tc>
      </w:tr>
      <w:tr>
        <w:trPr>
          <w:trHeight w:val="229"/>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37,698</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18,380</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40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141,037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97,926</w:t>
            </w:r>
          </w:p>
        </w:tc>
      </w:tr>
      <w:tr>
        <w:trPr>
          <w:trHeight w:val="229"/>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67,750</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47,665</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73,287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50,261</w:t>
            </w:r>
          </w:p>
        </w:tc>
      </w:tr>
      <w:tr>
        <w:trPr>
          <w:trHeight w:val="229"/>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58,563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49,717</w:t>
            </w:r>
          </w:p>
        </w:tc>
      </w:tr>
      <w:tr>
        <w:trPr>
          <w:trHeight w:val="229"/>
        </w:trPr>
        <w:tc>
          <w:tcPr>
            <w:tcW w:w="20" w:type="dxa"/>
            <w:vAlign w:val="bottom"/>
            <w:tcBorders>
              <w:bottom w:val="single" w:sz="8" w:color="CFF0FC"/>
            </w:tcBorders>
          </w:tcPr>
          <w:p>
            <w:pPr>
              <w:spacing w:after="0"/>
              <w:rPr>
                <w:sz w:val="19"/>
                <w:szCs w:val="19"/>
                <w:color w:val="auto"/>
              </w:rPr>
            </w:pPr>
          </w:p>
        </w:tc>
        <w:tc>
          <w:tcPr>
            <w:tcW w:w="780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14,117</w:t>
            </w:r>
          </w:p>
        </w:tc>
      </w:tr>
      <w:tr>
        <w:trPr>
          <w:trHeight w:val="223"/>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76,524</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63,834</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(13,573)</w:t>
            </w:r>
          </w:p>
        </w:tc>
      </w:tr>
      <w:tr>
        <w:trPr>
          <w:trHeight w:val="229"/>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Interest income and other, net</w:t>
            </w:r>
          </w:p>
        </w:tc>
        <w:tc>
          <w:tcPr>
            <w:tcW w:w="40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726</w:t>
            </w:r>
          </w:p>
        </w:tc>
      </w:tr>
      <w:tr>
        <w:trPr>
          <w:trHeight w:val="229"/>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FF0FC"/>
            </w:tcBorders>
          </w:tcPr>
          <w:p>
            <w:pPr>
              <w:spacing w:after="0"/>
              <w:rPr>
                <w:sz w:val="19"/>
                <w:szCs w:val="19"/>
                <w:color w:val="auto"/>
              </w:rPr>
            </w:pPr>
          </w:p>
        </w:tc>
        <w:tc>
          <w:tcPr>
            <w:tcW w:w="780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Change in fair value of common stock warrants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(1,922)</w:t>
            </w:r>
          </w:p>
        </w:tc>
      </w:tr>
      <w:tr>
        <w:trPr>
          <w:trHeight w:val="223"/>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(1,196)</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(14,769)</w:t>
            </w:r>
          </w:p>
        </w:tc>
      </w:tr>
      <w:tr>
        <w:trPr>
          <w:trHeight w:val="230"/>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98</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(14,867)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29"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March 31, 2021, sales were $141.0 million, which included $37.7 million of international sales.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$97.9 million for the same period in 2020, which included $18.4 million of international sales.</w:t>
      </w:r>
    </w:p>
    <w:p>
      <w:pPr>
        <w:spacing w:after="0" w:line="197" w:lineRule="exact"/>
        <w:rPr>
          <w:sz w:val="20"/>
          <w:szCs w:val="20"/>
          <w:color w:val="auto"/>
        </w:rPr>
      </w:pPr>
    </w:p>
    <w:p>
      <w:pPr>
        <w:ind w:right="80" w:firstLine="810"/>
        <w:spacing w:after="0" w:line="311" w:lineRule="auto"/>
        <w:rPr>
          <w:sz w:val="20"/>
          <w:szCs w:val="20"/>
          <w:color w:val="auto"/>
        </w:rPr>
      </w:pPr>
      <w:r>
        <w:rPr>
          <w:rFonts w:ascii="Arial" w:cs="Arial" w:eastAsia="Arial" w:hAnsi="Arial"/>
          <w:sz w:val="16"/>
          <w:szCs w:val="16"/>
          <w:color w:val="auto"/>
        </w:rPr>
        <w:t>The increase in worldwide sales of $43.1 million in the first quarter of 2021 compared to the first quarter of 2020 was driven by a 46% increase in worldwide pump shipments to 25,352 in the first quarter of 2021, compared to 17,378 in the first quarter of 2020, and a 54% increase in pump-related supply sales. Sales of pump-related supplies increased primarily due to 53% growth in our estimated worldwide installed base of customers.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12"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FF0FC"/>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20,214</w:t>
            </w: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9,455</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8"/>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Domestic Sales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103,339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79,546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Domestic pump sales were $62.9 million for the first quarter of 2021, compared to $49.7 million in the first quarter of 2020, as pump shipments increased 27% compared to the same period in the prior year due to continued strong demand for our products following the January 2020 domestic launch of our t:slim X2 insulin pump with Control-IQ technology. Domestic pump shipments were 16,644 in the first quarter of 2021, compared to 13,158 in the first quarter of 2020. Sales of pump-related supplies increased primarily due to a 46% increase in our estimated domestic installed base of customers. Sales to distributors accounted for 68% and 69% of our total domestic sales for the three months ended March 31, 2021 and 2020,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26"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22028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18,908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12,734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6,246</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International Sales</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37,698</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International pump sales were $18.9 million for the first quarter of 2021, compared to $9.8 million in the first quarter of 2020, as pump shipments increased 106% compared to the same period in the prior year. Sales of pump-related supplies benefited from a 102% increase in our estimated international installed base of customers. The ordering patterns of our international distributors for pumps and supplies is highly variable from period to period. This variability was compounded by the varying levels of impact of the global pandemic across the international markets in which we operate. Sales to distributors accounted for 96% and 93% of our total international sales for the three months ended March 31, 2021 and 2020, respectively.</w:t>
      </w:r>
    </w:p>
    <w:p>
      <w:pPr>
        <w:spacing w:after="0" w:line="161"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March 31, 2021 was $67.8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 $73.3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$47.7 million for the same period in 2020 resulting in gross profit of $50.3 million. The gross margin for the three months ended March 31, 2021 was 52%, compared to 51% in the same period in 2020.</w:t>
      </w:r>
    </w:p>
    <w:p>
      <w:pPr>
        <w:spacing w:after="0" w:line="184"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The increase in our gross profit for the three months ended March 31, 2021 was primarily the result of the $43.1 million increase in total sales. Gross profit and gross margin both benefited from improvement in the cost per unit of our supplies from efficiencies in the manufacturing process, leverage of fixed overhead and material cost reductions. This increase was partially offset by lower worldwide pump average selling prices as international sales comprised a greater portion of total sales compared to the prior year. Gross margin was also pressured to a lesser extent by other factors that are more temporary in nature or anticipated to be leveraged through growth in future quarters, including costs associated with COVID-19 risk mitigation and the substantial expansion of cartridge manufacturing capacity in 2020 from which we anticipate continued leverage. Royalty expense was $1.6 million for the three months ended March 31, 2021, compared to $1.3 million in the same period in 2020. Other factors that have and may continue to have an impact on the gross margin percentage are changes in product and customer mix. Pump sales, which have the highest gross margin, were 58% of total worldwide sales in the first quarter of 2021 versus 61% in the first quarter of 2020.</w:t>
      </w:r>
    </w:p>
    <w:p>
      <w:pPr>
        <w:spacing w:after="0" w:line="181"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18% to $58.6 million for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from $49.7 million for the same period in 2020. Employee-related expenses for our SG&amp;A functions comprise the majority of SG&amp;A expenses. The increase compared to 2020 was primarily the result of a $9.2 million increase in salaries, incentive compensation and other employee benefits due to an increase in personnel to support additional sales territories, higher sales and other services in support of our growing installed customer base, offset by a $2.1 million decrease in non-cash stock-based compensation expense. Non-cash stock-based compensation expense allocated to SG&amp;A was $9.4 million for the three months ended March 31, 2021, compared to $11.5 million in the same period in 2020. The increase in non-cash stock-based compensation expense associated with increased headcount in 2020 and 2021 was more than offset by a decrease in non-cash stock-based compensation expense from the valuation of certain 2018 employee stock option grants which are now fully amortized. We also experienced a decrease in travel costs of $1.2 million.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27% to $18.0 million for the three months ended March 31, 2021 from $14.1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2020. The increase in R&amp;D expenses was primarily the result of an increase of $3.4 million in salaries, incentive compensation and other employee benefits due to an increase in personnel to support our product development efforts. Non-cash stock-based compensation expense allocated to R&amp;D was $2.1 million for the three months ended March 31, 2021</w:t>
      </w:r>
      <w:r>
        <w:rPr>
          <w:rFonts w:ascii="Arial" w:cs="Arial" w:eastAsia="Arial" w:hAnsi="Arial"/>
          <w:sz w:val="16"/>
          <w:szCs w:val="16"/>
          <w:i w:val="1"/>
          <w:iCs w:val="1"/>
          <w:color w:val="auto"/>
        </w:rPr>
        <w:t>,</w:t>
      </w:r>
      <w:r>
        <w:rPr>
          <w:rFonts w:ascii="Arial" w:cs="Arial" w:eastAsia="Arial" w:hAnsi="Arial"/>
          <w:sz w:val="16"/>
          <w:szCs w:val="16"/>
          <w:color w:val="auto"/>
        </w:rPr>
        <w:t xml:space="preserve"> compared to $2.2 million in the same period in 2020.</w:t>
      </w:r>
    </w:p>
    <w:p>
      <w:pPr>
        <w:spacing w:after="0" w:line="157"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Total other expense, net for the three months ended March 31, 2021 was $1.9 million compared to $1.2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2020. Total other expense, net for the three months ended March 31, 2021 primarily consisted of $1.5 million of interest expense which includes the amortization of debt issuance costs related to our Notes issued in the second quarter of 2020, and a $0.7 million revaluation loss from the change in the fair value of certain warrants. Total other expense, net for the three months ended March 31, 2020 consisted of a $1.9 million loss on revaluation from the change in the fair value of certain warrants, partially offset by $0.7 million of interest earned on our cash equivalents and short-term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810"/>
        <w:spacing w:after="0" w:line="342" w:lineRule="auto"/>
        <w:rPr>
          <w:sz w:val="20"/>
          <w:szCs w:val="20"/>
          <w:color w:val="auto"/>
        </w:rPr>
      </w:pPr>
      <w:r>
        <w:rPr>
          <w:rFonts w:ascii="Arial" w:cs="Arial" w:eastAsia="Arial" w:hAnsi="Arial"/>
          <w:sz w:val="16"/>
          <w:szCs w:val="16"/>
          <w:color w:val="auto"/>
        </w:rPr>
        <w:t>As of March 31, 2021, we had $513.4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380" w:firstLine="810"/>
        <w:spacing w:after="0" w:line="308" w:lineRule="auto"/>
        <w:rPr>
          <w:sz w:val="20"/>
          <w:szCs w:val="20"/>
          <w:color w:val="auto"/>
        </w:rPr>
      </w:pPr>
      <w:r>
        <w:rPr>
          <w:rFonts w:ascii="Arial" w:cs="Arial" w:eastAsia="Arial" w:hAnsi="Arial"/>
          <w:sz w:val="17"/>
          <w:szCs w:val="17"/>
          <w:color w:val="auto"/>
        </w:rPr>
        <w:t>Historically, our principal sources of cash have included cash collected from product sales, private and public offerings of equity securities, exercises of employee stock awards, and debt financing. Since the beginning of 2020, we completed the following financing activities:</w:t>
      </w:r>
    </w:p>
    <w:p>
      <w:pPr>
        <w:spacing w:after="0" w:line="146" w:lineRule="exact"/>
        <w:rPr>
          <w:sz w:val="20"/>
          <w:szCs w:val="20"/>
          <w:color w:val="auto"/>
        </w:rPr>
      </w:pPr>
    </w:p>
    <w:p>
      <w:pPr>
        <w:ind w:left="1960" w:right="620" w:hanging="656"/>
        <w:spacing w:after="0" w:line="342" w:lineRule="auto"/>
        <w:tabs>
          <w:tab w:leader="none" w:pos="19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 May 2020, we raised $278.7 million in </w:t>
      </w:r>
      <w:r>
        <w:rPr>
          <w:rFonts w:ascii="Arial" w:cs="Arial" w:eastAsia="Arial" w:hAnsi="Arial"/>
          <w:sz w:val="16"/>
          <w:szCs w:val="16"/>
          <w:color w:val="212529"/>
        </w:rPr>
        <w:t>net proceeds from the issuance of the Notes, and used $34.1</w:t>
      </w:r>
      <w:r>
        <w:rPr>
          <w:rFonts w:ascii="Arial" w:cs="Arial" w:eastAsia="Arial" w:hAnsi="Arial"/>
          <w:sz w:val="16"/>
          <w:szCs w:val="16"/>
          <w:color w:val="auto"/>
        </w:rPr>
        <w:t xml:space="preserve"> million </w:t>
      </w:r>
      <w:r>
        <w:rPr>
          <w:rFonts w:ascii="Arial" w:cs="Arial" w:eastAsia="Arial" w:hAnsi="Arial"/>
          <w:sz w:val="16"/>
          <w:szCs w:val="16"/>
          <w:color w:val="212529"/>
        </w:rPr>
        <w:t>of the net</w:t>
      </w:r>
      <w:r>
        <w:rPr>
          <w:rFonts w:ascii="Arial" w:cs="Arial" w:eastAsia="Arial" w:hAnsi="Arial"/>
          <w:sz w:val="16"/>
          <w:szCs w:val="16"/>
          <w:color w:val="auto"/>
        </w:rPr>
        <w:t xml:space="preserve"> </w:t>
      </w:r>
      <w:r>
        <w:rPr>
          <w:rFonts w:ascii="Arial" w:cs="Arial" w:eastAsia="Arial" w:hAnsi="Arial"/>
          <w:sz w:val="16"/>
          <w:szCs w:val="16"/>
          <w:color w:val="212529"/>
        </w:rPr>
        <w:t xml:space="preserve">proceeds to purchase capped call options in connection with the transaction </w:t>
      </w:r>
      <w:r>
        <w:rPr>
          <w:rFonts w:ascii="Arial" w:cs="Arial" w:eastAsia="Arial" w:hAnsi="Arial"/>
          <w:sz w:val="16"/>
          <w:szCs w:val="16"/>
          <w:color w:val="000000"/>
        </w:rPr>
        <w:t>(see Note 7, “Convertible Senior Notes”).</w:t>
      </w:r>
    </w:p>
    <w:p>
      <w:pPr>
        <w:spacing w:after="0" w:line="123" w:lineRule="exact"/>
        <w:rPr>
          <w:rFonts w:ascii="Arial" w:cs="Arial" w:eastAsia="Arial" w:hAnsi="Arial"/>
          <w:sz w:val="16"/>
          <w:szCs w:val="16"/>
          <w:color w:val="auto"/>
        </w:rPr>
      </w:pPr>
    </w:p>
    <w:p>
      <w:pPr>
        <w:ind w:left="1960" w:right="160" w:hanging="656"/>
        <w:spacing w:after="0" w:line="263"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January 2020 through March 2021, we issued 2,449,891 shares of common stock upon the exercise of stock options, and 302,509 shares of common stock were purchased under our 2013 Employee Stock Purchase Plan, which generated aggregate proceeds of $70.0 million.</w:t>
      </w:r>
    </w:p>
    <w:p>
      <w:pPr>
        <w:spacing w:after="0" w:line="183" w:lineRule="exact"/>
        <w:rPr>
          <w:rFonts w:ascii="Arial" w:cs="Arial" w:eastAsia="Arial" w:hAnsi="Arial"/>
          <w:sz w:val="18"/>
          <w:szCs w:val="18"/>
          <w:color w:val="auto"/>
        </w:rPr>
      </w:pPr>
    </w:p>
    <w:p>
      <w:pPr>
        <w:ind w:left="1960" w:hanging="656"/>
        <w:spacing w:after="0" w:line="286" w:lineRule="auto"/>
        <w:tabs>
          <w:tab w:leader="none" w:pos="19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From January 2020 through March 2021, we received proceeds of $1.4 million from the exercise of 387,615 outstanding warrants which were originally issued in connection with our registered public offering of common stock in October 2017. As of March 31, 2021, there were warrants to purchase 29,700 shares outstanding relating to the October 2017 offering.</w:t>
      </w:r>
    </w:p>
    <w:p>
      <w:pPr>
        <w:spacing w:after="0" w:line="165" w:lineRule="exact"/>
        <w:rPr>
          <w:rFonts w:ascii="Arial" w:cs="Arial" w:eastAsia="Arial" w:hAnsi="Arial"/>
          <w:sz w:val="17"/>
          <w:szCs w:val="17"/>
          <w:color w:val="auto"/>
        </w:rPr>
      </w:pPr>
    </w:p>
    <w:p>
      <w:pPr>
        <w:ind w:left="1960" w:right="20" w:hanging="656"/>
        <w:spacing w:after="0" w:line="263"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January 2020 through March 2021, we received proceeds of $2.0 million from the exercise of 68,104 outstanding warrants which were originally issued between August 2011 and August 2012. As of March 31, 2021, there were warrants to purchase 30,861 shares outstanding relating to these issuances.</w:t>
      </w:r>
    </w:p>
    <w:p>
      <w:pPr>
        <w:spacing w:after="0" w:line="184"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w:t>
      </w:r>
    </w:p>
    <w:p>
      <w:pPr>
        <w:spacing w:after="0" w:line="188" w:lineRule="exact"/>
        <w:rPr>
          <w:sz w:val="20"/>
          <w:szCs w:val="20"/>
          <w:color w:val="auto"/>
        </w:rPr>
      </w:pPr>
    </w:p>
    <w:p>
      <w:pPr>
        <w:ind w:right="380" w:firstLine="810"/>
        <w:spacing w:after="0" w:line="259"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In light of the COVID-19 global pandemic, we are prudently managing our use of cash. We will continue to evaluate new information as it becomes available and make changes as are considered necessary.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three months ended March 31, 2021 and 2020: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4"/>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29"/>
        </w:trPr>
        <w:tc>
          <w:tcPr>
            <w:tcW w:w="84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28,685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(20,631)</w:t>
            </w:r>
          </w:p>
        </w:tc>
      </w:tr>
      <w:tr>
        <w:trPr>
          <w:trHeight w:val="230"/>
        </w:trPr>
        <w:tc>
          <w:tcPr>
            <w:tcW w:w="8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32,916</w:t>
            </w:r>
          </w:p>
        </w:tc>
      </w:tr>
      <w:tr>
        <w:trPr>
          <w:trHeight w:val="229"/>
        </w:trPr>
        <w:tc>
          <w:tcPr>
            <w:tcW w:w="844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11,481</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23,310</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810"/>
        <w:spacing w:after="0" w:line="271"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was $28.7 million for the three months ended March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$20.6 million net cash used by operating activities in the same period in 2020. The improvement to net cash provided by operating activities for 2021 compared to 2020 was driven by higher sales and gross profit in 2021, which resulted in a reduction in net loss when adjusted for non-cash expenses, particularly stock-based compensation expense, as well as working capital changes. Working capital changes during the first three months of 2021 primarily consisted of increases in inventories, accounts payable and deferred revenue related to the growth in our business, and a decrease in accounts receivable related to the timing of sales. Accounts receivable decreased to $73.7 million at March 31, 2021 from $82.2 million at December 31, 2020, as a result of higher sales in the fourth quarter of 2020 as compared to the first quarter of 2021. Inventories increased to $66.8 million at March 31, 2021 from $63.7 million at December 31, 2020, primarily to support the growth in our business.</w:t>
      </w:r>
    </w:p>
    <w:p>
      <w:pPr>
        <w:spacing w:after="0" w:line="178" w:lineRule="exact"/>
        <w:rPr>
          <w:sz w:val="20"/>
          <w:szCs w:val="20"/>
          <w:color w:val="auto"/>
        </w:rPr>
      </w:pPr>
    </w:p>
    <w:p>
      <w:pPr>
        <w:ind w:right="320" w:firstLine="810"/>
        <w:spacing w:after="0" w:line="275"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$6.1 million for the three months ended March 31, 2021, which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$154.3 million of purchases of short-term investments, and $3.5 million in purchases of property and equipment, offset by $151.7 million in proceeds from maturities and sales of short-term investments. Net cash provided by investing activities was $32.9 million for the three months ended March 31, 2020, which was primarily related to $49.4 million in proceeds from maturities and sales of short-term investments, offset by $9.7 million of purchases of short-term investments and $6.8 million in purchases of property and equipment.</w:t>
      </w:r>
    </w:p>
    <w:p>
      <w:pPr>
        <w:spacing w:after="0" w:line="176"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was $3.6 million for the three months ended March 31, 2021, which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$3.1 million in proceeds from the issuance of common stock under our stock plans. Net cash provided by financing activities was $11.5 million for the three months ended March 31, 2020, which primarily consisted of proceeds from the issuance of common stock under our stock plans.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right="180" w:hanging="656"/>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6"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2020, other than the adoption of ASU No. 2020-06, </w:t>
      </w:r>
      <w:r>
        <w:rPr>
          <w:rFonts w:ascii="Arial" w:cs="Arial" w:eastAsia="Arial" w:hAnsi="Arial"/>
          <w:sz w:val="16"/>
          <w:szCs w:val="16"/>
          <w:i w:val="1"/>
          <w:iCs w:val="1"/>
          <w:color w:val="auto"/>
        </w:rPr>
        <w:t xml:space="preserve">Accounting for Convertible Instruments and Contracts in an Entity’s Own Equity </w:t>
      </w:r>
      <w:r>
        <w:rPr>
          <w:rFonts w:ascii="Arial" w:cs="Arial" w:eastAsia="Arial" w:hAnsi="Arial"/>
          <w:sz w:val="16"/>
          <w:szCs w:val="16"/>
          <w:color w:val="auto"/>
        </w:rPr>
        <w:t>effective January 1, 2021 (see Note 7, “Convertible Senior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March 31, 2021,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We invest our excess cash primarily in commercial paper, corporate debt securities, U.S. Government-sponsored enterprise securities and U.S. Treasury securities. 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7"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issued downgrades and revised outlooks to negative for a number of issuers of the debt securities held in our short-term investments portfolio. Unrealized losses on available-for-sale debt securities at March 31, 2021 were not significant. Based on the credit quality of the available-for-sale debt securities that are in an unrealized loss position, and our current estimates of future cash flows to be collected from those securities, we believe the unrealized losses are not credit losses (see Note 3, “Short-Term Investments”).</w:t>
      </w:r>
    </w:p>
    <w:p>
      <w:pPr>
        <w:spacing w:after="0" w:line="166" w:lineRule="exact"/>
        <w:rPr>
          <w:sz w:val="20"/>
          <w:szCs w:val="20"/>
          <w:color w:val="auto"/>
        </w:rPr>
      </w:pPr>
    </w:p>
    <w:p>
      <w:pPr>
        <w:jc w:val="both"/>
        <w:ind w:right="160" w:firstLine="810"/>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2021, this change would not have had a material effect on the fair value of our investment portfolio as of that date.</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May 2020, the we issued $287.5 million principal amount of Convertible Senior Notes, which bear interest at a fixed rate of 1.50% per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“Convertible Senior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8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As of March 31, 2021,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March 31, 2021 that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0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In April 2020, we were named as a defendant in four federal class action lawsuits relating to a data breach we experienced in January 2020, each of which was subsequently dismissed.</w:t>
      </w:r>
    </w:p>
    <w:p>
      <w:pPr>
        <w:spacing w:after="0" w:line="197" w:lineRule="exact"/>
        <w:rPr>
          <w:sz w:val="20"/>
          <w:szCs w:val="20"/>
          <w:color w:val="auto"/>
        </w:rPr>
      </w:pPr>
    </w:p>
    <w:p>
      <w:pPr>
        <w:ind w:right="100" w:firstLine="810"/>
        <w:spacing w:after="0" w:line="288" w:lineRule="auto"/>
        <w:rPr>
          <w:sz w:val="20"/>
          <w:szCs w:val="20"/>
          <w:color w:val="auto"/>
        </w:rPr>
      </w:pPr>
      <w:r>
        <w:rPr>
          <w:rFonts w:ascii="Arial" w:cs="Arial" w:eastAsia="Arial" w:hAnsi="Arial"/>
          <w:sz w:val="16"/>
          <w:szCs w:val="16"/>
          <w:color w:val="auto"/>
        </w:rPr>
        <w:t xml:space="preserve">In addition, in May 2020 we were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Arial" w:cs="Arial" w:eastAsia="Arial" w:hAnsi="Arial"/>
          <w:sz w:val="16"/>
          <w:szCs w:val="16"/>
          <w:i w:val="1"/>
          <w:iCs w:val="1"/>
          <w:color w:val="auto"/>
        </w:rPr>
        <w:t>Joseph Deluna et al v. Tandem Diabetes Care, Inc.</w:t>
      </w:r>
      <w:r>
        <w:rPr>
          <w:rFonts w:ascii="Arial" w:cs="Arial" w:eastAsia="Arial" w:hAnsi="Arial"/>
          <w:sz w:val="16"/>
          <w:szCs w:val="16"/>
          <w:color w:val="auto"/>
        </w:rPr>
        <w:t xml:space="preserve"> The consolidated case alleges violations of the Confidentiality of Medical Information Act (CMIA), California Consumer Privacy Act (CCPA), California’s Unfair Competition Law (UCL), and breach of contract. We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failing to allege cognizable damages or injuries-in-fact, resulting in two remaining plaintiffs.</w:t>
      </w:r>
    </w:p>
    <w:p>
      <w:pPr>
        <w:spacing w:after="0" w:line="195"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 xml:space="preserve">In September 2020, we were named as a defendant in a lawsuit entitled </w:t>
      </w:r>
      <w:r>
        <w:rPr>
          <w:rFonts w:ascii="Arial" w:cs="Arial" w:eastAsia="Arial" w:hAnsi="Arial"/>
          <w:sz w:val="18"/>
          <w:szCs w:val="18"/>
          <w:i w:val="1"/>
          <w:iCs w:val="1"/>
          <w:color w:val="auto"/>
        </w:rPr>
        <w:t>Buck Walsh, individually and on behalf of others similarly situated v.</w:t>
      </w:r>
      <w:r>
        <w:rPr>
          <w:rFonts w:ascii="Arial" w:cs="Arial" w:eastAsia="Arial" w:hAnsi="Arial"/>
          <w:sz w:val="18"/>
          <w:szCs w:val="18"/>
          <w:color w:val="auto"/>
        </w:rPr>
        <w:t xml:space="preserve"> </w:t>
      </w:r>
      <w:r>
        <w:rPr>
          <w:rFonts w:ascii="Arial" w:cs="Arial" w:eastAsia="Arial" w:hAnsi="Arial"/>
          <w:sz w:val="18"/>
          <w:szCs w:val="18"/>
          <w:i w:val="1"/>
          <w:iCs w:val="1"/>
          <w:color w:val="auto"/>
        </w:rPr>
        <w:t>Tandem Diabetes Care, Inc.</w:t>
      </w:r>
      <w:r>
        <w:rPr>
          <w:rFonts w:ascii="Arial" w:cs="Arial" w:eastAsia="Arial" w:hAnsi="Arial"/>
          <w:sz w:val="18"/>
          <w:szCs w:val="18"/>
          <w:color w:val="auto"/>
        </w:rPr>
        <w:t>, which was filed in the Superior Court of the State of California in the County of San Diego. The alleged violations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w:t>
      </w:r>
    </w:p>
    <w:p>
      <w:pPr>
        <w:spacing w:after="0" w:line="215"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Although we intend to vigorously defend against these claims, there is no guarantee that we will prevail. We are presently unable to determine the ultimate outcome of these lawsuits or determine the amount (or range) of possible losses associated with the lawsuits.</w:t>
      </w:r>
    </w:p>
    <w:p>
      <w:pPr>
        <w:spacing w:after="0" w:line="197"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From time to time, we are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Although the results of legal proceedings, disputes and other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Quarterly Report.</w:t>
      </w:r>
    </w:p>
    <w:p>
      <w:pPr>
        <w:spacing w:after="0" w:line="192"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9"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have incurred significant operating losses since inception and may not achieve sustained profitability.</w:t>
      </w:r>
    </w:p>
    <w:p>
      <w:pPr>
        <w:spacing w:after="0" w:line="12" w:lineRule="exact"/>
        <w:rPr>
          <w:rFonts w:ascii="Arial" w:cs="Arial" w:eastAsia="Arial" w:hAnsi="Arial"/>
          <w:sz w:val="21"/>
          <w:szCs w:val="21"/>
          <w:color w:val="auto"/>
        </w:rPr>
      </w:pPr>
    </w:p>
    <w:p>
      <w:pPr>
        <w:ind w:left="660" w:right="2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currently rely on sales of insulin pump products to generate a significant portion of our revenue, and any factors that negatively impact sales of these products may adversely affect us.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Public health threats, such as the COVID-19 global pandemic, have had a material adverse effect on our business.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ability to maintain and grow our revenue depends on retaining a high percentage of our customer base.</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operate in a very competitive industry.</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Competitive products or other technological developments may render our products obsolete or less desirable.</w:t>
      </w:r>
    </w:p>
    <w:p>
      <w:pPr>
        <w:spacing w:after="0" w:line="13" w:lineRule="exact"/>
        <w:rPr>
          <w:rFonts w:ascii="Arial" w:cs="Arial" w:eastAsia="Arial" w:hAnsi="Arial"/>
          <w:sz w:val="21"/>
          <w:szCs w:val="21"/>
          <w:color w:val="auto"/>
        </w:rPr>
      </w:pPr>
    </w:p>
    <w:p>
      <w:pPr>
        <w:ind w:left="660" w:right="50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The failure of our insulin pump and related products to achieve and maintain market acceptance could result in us achieving sales below our expectations.</w:t>
      </w:r>
    </w:p>
    <w:p>
      <w:pPr>
        <w:spacing w:after="0" w:line="14"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8"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face unexpected challenges in marketing and selling our products, and training new customers on the use of our products.</w:t>
      </w:r>
    </w:p>
    <w:p>
      <w:pPr>
        <w:spacing w:after="0" w:line="1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19"/>
          <w:szCs w:val="19"/>
          <w:color w:val="auto"/>
        </w:rPr>
      </w:pPr>
      <w:r>
        <w:rPr>
          <w:rFonts w:ascii="Arial" w:cs="Arial" w:eastAsia="Arial" w:hAnsi="Arial"/>
          <w:sz w:val="16"/>
          <w:szCs w:val="16"/>
          <w:color w:val="auto"/>
        </w:rPr>
        <w:t>We may fail to meet our sales forecasts if we are unable to maintain our existing sales, marketing, clinical and customer service infrastructure.</w:t>
      </w:r>
    </w:p>
    <w:p>
      <w:pPr>
        <w:spacing w:after="0" w:line="19" w:lineRule="exact"/>
        <w:rPr>
          <w:rFonts w:ascii="Arial" w:cs="Arial" w:eastAsia="Arial" w:hAnsi="Arial"/>
          <w:sz w:val="19"/>
          <w:szCs w:val="19"/>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we are unable to maintain or expand our network of independent distributors, our sales may be negatively affected.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The third parties on which we rely to assist us with our pre-clinical development or clinical trials may not perform as expected.</w:t>
      </w:r>
    </w:p>
    <w:p>
      <w:pPr>
        <w:spacing w:after="0" w:line="13" w:lineRule="exact"/>
        <w:rPr>
          <w:rFonts w:ascii="Arial" w:cs="Arial" w:eastAsia="Arial" w:hAnsi="Arial"/>
          <w:sz w:val="21"/>
          <w:szCs w:val="21"/>
          <w:color w:val="auto"/>
        </w:rPr>
      </w:pPr>
    </w:p>
    <w:p>
      <w:pPr>
        <w:ind w:left="660" w:right="44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failure to successfully complete clinical trials and development-stage testing could prevent us from obtaining regulatory approvals for or commercializing our products.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assumptions about the potential market for our products are inaccurate our business may be adversely affected.</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ability to achieve profitability has dependencies on our ability to reduce the per-unit cost of our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Manufacturing risks may adversely affect our ability to manufacture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depend on a limited number of third-party suppliers for certain components and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Any disruption at one of our facilities could adversely affect our business and operating results.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not experience the anticipated operating efficiencies from the transition of our manufacturing and warehousing operations.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we do not enhance our product portfolio to meet the demands of our market, we may fail to effectively compete.</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Concerns regarding the safety and efficacy of our products could limit sales and cause negative effects to our business.</w:t>
      </w:r>
    </w:p>
    <w:p>
      <w:pPr>
        <w:spacing w:after="0" w:line="13" w:lineRule="exact"/>
        <w:rPr>
          <w:rFonts w:ascii="Arial" w:cs="Arial" w:eastAsia="Arial" w:hAnsi="Arial"/>
          <w:sz w:val="21"/>
          <w:szCs w:val="21"/>
          <w:color w:val="auto"/>
        </w:rPr>
      </w:pPr>
    </w:p>
    <w:p>
      <w:pPr>
        <w:ind w:left="660" w:right="60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enter into collaborations or partnerships with third parties that may not result in commercially viable products or the generation of significant revenues.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operate our business in regions subject to natural disasters and other catastrophic events.</w:t>
      </w:r>
    </w:p>
    <w:p>
      <w:pPr>
        <w:spacing w:after="0" w:line="12" w:lineRule="exact"/>
        <w:rPr>
          <w:rFonts w:ascii="Arial" w:cs="Arial" w:eastAsia="Arial" w:hAnsi="Arial"/>
          <w:sz w:val="21"/>
          <w:szCs w:val="21"/>
          <w:color w:val="auto"/>
        </w:rPr>
      </w:pPr>
    </w:p>
    <w:p>
      <w:pPr>
        <w:ind w:left="660" w:right="360" w:hanging="328"/>
        <w:spacing w:after="0" w:line="238" w:lineRule="auto"/>
        <w:tabs>
          <w:tab w:leader="none" w:pos="651" w:val="left"/>
        </w:tabs>
        <w:numPr>
          <w:ilvl w:val="0"/>
          <w:numId w:val="14"/>
        </w:numPr>
        <w:rPr>
          <w:rFonts w:ascii="Arial" w:cs="Arial" w:eastAsia="Arial" w:hAnsi="Arial"/>
          <w:sz w:val="21"/>
          <w:szCs w:val="21"/>
          <w:color w:val="auto"/>
        </w:rPr>
      </w:pPr>
      <w:r>
        <w:rPr>
          <w:rFonts w:ascii="Arial" w:cs="Arial" w:eastAsia="Arial" w:hAnsi="Arial"/>
          <w:sz w:val="18"/>
          <w:szCs w:val="18"/>
          <w:color w:val="auto"/>
        </w:rPr>
        <w:t>A security breach or other significant disruption to our information technology systems could materially disrupt our operations or result in the unauthorized disclosure of sensitive information.</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may be unable to retain and motivate our senior management or recruit additional qualified personnel.</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may experience a variety of risks associated with international operations.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Our failure to successfully manage the integration of acquisitions could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We may need to raise additional funds in the future and funds may not be available on commercially reasonable terms.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Our operating results may fluctuate significantly from quarter to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Our ability to comprehensively protect our intellectual property and proprietary technology is uncertain.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Patent litigation is not uncommon in the medical device industry, and we may be subject to such litigation.</w:t>
      </w:r>
    </w:p>
    <w:p>
      <w:pPr>
        <w:spacing w:after="0" w:line="13" w:lineRule="exact"/>
        <w:rPr>
          <w:rFonts w:ascii="Arial" w:cs="Arial" w:eastAsia="Arial" w:hAnsi="Arial"/>
          <w:sz w:val="21"/>
          <w:szCs w:val="21"/>
          <w:color w:val="auto"/>
        </w:rPr>
      </w:pPr>
    </w:p>
    <w:p>
      <w:pPr>
        <w:ind w:left="660" w:right="140" w:hanging="328"/>
        <w:spacing w:after="0" w:line="238" w:lineRule="auto"/>
        <w:tabs>
          <w:tab w:leader="none" w:pos="651" w:val="left"/>
        </w:tabs>
        <w:numPr>
          <w:ilvl w:val="0"/>
          <w:numId w:val="16"/>
        </w:numPr>
        <w:rPr>
          <w:rFonts w:ascii="Arial" w:cs="Arial" w:eastAsia="Arial" w:hAnsi="Arial"/>
          <w:sz w:val="21"/>
          <w:szCs w:val="21"/>
          <w:color w:val="auto"/>
        </w:rPr>
      </w:pPr>
      <w:r>
        <w:rPr>
          <w:rFonts w:ascii="Arial" w:cs="Arial" w:eastAsia="Arial" w:hAnsi="Arial"/>
          <w:sz w:val="18"/>
          <w:szCs w:val="18"/>
          <w:color w:val="auto"/>
        </w:rPr>
        <w:t>We may be subject to damages resulting from claims that we have wrongfully used or disclosed patient health information or trade secrets, or are in breach of non-competition or non-solicitation agreements.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We may incur product liability losses, and insurance coverage may be inadequate or unavailable to cover these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products and operations are subject to extensive governmental regulation, and regulatory approvals could be denied or delayed.</w:t>
      </w:r>
    </w:p>
    <w:p>
      <w:pPr>
        <w:spacing w:after="0" w:line="12" w:lineRule="exact"/>
        <w:rPr>
          <w:rFonts w:ascii="Arial" w:cs="Arial" w:eastAsia="Arial" w:hAnsi="Arial"/>
          <w:sz w:val="21"/>
          <w:szCs w:val="21"/>
          <w:color w:val="auto"/>
        </w:rPr>
      </w:pPr>
    </w:p>
    <w:p>
      <w:pPr>
        <w:ind w:left="660" w:right="80" w:hanging="328"/>
        <w:spacing w:after="0" w:line="238"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18"/>
          <w:szCs w:val="18"/>
          <w:color w:val="auto"/>
        </w:rPr>
        <w:t>New products or modifications to our existing products may require new regulatory approvals, or require us to cease marketing or recall modified products.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A recall of our products, or the discovery of safety issues with our products, could have a negative impact on us.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failure to comply with foreign, U.S. federal and state fraud and abuse laws could have an adverse impact on us.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be liable if we engage in the promotion of the off-label use of our products.</w:t>
      </w:r>
    </w:p>
    <w:p>
      <w:pPr>
        <w:spacing w:after="0" w:line="13"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17"/>
          <w:szCs w:val="17"/>
          <w:color w:val="auto"/>
        </w:rPr>
        <w:t>Legislative or regulatory healthcare reforms may result in downward pressure on the price of and decrease reimbursement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price of our common stock may continue to fluctuate significantly.</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We may fail to maintain an effective system of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The Notes could adversely affect our financial condition.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We may not have sufficient cash flow from our business to service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We may take actions which could limit our ability to make payments on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231F20"/>
        </w:rPr>
        <w:t>We may not be able to raise the funds necessary to repurchase or settle conversions of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231F20"/>
        </w:rPr>
        <w:t>Conversion of the Notes may dilute the ownership interest of existing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Since our inception in January 2006, we have incurred a significant net loss. As of March 31, 2021, we had an accumulated deficit of $655.2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57"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We began commercial sales of our first product, t:slim, in August 2012 and our current flagship pump platform, t:slim X2, in October 2016. The t:slim X2 insulin pump now represents 100% of new pump shipments. Until the third quarter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2018 we were selling our products only in the United States and have since launched our products in select international geographies.</w:t>
      </w:r>
    </w:p>
    <w:p>
      <w:pPr>
        <w:spacing w:after="0" w:line="225"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2020 and 2019, our gross profit was $194.2 million and $89.8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87"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and the scope and duration of the impacts caused by the COVID-19 global pandemic. Any additional operating losses will have an adverse effect on our stockholders’ equity, and we cannot assure you that we will be able to sustain profitability.</w:t>
      </w:r>
    </w:p>
    <w:p>
      <w:pPr>
        <w:spacing w:after="0" w:line="1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8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4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52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810"/>
        <w:spacing w:after="0" w:line="272"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77"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For instance, we have seen examples of customers delaying their purchasing decisions or physicians pausing prescriptions for our products. It could also have the effect of magnifying the negative impact of any of the factors described above.</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which is currently affecting numerous countries throughout the world, has resulted in a rapid and sustained rise in unemployment rates and decreases in global economic activity, and the scope of the COVID-19 global pandemic and its impacts is continuing to fluctuate, and in some instances worsen, in various regions worldwide. While the overall negative impact from the COVID-19 global pandemic is difficult to estimate, we anticipate that our sales and operating results will continue to be adversely impacted in future periods and subject to unpredictable variability. In addition, the rise in unemployment and decreases in economic activity due to the COVID-19 global pandemic may negatively impact the affordability of our products for certain customers, which could reduce demand for our products. Further, certain development activities originally planned to occur during 2020, such as human factors studies associated with our product development efforts and activities to support the manufacturing scale-up for new products, were modified or delayed due impacts of the COVID-19 global pandemic, which has impacted our development timelines and regulatory strategies and also could have a negative impact on our product commercialization efforts and the future demand for our products.</w:t>
      </w:r>
    </w:p>
    <w:p>
      <w:pPr>
        <w:spacing w:after="0" w:line="155"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The COVID-19 global pandemic, or other similar outbreaks or epidemics, may have an adverse effect on the overall productivity of our workforce, and we expect to continue to take extraordinary measures to protect the health and safety of our employees and our business partners and reduce the risk of disruptions to our operations. For example, we continue to have restrictions on non-essential employee travel and on non-essential visitors to our facilities, and many of our employees who are able to perform their job function outside of our facilities remain in a remote work environment. For our field-based sales and clinical employees, we initially discontinued all in-person activities and began utilizing technology to remotely engage healthcare providers and customers. Where permitted, in-person activities have resumed on a limited basis, though the scope and scale have been limited and we still rely heavily on remote engagement. For our employees in manufacturing and warehousing positions involved in production and fulfillment operations, we have implemented health and safety protocols in compliance with applicable government orders and expert agency guidance, to include physical distancing requirements, requiring temperature checks for our employees before each shift, and other safety measures. We have also increased our staffing in certain operations in order to mitigate potential risks associated with increases in unplanned employee absences or illness. Our adoption of these preventive measures has resulted in incremental costs that have negatively impacted our gross margin, and the impacts could be more significant in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that more of our employees will return to working in our facilities under modified conditions. We are implementing protocols and safety measures and for the time being are continuing to limit the number of employees allowed in our facilities.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could have a material adverse impact on the operations of one or more of our suppliers, which could prevent them from delivering products to us or supporting our requirements for manufacturing-related equipment on a timely basis, or at all. For example, we continue to focus on increasing our cartridge inventory to targeted levels, but there can be no assurance that we or our third-party cartridge manufacturer will be able to manufacture cartridges in the quantities we require to meet product demand. In addition, at various times since 2020 our primary infusion set manufacturer experienced certain inventory constraints. There can be no assurance our supplier will be able to provide infusion sets in the quantities we require to meet customer demand. If we experience these or similar manufacturing challenges in the future, it could have a negative impact on product sales and harm our reputation.</w:t>
      </w:r>
    </w:p>
    <w:p>
      <w:pPr>
        <w:spacing w:after="0" w:line="152" w:lineRule="exact"/>
        <w:rPr>
          <w:sz w:val="20"/>
          <w:szCs w:val="20"/>
          <w:color w:val="auto"/>
        </w:rPr>
      </w:pPr>
    </w:p>
    <w:p>
      <w:pPr>
        <w:ind w:right="200" w:firstLine="810"/>
        <w:spacing w:after="0" w:line="301" w:lineRule="auto"/>
        <w:rPr>
          <w:sz w:val="20"/>
          <w:szCs w:val="20"/>
          <w:color w:val="auto"/>
        </w:rPr>
      </w:pPr>
      <w:r>
        <w:rPr>
          <w:rFonts w:ascii="Arial" w:cs="Arial" w:eastAsia="Arial" w:hAnsi="Arial"/>
          <w:sz w:val="16"/>
          <w:szCs w:val="16"/>
          <w:color w:val="auto"/>
        </w:rPr>
        <w:t>The full extent of the impact of the COVID-19 global pandemic on our business and operations is highly uncertain and subject to change, and will continue to depend on a number of factors, including the scope and duration of the pandemic. Further spread or escalation of the COVID-19 global pandemic, or even the threat or perception that this could occur, or any protracted duration of decreased economic activity, could have a material adverse impact on our business, operations and financial results and could negatively impact or disrupt our plans to have employees return to our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right="160"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185"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92"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3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24"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insulin pump currently under development.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92"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25" w:lineRule="exact"/>
        <w:rPr>
          <w:sz w:val="20"/>
          <w:szCs w:val="20"/>
          <w:color w:val="auto"/>
        </w:rPr>
      </w:pPr>
    </w:p>
    <w:p>
      <w:pPr>
        <w:jc w:val="both"/>
        <w:ind w:right="320" w:firstLine="810"/>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 and Medtronic recently announced the acquisition of a connected insulin pen delivery device. Additionally, Medtronic recently announced the launch in some European countries of an infusion set that can be worn for up to seven days.</w:t>
      </w:r>
    </w:p>
    <w:p>
      <w:pPr>
        <w:spacing w:after="0" w:line="187"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2017 Abbott launched blood glucose sensors which compete with Dexcom CGMs. In June 2020, we entered into an agreement with Abbott to develop and commercialize integrated diabetes solutions.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 impact our product sales, result in delays in obtaining regulatory approvals for new products, harm our reputation, and result in harm to our financial condition and operating results.</w:t>
      </w:r>
    </w:p>
    <w:p>
      <w:pPr>
        <w:spacing w:after="0" w:line="181"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65"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5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delay their purchasing decisions, or physicians may pause prescriptions of our products, as a result of the COVID-19 global pandemic.</w:t>
      </w:r>
    </w:p>
    <w:p>
      <w:pPr>
        <w:spacing w:after="0" w:line="188" w:lineRule="exact"/>
        <w:rPr>
          <w:sz w:val="20"/>
          <w:szCs w:val="20"/>
          <w:color w:val="auto"/>
        </w:rPr>
      </w:pPr>
    </w:p>
    <w:p>
      <w:pPr>
        <w:ind w:right="52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40" w:firstLine="810"/>
        <w:spacing w:after="0" w:line="301"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7"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6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may result in increased costs for us and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1"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firstLine="810"/>
        <w:spacing w:after="0" w:line="263"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84" w:lineRule="exact"/>
        <w:rPr>
          <w:sz w:val="20"/>
          <w:szCs w:val="20"/>
          <w:color w:val="auto"/>
        </w:rPr>
      </w:pPr>
    </w:p>
    <w:p>
      <w:pPr>
        <w:ind w:right="240" w:firstLine="810"/>
        <w:spacing w:after="0" w:line="255" w:lineRule="auto"/>
        <w:rPr>
          <w:sz w:val="20"/>
          <w:szCs w:val="20"/>
          <w:color w:val="auto"/>
        </w:rPr>
      </w:pPr>
      <w:r>
        <w:rPr>
          <w:rFonts w:ascii="Arial" w:cs="Arial" w:eastAsia="Arial" w:hAnsi="Arial"/>
          <w:sz w:val="18"/>
          <w:szCs w:val="18"/>
          <w:color w:val="auto"/>
        </w:rPr>
        <w:t>In addition, due to the current COVID-19 global pandemic, starting in March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92"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72"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19"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If we are unable to maintain or expand our network of independent distributors, our sales may be negatively affected.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For the year ended December 31, 2020, our two largest independent distributors in the United States collectively comprised approximately 29% of our worldwide sales, and our three largest independent international distributors collectively comprised approximately 53%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3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12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6"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2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200" w:hanging="656"/>
        <w:spacing w:after="0" w:line="308" w:lineRule="auto"/>
        <w:tabs>
          <w:tab w:leader="none" w:pos="19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4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32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cybersecurity and other technological risks associated with our expanding portfolio of digital health products, and align these products to a dynamic threat landscape.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clinical trials and other studies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177"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have also increased our staffing in certain operations in order to mitigate potential risks associated with increases in unplanned employee absences or illness.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6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 unit costs, which would adversely impact our gross margins. Further, we may not achieve anticipated improvements in manufacturing efficiency as we undertake actions to expand our manufacturing capacity.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right="8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140" w:hanging="656"/>
        <w:spacing w:after="0" w:line="308"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government-mandated or voluntary closures of, or operational limitations impacting, our manufacturing facilities;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We have acquired finished goods and raw material inventory for our products in order to meet targeted stocking levels. Currently, we do not anticipate a significant disruption in our ability to manufacture insulin pumps and cartridges, nor do we anticipate our third-party manufacturers will be unable to provide sufficient quantities to meet product demand. If we experience these or similar manufacturing challenges in the future, it could have a negative impact on product sales and harm our reputation.</w:t>
      </w:r>
    </w:p>
    <w:p>
      <w:pPr>
        <w:spacing w:after="0" w:line="166" w:lineRule="exact"/>
        <w:rPr>
          <w:sz w:val="20"/>
          <w:szCs w:val="20"/>
          <w:color w:val="auto"/>
        </w:rPr>
      </w:pPr>
    </w:p>
    <w:p>
      <w:pPr>
        <w:jc w:val="both"/>
        <w:ind w:right="340" w:firstLine="810"/>
        <w:spacing w:after="0" w:line="248"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1"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and Mexico. Depending on a limited number of suppliers exposes us to risks, including limited control over costs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6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We expect it will be particularly difficult to accurately forecast demand during the global pandemic.</w:t>
      </w:r>
    </w:p>
    <w:p>
      <w:pPr>
        <w:spacing w:after="0" w:line="188"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at one of our facilities could adversely affect our business and operating results.*</w:t>
      </w:r>
    </w:p>
    <w:p>
      <w:pPr>
        <w:spacing w:after="0" w:line="225" w:lineRule="exact"/>
        <w:rPr>
          <w:sz w:val="20"/>
          <w:szCs w:val="20"/>
          <w:color w:val="auto"/>
        </w:rPr>
      </w:pPr>
    </w:p>
    <w:p>
      <w:pPr>
        <w:ind w:right="40" w:firstLine="810"/>
        <w:spacing w:after="0" w:line="288" w:lineRule="auto"/>
        <w:rPr>
          <w:sz w:val="20"/>
          <w:szCs w:val="20"/>
          <w:color w:val="auto"/>
        </w:rPr>
      </w:pPr>
      <w:r>
        <w:rPr>
          <w:rFonts w:ascii="Arial" w:cs="Arial" w:eastAsia="Arial" w:hAnsi="Arial"/>
          <w:sz w:val="16"/>
          <w:szCs w:val="16"/>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year we substantially expanded various quality and customer and technical support activities in Boise, Idaho.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it is possible that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68"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00" w:hanging="656"/>
        <w:spacing w:after="0" w:line="308" w:lineRule="auto"/>
        <w:tabs>
          <w:tab w:leader="none" w:pos="19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 on a timely basis.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Studies to evaluate the safety or effectiveness of our products in a controlled setting are only recently available.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95"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operate our business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received FDA clearance of our Tandem Device Updater, which enables customers to remotely update software on their insulin pumps and may be higher following the launch of our new mobile application in the second half of 2020.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w:t>
      </w:r>
    </w:p>
    <w:p>
      <w:pPr>
        <w:spacing w:after="0" w:line="177" w:lineRule="exact"/>
        <w:rPr>
          <w:sz w:val="20"/>
          <w:szCs w:val="20"/>
          <w:color w:val="auto"/>
        </w:rPr>
      </w:pPr>
    </w:p>
    <w:p>
      <w:pPr>
        <w:ind w:right="160" w:firstLine="810"/>
        <w:spacing w:after="0" w:line="290" w:lineRule="auto"/>
        <w:rPr>
          <w:sz w:val="20"/>
          <w:szCs w:val="20"/>
          <w:color w:val="auto"/>
        </w:rPr>
      </w:pPr>
      <w:r>
        <w:rPr>
          <w:rFonts w:ascii="Arial" w:cs="Arial" w:eastAsia="Arial" w:hAnsi="Arial"/>
          <w:sz w:val="16"/>
          <w:szCs w:val="16"/>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8"/>
          <w:szCs w:val="18"/>
          <w:i w:val="1"/>
          <w:iCs w:val="1"/>
          <w:color w:val="auto"/>
        </w:rPr>
        <w:t>Joseph Deluna et al. v. Tandem Diabetes Care, Inc.</w:t>
      </w:r>
      <w:r>
        <w:rPr>
          <w:rFonts w:ascii="Arial" w:cs="Arial" w:eastAsia="Arial" w:hAnsi="Arial"/>
          <w:sz w:val="18"/>
          <w:szCs w:val="18"/>
          <w:color w:val="auto"/>
        </w:rPr>
        <w:t>, which is pending in the Superior Court of the State of California in the County of San Bernardino.</w:t>
      </w:r>
    </w:p>
    <w:p>
      <w:pPr>
        <w:spacing w:after="0" w:line="195"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There are a number of domestic and international laws protecting the privacy and security of personal information. These laws include the U.S. Health Insurance Portability and Accountability Act of 1996 (HIPAA) and related regulations, U.S. state laws (such as the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78"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Although we utilize a variety of measures to secure the data that we control, even compliant entities can experience security breaches or have inadvertent failures despite employing reasonable practices and safeguards.</w:t>
      </w:r>
    </w:p>
    <w:p>
      <w:pPr>
        <w:spacing w:after="0" w:line="18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3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5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84" w:lineRule="exact"/>
        <w:rPr>
          <w:sz w:val="20"/>
          <w:szCs w:val="20"/>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investments;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experience one or more of these risks in connection with our acquisition of Sugarmate which was completed in 2020. 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At March 31, 2021, we had $513.4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92" w:lineRule="exact"/>
        <w:rPr>
          <w:sz w:val="20"/>
          <w:szCs w:val="20"/>
          <w:color w:val="auto"/>
        </w:rPr>
      </w:pPr>
    </w:p>
    <w:p>
      <w:pPr>
        <w:ind w:left="1960" w:right="18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right="102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170" w:lineRule="exact"/>
        <w:rPr>
          <w:rFonts w:ascii="Arial" w:cs="Arial" w:eastAsia="Arial" w:hAnsi="Arial"/>
          <w:sz w:val="18"/>
          <w:szCs w:val="18"/>
          <w:color w:val="auto"/>
        </w:rPr>
      </w:pPr>
    </w:p>
    <w:p>
      <w:pPr>
        <w:ind w:left="1960" w:right="260" w:hanging="656"/>
        <w:spacing w:after="0" w:line="263"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40" w:hanging="656"/>
        <w:spacing w:after="0" w:line="308"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or unanticipated capital expenditures;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general and administrative expenses; and</w:t>
      </w:r>
    </w:p>
    <w:p>
      <w:pPr>
        <w:spacing w:after="0" w:line="225" w:lineRule="exact"/>
        <w:rPr>
          <w:rFonts w:ascii="Arial" w:cs="Arial" w:eastAsia="Arial" w:hAnsi="Arial"/>
          <w:sz w:val="18"/>
          <w:szCs w:val="18"/>
          <w:color w:val="auto"/>
        </w:rPr>
      </w:pPr>
    </w:p>
    <w:p>
      <w:pPr>
        <w:ind w:left="1960" w:right="52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2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comprehensively protect our intellectual property and proprietary technology is uncertain.*</w:t>
      </w:r>
    </w:p>
    <w:p>
      <w:pPr>
        <w:spacing w:after="0" w:line="185"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March 31, 2021, our patent portfolio consisted of approximately 106 issued U.S. patents and 83 pending U.S. patent applications. Of these, our issued U.S. patents expire between approximately 2021 and 2039. Our foreign patent portfolio consisted of approximately 39 issued patents and 20 pending patent applications in other countries throughout the world. Of these, our issued foreign patents expire between approximately 2025 and 2033. In addition, we also have 88 trademark registrations, including 19 U.S. trademark registrations and 69 foreign trademark registrations.</w:t>
      </w:r>
    </w:p>
    <w:p>
      <w:pPr>
        <w:spacing w:after="0" w:line="161" w:lineRule="exact"/>
        <w:rPr>
          <w:sz w:val="20"/>
          <w:szCs w:val="20"/>
          <w:color w:val="auto"/>
        </w:rPr>
      </w:pPr>
    </w:p>
    <w:p>
      <w:pPr>
        <w:ind w:right="12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allegedly infringes third-party intellectual property;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 those products that allegedly infringe third-party intellectual property; or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9"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right="100"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ind w:right="240" w:firstLine="810"/>
        <w:spacing w:after="0" w:line="342" w:lineRule="auto"/>
        <w:rPr>
          <w:sz w:val="20"/>
          <w:szCs w:val="20"/>
          <w:color w:val="auto"/>
        </w:rPr>
      </w:pPr>
      <w:r>
        <w:rPr>
          <w:rFonts w:ascii="Arial" w:cs="Arial" w:eastAsia="Arial" w:hAnsi="Arial"/>
          <w:sz w:val="16"/>
          <w:szCs w:val="16"/>
          <w:color w:val="auto"/>
        </w:rPr>
        <w:t>If the FDA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from our pre-clinical studies or clinical trials may be insufficient to support clearance or approval;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200" w:firstLine="810"/>
        <w:spacing w:after="0" w:line="259"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7"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92" w:lineRule="exact"/>
        <w:rPr>
          <w:sz w:val="20"/>
          <w:szCs w:val="20"/>
          <w:color w:val="auto"/>
        </w:rPr>
      </w:pPr>
    </w:p>
    <w:p>
      <w:pPr>
        <w:ind w:right="100" w:firstLine="810"/>
        <w:spacing w:after="0" w:line="296"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46"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92"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60"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right="12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to date we have not offered our Control-IQ technology in Australia but may elect to do so in the future. There can be no assurance that the TGA will not reimpose the suspension of our pump product sales or impose other regulatory restrictions in the future.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80" w:hanging="656"/>
        <w:spacing w:after="0" w:line="25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160" w:hanging="656"/>
        <w:spacing w:after="0" w:line="263"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right="120" w:hanging="656"/>
        <w:spacing w:after="0" w:line="259"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86" w:lineRule="exact"/>
        <w:rPr>
          <w:rFonts w:ascii="Arial" w:cs="Arial" w:eastAsia="Arial" w:hAnsi="Arial"/>
          <w:sz w:val="18"/>
          <w:szCs w:val="18"/>
          <w:color w:val="auto"/>
        </w:rPr>
      </w:pPr>
    </w:p>
    <w:p>
      <w:pPr>
        <w:ind w:left="1960" w:right="140" w:hanging="656"/>
        <w:spacing w:after="0" w:line="25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7"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8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The Patient Protection and Affordable Care Act, a component of 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The uncertainties regarding the future of the ACA, and other healthcare reform initiatives, may have an adverse effect on our customers’ purchasing decisions regarding our products.</w:t>
      </w:r>
    </w:p>
    <w:p>
      <w:pPr>
        <w:spacing w:after="0" w:line="176"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8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As of December 31, 2020, we had accumulated federal and state net operating loss (NOL) carryforwards of approximately $340.0 million, and $288.7 million, respectively, which included the reduction recorded in 2019 discussed below. Of the total federal NOL carryforwards, approximately $131.5 million were generated after January 1, 2018, and therefore do not expire. NOL generated after January 1, 2018, is subject to 80% limitation in accordance with the Tax Cuts and Jobs Act of 2017. The remaining federal NOL carryforwards of $208.5 million will begin to expire in 2026, and state tax loss carryforwards begin to expire in 2021,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85"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92"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We believe that any impact of the CARES Act provisions are not significant to our financial position,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4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70"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 xml:space="preserve">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w:t>
      </w:r>
      <w:r>
        <w:rPr>
          <w:rFonts w:ascii="Arial" w:cs="Arial" w:eastAsia="Arial" w:hAnsi="Arial"/>
          <w:sz w:val="17"/>
          <w:szCs w:val="17"/>
          <w:color w:val="231F20"/>
        </w:rPr>
        <w:t>In addition, upon conversion of the Notes, unless we elect to deliver solely shares of our common stock to settle such conversion, we</w:t>
      </w:r>
      <w:r>
        <w:rPr>
          <w:rFonts w:ascii="Arial" w:cs="Arial" w:eastAsia="Arial" w:hAnsi="Arial"/>
          <w:sz w:val="17"/>
          <w:szCs w:val="17"/>
          <w:color w:val="auto"/>
        </w:rPr>
        <w:t xml:space="preserve"> </w:t>
      </w:r>
      <w:r>
        <w:rPr>
          <w:rFonts w:ascii="Arial" w:cs="Arial" w:eastAsia="Arial" w:hAnsi="Arial"/>
          <w:sz w:val="17"/>
          <w:szCs w:val="17"/>
          <w:color w:val="231F20"/>
        </w:rPr>
        <w:t xml:space="preserve">will be required to make cash payments in respect of the Notes being converted. Furthermore, </w:t>
      </w:r>
      <w:r>
        <w:rPr>
          <w:rFonts w:ascii="Arial" w:cs="Arial" w:eastAsia="Arial" w:hAnsi="Arial"/>
          <w:sz w:val="17"/>
          <w:szCs w:val="17"/>
          <w:color w:val="000000"/>
        </w:rPr>
        <w:t>the indenture governing the Notes provides that, in the event</w:t>
      </w:r>
      <w:r>
        <w:rPr>
          <w:rFonts w:ascii="Arial" w:cs="Arial" w:eastAsia="Arial" w:hAnsi="Arial"/>
          <w:sz w:val="17"/>
          <w:szCs w:val="17"/>
          <w:color w:val="231F20"/>
        </w:rPr>
        <w:t xml:space="preserve"> </w:t>
      </w:r>
      <w:r>
        <w:rPr>
          <w:rFonts w:ascii="Arial" w:cs="Arial" w:eastAsia="Arial" w:hAnsi="Arial"/>
          <w:sz w:val="17"/>
          <w:szCs w:val="17"/>
          <w:color w:val="000000"/>
        </w:rPr>
        <w:t>of an event of default (as defined in 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due to the Notes Offering: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may be heightened;</w:t>
      </w:r>
    </w:p>
    <w:p>
      <w:pPr>
        <w:spacing w:after="0" w:line="225" w:lineRule="exact"/>
        <w:rPr>
          <w:rFonts w:ascii="Arial" w:cs="Arial" w:eastAsia="Arial" w:hAnsi="Arial"/>
          <w:sz w:val="18"/>
          <w:szCs w:val="18"/>
          <w:color w:val="auto"/>
        </w:rPr>
      </w:pPr>
    </w:p>
    <w:p>
      <w:pPr>
        <w:ind w:left="1960" w:right="340" w:hanging="656"/>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investments or general corporate purposes may be impaired.</w:t>
      </w:r>
    </w:p>
    <w:p>
      <w:pPr>
        <w:spacing w:after="0" w:line="200" w:lineRule="exact"/>
        <w:rPr>
          <w:sz w:val="20"/>
          <w:szCs w:val="20"/>
          <w:color w:val="auto"/>
        </w:rPr>
      </w:pPr>
    </w:p>
    <w:p>
      <w:pPr>
        <w:spacing w:after="0" w:line="213"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157" w:lineRule="exact"/>
        <w:rPr>
          <w:sz w:val="20"/>
          <w:szCs w:val="20"/>
          <w:color w:val="auto"/>
        </w:rPr>
      </w:pPr>
    </w:p>
    <w:p>
      <w:pPr>
        <w:ind w:left="40" w:right="340"/>
        <w:spacing w:after="0" w:line="34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24" w:lineRule="exact"/>
        <w:rPr>
          <w:sz w:val="20"/>
          <w:szCs w:val="20"/>
          <w:color w:val="auto"/>
        </w:rPr>
      </w:pPr>
    </w:p>
    <w:p>
      <w:pPr>
        <w:ind w:right="60" w:firstLine="810"/>
        <w:spacing w:after="0" w:line="288"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92"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46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87" w:lineRule="exact"/>
        <w:rPr>
          <w:sz w:val="20"/>
          <w:szCs w:val="20"/>
          <w:color w:val="auto"/>
        </w:rPr>
      </w:pPr>
    </w:p>
    <w:p>
      <w:pPr>
        <w:ind w:right="20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right="60"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940" w:type="dxa"/>
            <w:vAlign w:val="bottom"/>
            <w:gridSpan w:val="8"/>
          </w:tcPr>
          <w:p>
            <w:pPr>
              <w:jc w:val="center"/>
              <w:ind w:right="4700"/>
              <w:spacing w:after="0"/>
              <w:rPr>
                <w:rFonts w:ascii="Arial" w:cs="Arial" w:eastAsia="Arial" w:hAnsi="Arial"/>
                <w:sz w:val="18"/>
                <w:szCs w:val="18"/>
                <w:color w:val="0000FF"/>
                <w:w w:val="89"/>
              </w:rPr>
            </w:pPr>
            <w:hyperlink w:anchor="page1">
              <w:r>
                <w:rPr>
                  <w:rFonts w:ascii="Arial" w:cs="Arial" w:eastAsia="Arial" w:hAnsi="Arial"/>
                  <w:sz w:val="18"/>
                  <w:szCs w:val="18"/>
                  <w:color w:val="0000FF"/>
                  <w:w w:val="89"/>
                </w:rPr>
                <w:t>Table of contents</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94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tcBorders>
              <w:bottom w:val="single" w:sz="8" w:color="auto"/>
            </w:tcBorders>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2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Exhibit</w:t>
            </w:r>
          </w:p>
        </w:tc>
        <w:tc>
          <w:tcPr>
            <w:tcW w:w="47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Form</w:t>
            </w:r>
          </w:p>
        </w:tc>
        <w:tc>
          <w:tcPr>
            <w:tcW w:w="2020" w:type="dxa"/>
            <w:vAlign w:val="bottom"/>
          </w:tcPr>
          <w:p>
            <w:pPr>
              <w:ind w:left="1240"/>
              <w:spacing w:after="0" w:line="169" w:lineRule="exact"/>
              <w:rPr>
                <w:sz w:val="20"/>
                <w:szCs w:val="20"/>
                <w:color w:val="auto"/>
              </w:rPr>
            </w:pPr>
            <w:r>
              <w:rPr>
                <w:rFonts w:ascii="Arial" w:cs="Arial" w:eastAsia="Arial" w:hAnsi="Arial"/>
                <w:sz w:val="18"/>
                <w:szCs w:val="18"/>
                <w:b w:val="1"/>
                <w:bCs w:val="1"/>
                <w:color w:val="auto"/>
              </w:rPr>
              <w:t>Date of</w:t>
            </w:r>
          </w:p>
        </w:tc>
        <w:tc>
          <w:tcPr>
            <w:tcW w:w="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Exhibit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720" w:type="dxa"/>
            <w:vAlign w:val="bottom"/>
            <w:gridSpan w:val="7"/>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20" w:type="dxa"/>
            <w:vAlign w:val="bottom"/>
          </w:tcPr>
          <w:p>
            <w:pPr>
              <w:ind w:left="240"/>
              <w:spacing w:after="0"/>
              <w:rPr>
                <w:sz w:val="20"/>
                <w:szCs w:val="20"/>
                <w:color w:val="auto"/>
              </w:rPr>
            </w:pPr>
            <w:r>
              <w:rPr>
                <w:rFonts w:ascii="Arial" w:cs="Arial" w:eastAsia="Arial" w:hAnsi="Arial"/>
                <w:sz w:val="18"/>
                <w:szCs w:val="18"/>
                <w:b w:val="1"/>
                <w:bCs w:val="1"/>
                <w:color w:val="auto"/>
              </w:rPr>
              <w:t>File No.   First Filing</w:t>
            </w:r>
          </w:p>
        </w:tc>
        <w:tc>
          <w:tcPr>
            <w:tcW w:w="230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89"/>
        </w:trPr>
        <w:tc>
          <w:tcPr>
            <w:tcW w:w="122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10.1</w:t>
            </w:r>
          </w:p>
        </w:tc>
        <w:tc>
          <w:tcPr>
            <w:tcW w:w="4720" w:type="dxa"/>
            <w:vAlign w:val="bottom"/>
            <w:gridSpan w:val="7"/>
            <w:shd w:val="clear" w:color="auto" w:fill="CCEEFF"/>
          </w:tcPr>
          <w:p>
            <w:pPr>
              <w:spacing w:after="0" w:line="189"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Second Amendment to Lease Agreement, dated March 11, 2021,</w:t>
              </w:r>
            </w:hyperlink>
          </w:p>
        </w:tc>
        <w:tc>
          <w:tcPr>
            <w:tcW w:w="9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vMerge w:val="continue"/>
            <w:shd w:val="clear" w:color="auto" w:fill="CCEEFF"/>
          </w:tcPr>
          <w:p>
            <w:pPr>
              <w:spacing w:after="0"/>
              <w:rPr>
                <w:sz w:val="13"/>
                <w:szCs w:val="13"/>
                <w:color w:val="auto"/>
              </w:rPr>
            </w:pPr>
          </w:p>
        </w:tc>
        <w:tc>
          <w:tcPr>
            <w:tcW w:w="466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by and between TREA Pacific Plaza, LLC and Tandem Diabetes</w:t>
              </w:r>
            </w:hyperlink>
          </w:p>
        </w:tc>
        <w:tc>
          <w:tcPr>
            <w:tcW w:w="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7"/>
              </w:rPr>
            </w:pPr>
            <w:hyperlink w:anchor="page78">
              <w:r>
                <w:rPr>
                  <w:rFonts w:ascii="Arial" w:cs="Arial" w:eastAsia="Arial" w:hAnsi="Arial"/>
                  <w:sz w:val="18"/>
                  <w:szCs w:val="18"/>
                  <w:color w:val="0000FF"/>
                  <w:w w:val="87"/>
                </w:rPr>
                <w:t>Care, Inc.</w:t>
              </w:r>
            </w:hyperlink>
          </w:p>
        </w:tc>
        <w:tc>
          <w:tcPr>
            <w:tcW w:w="394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10.2*</w:t>
            </w:r>
          </w:p>
        </w:tc>
        <w:tc>
          <w:tcPr>
            <w:tcW w:w="4720" w:type="dxa"/>
            <w:vAlign w:val="bottom"/>
            <w:gridSpan w:val="7"/>
          </w:tcPr>
          <w:p>
            <w:pPr>
              <w:spacing w:after="0" w:line="189" w:lineRule="exact"/>
              <w:rPr>
                <w:rFonts w:ascii="Arial" w:cs="Arial" w:eastAsia="Arial" w:hAnsi="Arial"/>
                <w:sz w:val="18"/>
                <w:szCs w:val="18"/>
                <w:color w:val="0000FF"/>
                <w:w w:val="97"/>
              </w:rPr>
            </w:pPr>
            <w:hyperlink w:anchor="page90">
              <w:r>
                <w:rPr>
                  <w:rFonts w:ascii="Arial" w:cs="Arial" w:eastAsia="Arial" w:hAnsi="Arial"/>
                  <w:sz w:val="18"/>
                  <w:szCs w:val="18"/>
                  <w:color w:val="0000FF"/>
                  <w:w w:val="97"/>
                </w:rPr>
                <w:t>Tandem Diabetes Care, Inc. 2021 Senior Management Cash</w:t>
              </w:r>
            </w:hyperlink>
          </w:p>
        </w:tc>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1220" w:type="dxa"/>
            <w:vAlign w:val="bottom"/>
            <w:vMerge w:val="continue"/>
          </w:tcPr>
          <w:p>
            <w:pPr>
              <w:spacing w:after="0"/>
              <w:rPr>
                <w:sz w:val="8"/>
                <w:szCs w:val="8"/>
                <w:color w:val="auto"/>
              </w:rPr>
            </w:pPr>
          </w:p>
        </w:tc>
        <w:tc>
          <w:tcPr>
            <w:tcW w:w="82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86"/>
              </w:rPr>
            </w:pPr>
            <w:hyperlink w:anchor="page90">
              <w:r>
                <w:rPr>
                  <w:rFonts w:ascii="Arial" w:cs="Arial" w:eastAsia="Arial" w:hAnsi="Arial"/>
                  <w:sz w:val="18"/>
                  <w:szCs w:val="18"/>
                  <w:color w:val="0000FF"/>
                  <w:w w:val="86"/>
                </w:rPr>
                <w:t>Bonus Plan</w:t>
              </w:r>
            </w:hyperlink>
          </w:p>
        </w:tc>
        <w:tc>
          <w:tcPr>
            <w:tcW w:w="3480" w:type="dxa"/>
            <w:vAlign w:val="bottom"/>
            <w:tcBorders>
              <w:top w:val="single" w:sz="8" w:color="0000FF"/>
            </w:tcBorders>
            <w:vMerge w:val="restart"/>
          </w:tcPr>
          <w:p>
            <w:pPr>
              <w:spacing w:after="0"/>
              <w:rPr>
                <w:sz w:val="8"/>
                <w:szCs w:val="8"/>
                <w:color w:val="auto"/>
              </w:rPr>
            </w:pPr>
          </w:p>
        </w:tc>
        <w:tc>
          <w:tcPr>
            <w:tcW w:w="420" w:type="dxa"/>
            <w:vAlign w:val="bottom"/>
            <w:gridSpan w:val="3"/>
            <w:vMerge w:val="restart"/>
          </w:tcPr>
          <w:p>
            <w:pPr>
              <w:spacing w:after="0"/>
              <w:rPr>
                <w:sz w:val="8"/>
                <w:szCs w:val="8"/>
                <w:color w:val="auto"/>
              </w:rPr>
            </w:pPr>
          </w:p>
        </w:tc>
        <w:tc>
          <w:tcPr>
            <w:tcW w:w="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4"/>
                <w:szCs w:val="4"/>
                <w:color w:val="auto"/>
              </w:rPr>
            </w:pPr>
          </w:p>
        </w:tc>
        <w:tc>
          <w:tcPr>
            <w:tcW w:w="820" w:type="dxa"/>
            <w:vAlign w:val="bottom"/>
            <w:tcBorders>
              <w:bottom w:val="single" w:sz="8" w:color="0000FF"/>
            </w:tcBorders>
            <w:gridSpan w:val="3"/>
            <w:vMerge w:val="continue"/>
          </w:tcPr>
          <w:p>
            <w:pPr>
              <w:spacing w:after="0"/>
              <w:rPr>
                <w:sz w:val="4"/>
                <w:szCs w:val="4"/>
                <w:color w:val="auto"/>
              </w:rPr>
            </w:pPr>
          </w:p>
        </w:tc>
        <w:tc>
          <w:tcPr>
            <w:tcW w:w="3480" w:type="dxa"/>
            <w:vAlign w:val="bottom"/>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08" w:right="379" w:bottom="1440" w:gutter="0" w:footer="0" w:header="0"/>
        </w:sectPr>
      </w:pPr>
    </w:p>
    <w:tbl>
      <w:tblPr>
        <w:tblLayout w:type="fixed"/>
        <w:tblInd w:w="440" w:type="dxa"/>
        <w:tblCellMar>
          <w:top w:w="0" w:type="dxa"/>
          <w:left w:w="0" w:type="dxa"/>
          <w:bottom w:w="0" w:type="dxa"/>
          <w:right w:w="0" w:type="dxa"/>
        </w:tblCellMar>
      </w:tblPr>
      <w:tr>
        <w:trPr>
          <w:trHeight w:val="207"/>
        </w:trPr>
        <w:tc>
          <w:tcPr>
            <w:tcW w:w="780" w:type="dxa"/>
            <w:vAlign w:val="bottom"/>
            <w:vMerge w:val="restart"/>
          </w:tcPr>
          <w:p>
            <w:pPr>
              <w:jc w:val="right"/>
              <w:ind w:right="370"/>
              <w:spacing w:after="0"/>
              <w:rPr>
                <w:sz w:val="20"/>
                <w:szCs w:val="20"/>
                <w:color w:val="auto"/>
              </w:rPr>
            </w:pPr>
            <w:r>
              <w:rPr>
                <w:rFonts w:ascii="Arial" w:cs="Arial" w:eastAsia="Arial" w:hAnsi="Arial"/>
                <w:sz w:val="18"/>
                <w:szCs w:val="18"/>
                <w:color w:val="auto"/>
                <w:w w:val="85"/>
              </w:rPr>
              <w:t>31.1</w:t>
            </w:r>
          </w:p>
        </w:tc>
        <w:tc>
          <w:tcPr>
            <w:tcW w:w="4200" w:type="dxa"/>
            <w:vAlign w:val="bottom"/>
            <w:tcBorders>
              <w:bottom w:val="single" w:sz="8" w:color="0000FF"/>
            </w:tcBorders>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Certification of John F. Sheridan, Chief Executive Officer,</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4300" w:type="dxa"/>
            <w:vAlign w:val="bottom"/>
            <w:gridSpan w:val="3"/>
            <w:vMerge w:val="restart"/>
          </w:tcPr>
          <w:p>
            <w:pPr>
              <w:spacing w:after="0" w:line="156" w:lineRule="exact"/>
              <w:rPr>
                <w:rFonts w:ascii="Arial" w:cs="Arial" w:eastAsia="Arial" w:hAnsi="Arial"/>
                <w:sz w:val="18"/>
                <w:szCs w:val="18"/>
                <w:color w:val="0000FF"/>
                <w:w w:val="90"/>
              </w:rPr>
            </w:pPr>
            <w:hyperlink w:anchor="page93">
              <w:r>
                <w:rPr>
                  <w:rFonts w:ascii="Arial" w:cs="Arial" w:eastAsia="Arial" w:hAnsi="Arial"/>
                  <w:sz w:val="18"/>
                  <w:szCs w:val="18"/>
                  <w:color w:val="0000FF"/>
                  <w:w w:val="90"/>
                </w:rPr>
                <w:t>pursuant to Section 302 of the Sarbanes-Oxley Act of 2002.</w:t>
              </w:r>
            </w:hyperlink>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43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80" w:type="dxa"/>
            <w:vAlign w:val="bottom"/>
            <w:vMerge w:val="restart"/>
          </w:tcPr>
          <w:p>
            <w:pPr>
              <w:jc w:val="right"/>
              <w:ind w:right="370"/>
              <w:spacing w:after="0"/>
              <w:rPr>
                <w:sz w:val="20"/>
                <w:szCs w:val="20"/>
                <w:color w:val="auto"/>
              </w:rPr>
            </w:pPr>
            <w:r>
              <w:rPr>
                <w:rFonts w:ascii="Arial" w:cs="Arial" w:eastAsia="Arial" w:hAnsi="Arial"/>
                <w:sz w:val="18"/>
                <w:szCs w:val="18"/>
                <w:color w:val="auto"/>
                <w:w w:val="85"/>
              </w:rPr>
              <w:t>31.2</w:t>
            </w:r>
          </w:p>
        </w:tc>
        <w:tc>
          <w:tcPr>
            <w:tcW w:w="42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94">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4300" w:type="dxa"/>
            <w:vAlign w:val="bottom"/>
            <w:gridSpan w:val="3"/>
            <w:vMerge w:val="restart"/>
          </w:tcPr>
          <w:p>
            <w:pPr>
              <w:spacing w:after="0" w:line="156" w:lineRule="exact"/>
              <w:rPr>
                <w:rFonts w:ascii="Arial" w:cs="Arial" w:eastAsia="Arial" w:hAnsi="Arial"/>
                <w:sz w:val="18"/>
                <w:szCs w:val="18"/>
                <w:color w:val="0000FF"/>
                <w:w w:val="90"/>
              </w:rPr>
            </w:pPr>
            <w:hyperlink w:anchor="page94">
              <w:r>
                <w:rPr>
                  <w:rFonts w:ascii="Arial" w:cs="Arial" w:eastAsia="Arial" w:hAnsi="Arial"/>
                  <w:sz w:val="18"/>
                  <w:szCs w:val="18"/>
                  <w:color w:val="0000FF"/>
                  <w:w w:val="90"/>
                </w:rPr>
                <w:t>pursuant to Section 302 of the Sarbanes-Oxley Act of 2002.</w:t>
              </w:r>
            </w:hyperlink>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43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0628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11" w:lineRule="exact"/>
        <w:rPr>
          <w:sz w:val="20"/>
          <w:szCs w:val="20"/>
          <w:color w:val="auto"/>
        </w:rPr>
      </w:pPr>
    </w:p>
    <w:p>
      <w:pPr>
        <w:sectPr>
          <w:pgSz w:w="11900" w:h="16838" w:orient="portrait"/>
          <w:cols w:equalWidth="0" w:num="2">
            <w:col w:w="9760" w:space="720"/>
            <w:col w:w="720"/>
          </w:cols>
          <w:pgMar w:left="320" w:top="108"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32.1**</w:t>
            </w:r>
          </w:p>
        </w:tc>
        <w:tc>
          <w:tcPr>
            <w:tcW w:w="6900" w:type="dxa"/>
            <w:vAlign w:val="bottom"/>
            <w:gridSpan w:val="5"/>
            <w:shd w:val="clear" w:color="auto" w:fill="CCEEFF"/>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of John F. Sheridan, Chief Executive Officer,</w:t>
              </w:r>
            </w:hyperlink>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vMerge w:val="continue"/>
            <w:shd w:val="clear" w:color="auto" w:fill="CCEEFF"/>
          </w:tcPr>
          <w:p>
            <w:pPr>
              <w:spacing w:after="0"/>
              <w:rPr>
                <w:sz w:val="13"/>
                <w:szCs w:val="13"/>
                <w:color w:val="auto"/>
              </w:rPr>
            </w:pPr>
          </w:p>
        </w:tc>
        <w:tc>
          <w:tcPr>
            <w:tcW w:w="420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w w:val="92"/>
              </w:rPr>
            </w:pPr>
            <w:hyperlink w:anchor="page95">
              <w:r>
                <w:rPr>
                  <w:rFonts w:ascii="Arial" w:cs="Arial" w:eastAsia="Arial" w:hAnsi="Arial"/>
                  <w:sz w:val="18"/>
                  <w:szCs w:val="18"/>
                  <w:color w:val="0000FF"/>
                  <w:w w:val="92"/>
                </w:rPr>
                <w:t>pursuant to U.S.C. Section 1350, as adopted pursuant to</w:t>
              </w:r>
            </w:hyperlink>
          </w:p>
        </w:tc>
        <w:tc>
          <w:tcPr>
            <w:tcW w:w="80" w:type="dxa"/>
            <w:vAlign w:val="bottom"/>
            <w:tcBorders>
              <w:top w:val="single" w:sz="8" w:color="CCEEFF"/>
            </w:tcBorders>
            <w:shd w:val="clear" w:color="auto" w:fill="CCEEFF"/>
          </w:tcPr>
          <w:p>
            <w:pPr>
              <w:spacing w:after="0"/>
              <w:rPr>
                <w:sz w:val="13"/>
                <w:szCs w:val="13"/>
                <w:color w:val="auto"/>
              </w:rPr>
            </w:pPr>
          </w:p>
        </w:tc>
        <w:tc>
          <w:tcPr>
            <w:tcW w:w="262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3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Section 906 of the Sarbanes-Oxley Act of 2002.</w:t>
              </w:r>
            </w:hyperlink>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620" w:type="dxa"/>
            <w:vAlign w:val="bottom"/>
            <w:tcBorders>
              <w:top w:val="single" w:sz="8" w:color="CCEEFF"/>
              <w:bottom w:val="single" w:sz="8" w:color="CCEEFF"/>
            </w:tcBorders>
            <w:shd w:val="clear" w:color="auto" w:fill="CCEEFF"/>
          </w:tcPr>
          <w:p>
            <w:pPr>
              <w:spacing w:after="0"/>
              <w:rPr>
                <w:sz w:val="15"/>
                <w:szCs w:val="15"/>
                <w:color w:val="auto"/>
              </w:rPr>
            </w:pPr>
          </w:p>
        </w:tc>
        <w:tc>
          <w:tcPr>
            <w:tcW w:w="3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32.2**</w:t>
            </w:r>
          </w:p>
        </w:tc>
        <w:tc>
          <w:tcPr>
            <w:tcW w:w="6900" w:type="dxa"/>
            <w:vAlign w:val="bottom"/>
            <w:gridSpan w:val="5"/>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Certification of Leigh A. Vosseller, Chief Financial Officer,</w:t>
              </w:r>
            </w:hyperlink>
          </w:p>
        </w:tc>
        <w:tc>
          <w:tcPr>
            <w:tcW w:w="3080" w:type="dxa"/>
            <w:vAlign w:val="bottom"/>
            <w:vMerge w:val="restart"/>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4280" w:type="dxa"/>
            <w:vAlign w:val="bottom"/>
            <w:tcBorders>
              <w:top w:val="single" w:sz="8" w:color="0000FF"/>
            </w:tcBorders>
            <w:gridSpan w:val="4"/>
          </w:tcPr>
          <w:p>
            <w:pPr>
              <w:spacing w:after="0" w:line="156" w:lineRule="exact"/>
              <w:rPr>
                <w:rFonts w:ascii="Arial" w:cs="Arial" w:eastAsia="Arial" w:hAnsi="Arial"/>
                <w:sz w:val="18"/>
                <w:szCs w:val="18"/>
                <w:color w:val="0000FF"/>
                <w:w w:val="94"/>
              </w:rPr>
            </w:pPr>
            <w:hyperlink w:anchor="page96">
              <w:r>
                <w:rPr>
                  <w:rFonts w:ascii="Arial" w:cs="Arial" w:eastAsia="Arial" w:hAnsi="Arial"/>
                  <w:sz w:val="18"/>
                  <w:szCs w:val="18"/>
                  <w:color w:val="0000FF"/>
                  <w:w w:val="94"/>
                </w:rPr>
                <w:t>pursuant to U.S.C. Section 1350, as adopted pursuant to</w:t>
              </w:r>
            </w:hyperlink>
          </w:p>
        </w:tc>
        <w:tc>
          <w:tcPr>
            <w:tcW w:w="262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Section 906 of the Sarbanes-Oxley Act of 2002.</w:t>
              </w:r>
            </w:hyperlink>
          </w:p>
        </w:tc>
        <w:tc>
          <w:tcPr>
            <w:tcW w:w="2880" w:type="dxa"/>
            <w:vAlign w:val="bottom"/>
            <w:gridSpan w:val="3"/>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4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69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(embedded within the Inline</w:t>
            </w:r>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1220" w:type="dxa"/>
            <w:vAlign w:val="bottom"/>
            <w:vMerge w:val="continue"/>
            <w:shd w:val="clear" w:color="auto" w:fill="CCEEFF"/>
          </w:tcPr>
          <w:p>
            <w:pPr>
              <w:spacing w:after="0"/>
              <w:rPr>
                <w:sz w:val="11"/>
                <w:szCs w:val="11"/>
                <w:color w:val="auto"/>
              </w:rPr>
            </w:pPr>
          </w:p>
        </w:tc>
        <w:tc>
          <w:tcPr>
            <w:tcW w:w="69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XBRL Document contained in Exhibit 101)</w:t>
            </w:r>
          </w:p>
        </w:tc>
        <w:tc>
          <w:tcPr>
            <w:tcW w:w="3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20" w:type="dxa"/>
            <w:vAlign w:val="bottom"/>
            <w:shd w:val="clear" w:color="auto" w:fill="CCEEFF"/>
          </w:tcPr>
          <w:p>
            <w:pPr>
              <w:spacing w:after="0"/>
              <w:rPr>
                <w:sz w:val="8"/>
                <w:szCs w:val="8"/>
                <w:color w:val="auto"/>
              </w:rPr>
            </w:pPr>
          </w:p>
        </w:tc>
        <w:tc>
          <w:tcPr>
            <w:tcW w:w="6900" w:type="dxa"/>
            <w:vAlign w:val="bottom"/>
            <w:gridSpan w:val="5"/>
            <w:vMerge w:val="continue"/>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25" w:lineRule="exact"/>
        <w:rPr>
          <w:sz w:val="20"/>
          <w:szCs w:val="20"/>
          <w:color w:val="auto"/>
        </w:rPr>
      </w:pPr>
    </w:p>
    <w:p>
      <w:pPr>
        <w:ind w:left="340" w:right="100" w:hanging="332"/>
        <w:spacing w:after="0" w:line="263" w:lineRule="auto"/>
        <w:tabs>
          <w:tab w:leader="none" w:pos="3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F. Sheridan</w:t>
      </w:r>
    </w:p>
    <w:p>
      <w:pPr>
        <w:ind w:left="6300"/>
        <w:spacing w:after="0" w:line="203" w:lineRule="auto"/>
        <w:rPr>
          <w:sz w:val="20"/>
          <w:szCs w:val="20"/>
          <w:color w:val="auto"/>
        </w:rPr>
      </w:pPr>
      <w:r>
        <w:rPr>
          <w:rFonts w:ascii="Arial" w:cs="Arial" w:eastAsia="Arial" w:hAnsi="Arial"/>
          <w:sz w:val="18"/>
          <w:szCs w:val="18"/>
          <w:color w:val="auto"/>
        </w:rPr>
        <w:t>President and Chief Executive Officer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Leigh A. Vosseller</w:t>
      </w:r>
    </w:p>
    <w:p>
      <w:pPr>
        <w:ind w:left="6300"/>
        <w:spacing w:after="0" w:line="215" w:lineRule="auto"/>
        <w:rPr>
          <w:sz w:val="20"/>
          <w:szCs w:val="20"/>
          <w:color w:val="auto"/>
        </w:rPr>
      </w:pPr>
      <w:r>
        <w:rPr>
          <w:rFonts w:ascii="Arial" w:cs="Arial" w:eastAsia="Arial" w:hAnsi="Arial"/>
          <w:sz w:val="17"/>
          <w:szCs w:val="17"/>
          <w:color w:val="auto"/>
        </w:rPr>
        <w:t>Executive Vice President, Chief Financial Officer and Treasurer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125" w:right="499" w:bottom="1440" w:gutter="0" w:footer="0" w:header="0"/>
        </w:sectPr>
      </w:pPr>
    </w:p>
    <w:bookmarkStart w:id="77" w:name="page78"/>
    <w:bookmarkEnd w:id="77"/>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SECOND AMENDMENT TO OFFICE LEASE</w:t>
      </w:r>
    </w:p>
    <w:p>
      <w:pPr>
        <w:spacing w:after="0" w:line="33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20"/>
          <w:szCs w:val="20"/>
          <w:color w:val="auto"/>
        </w:rPr>
        <w:t>This SECOND AMENDMENT TO OFFICE LEASE (“</w:t>
      </w:r>
      <w:r>
        <w:rPr>
          <w:rFonts w:ascii="Arial" w:cs="Arial" w:eastAsia="Arial" w:hAnsi="Arial"/>
          <w:sz w:val="20"/>
          <w:szCs w:val="20"/>
          <w:b w:val="1"/>
          <w:bCs w:val="1"/>
          <w:color w:val="auto"/>
        </w:rPr>
        <w:t>Amendment</w:t>
      </w:r>
      <w:r>
        <w:rPr>
          <w:rFonts w:ascii="Arial" w:cs="Arial" w:eastAsia="Arial" w:hAnsi="Arial"/>
          <w:sz w:val="20"/>
          <w:szCs w:val="20"/>
          <w:color w:val="auto"/>
        </w:rPr>
        <w:t>”) is made as of March 11, 2021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TREA PACIFIC PLAZA,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 TANDEM DIABETES CARE, INC.,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 xml:space="preserve"> :</w:t>
      </w:r>
    </w:p>
    <w:p>
      <w:pPr>
        <w:spacing w:after="0" w:line="331" w:lineRule="exact"/>
        <w:rPr>
          <w:sz w:val="20"/>
          <w:szCs w:val="20"/>
          <w:color w:val="auto"/>
        </w:rPr>
      </w:pPr>
    </w:p>
    <w:p>
      <w:pPr>
        <w:jc w:val="both"/>
        <w:ind w:firstLine="645"/>
        <w:spacing w:after="0" w:line="260" w:lineRule="auto"/>
        <w:tabs>
          <w:tab w:leader="none" w:pos="1204" w:val="left"/>
        </w:tabs>
        <w:numPr>
          <w:ilvl w:val="0"/>
          <w:numId w:val="44"/>
        </w:numPr>
        <w:rPr>
          <w:rFonts w:ascii="Arial" w:cs="Arial" w:eastAsia="Arial" w:hAnsi="Arial"/>
          <w:sz w:val="19"/>
          <w:szCs w:val="19"/>
          <w:color w:val="auto"/>
        </w:rPr>
      </w:pPr>
      <w:r>
        <w:rPr>
          <w:rFonts w:ascii="Arial" w:cs="Arial" w:eastAsia="Arial" w:hAnsi="Arial"/>
          <w:sz w:val="19"/>
          <w:szCs w:val="19"/>
          <w:color w:val="auto"/>
        </w:rPr>
        <w:t>Landlord and Tenant are parties to that certain Office Lease dated as of January 10, 2019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Office Lease dated as of May 15, 2019 (the “</w:t>
      </w:r>
      <w:r>
        <w:rPr>
          <w:rFonts w:ascii="Arial" w:cs="Arial" w:eastAsia="Arial" w:hAnsi="Arial"/>
          <w:sz w:val="19"/>
          <w:szCs w:val="19"/>
          <w:b w:val="1"/>
          <w:bCs w:val="1"/>
          <w:color w:val="auto"/>
        </w:rPr>
        <w:t>First Amendment</w:t>
      </w:r>
      <w:r>
        <w:rPr>
          <w:rFonts w:ascii="Arial" w:cs="Arial" w:eastAsia="Arial" w:hAnsi="Arial"/>
          <w:sz w:val="19"/>
          <w:szCs w:val="19"/>
          <w:color w:val="auto"/>
        </w:rPr>
        <w:t>,” and collectively with the Original Lease,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Tenant currently leases from Landlord certain premises consisting of approximately 59,013 rentable square feet (the “</w:t>
      </w:r>
      <w:r>
        <w:rPr>
          <w:rFonts w:ascii="Arial" w:cs="Arial" w:eastAsia="Arial" w:hAnsi="Arial"/>
          <w:sz w:val="19"/>
          <w:szCs w:val="19"/>
          <w:b w:val="1"/>
          <w:bCs w:val="1"/>
          <w:color w:val="auto"/>
        </w:rPr>
        <w:t>Current Premises</w:t>
      </w:r>
      <w:r>
        <w:rPr>
          <w:rFonts w:ascii="Arial" w:cs="Arial" w:eastAsia="Arial" w:hAnsi="Arial"/>
          <w:sz w:val="19"/>
          <w:szCs w:val="19"/>
          <w:color w:val="auto"/>
        </w:rPr>
        <w:t>”), commonly known as Suites 120, 150, 200, and 300 within the building located at 10935 Vista Sorrento Parkway, San Diego, California (the “</w:t>
      </w:r>
      <w:r>
        <w:rPr>
          <w:rFonts w:ascii="Arial" w:cs="Arial" w:eastAsia="Arial" w:hAnsi="Arial"/>
          <w:sz w:val="19"/>
          <w:szCs w:val="19"/>
          <w:b w:val="1"/>
          <w:bCs w:val="1"/>
          <w:color w:val="auto"/>
        </w:rPr>
        <w:t>10935 Building</w:t>
      </w:r>
      <w:r>
        <w:rPr>
          <w:rFonts w:ascii="Arial" w:cs="Arial" w:eastAsia="Arial" w:hAnsi="Arial"/>
          <w:sz w:val="19"/>
          <w:szCs w:val="19"/>
          <w:color w:val="auto"/>
        </w:rPr>
        <w:t>”), which is part of the project commonly known as Pacific Plaza at Torrey Hills (the “</w:t>
      </w:r>
      <w:r>
        <w:rPr>
          <w:rFonts w:ascii="Arial" w:cs="Arial" w:eastAsia="Arial" w:hAnsi="Arial"/>
          <w:sz w:val="19"/>
          <w:szCs w:val="19"/>
          <w:b w:val="1"/>
          <w:bCs w:val="1"/>
          <w:color w:val="auto"/>
        </w:rPr>
        <w:t>Project</w:t>
      </w:r>
      <w:r>
        <w:rPr>
          <w:rFonts w:ascii="Arial" w:cs="Arial" w:eastAsia="Arial" w:hAnsi="Arial"/>
          <w:sz w:val="19"/>
          <w:szCs w:val="19"/>
          <w:color w:val="auto"/>
        </w:rPr>
        <w:t>”), as more particularly described in the Lease.</w:t>
      </w:r>
    </w:p>
    <w:p>
      <w:pPr>
        <w:spacing w:after="0" w:line="205" w:lineRule="exact"/>
        <w:rPr>
          <w:rFonts w:ascii="Arial" w:cs="Arial" w:eastAsia="Arial" w:hAnsi="Arial"/>
          <w:sz w:val="19"/>
          <w:szCs w:val="19"/>
          <w:color w:val="auto"/>
        </w:rPr>
      </w:pPr>
    </w:p>
    <w:p>
      <w:pPr>
        <w:ind w:left="1280" w:hanging="635"/>
        <w:spacing w:after="0"/>
        <w:tabs>
          <w:tab w:leader="none" w:pos="12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Lease Term is scheduled to expire by its terms on January 31, 2023.</w:t>
      </w:r>
    </w:p>
    <w:p>
      <w:pPr>
        <w:spacing w:after="0" w:line="242" w:lineRule="exact"/>
        <w:rPr>
          <w:rFonts w:ascii="Arial" w:cs="Arial" w:eastAsia="Arial" w:hAnsi="Arial"/>
          <w:sz w:val="20"/>
          <w:szCs w:val="20"/>
          <w:color w:val="auto"/>
        </w:rPr>
      </w:pPr>
    </w:p>
    <w:p>
      <w:pPr>
        <w:ind w:firstLine="645"/>
        <w:spacing w:after="0" w:line="260" w:lineRule="auto"/>
        <w:tabs>
          <w:tab w:leader="none" w:pos="1193"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parties desire to amend the Lease in order to provide, among other things, to extend the Lease Term, and for Tenant to expand the Current Premises, upon the terms and conditions set forth below.</w:t>
      </w:r>
    </w:p>
    <w:p>
      <w:pPr>
        <w:spacing w:after="0" w:line="217" w:lineRule="exact"/>
        <w:rPr>
          <w:rFonts w:ascii="Arial" w:cs="Arial" w:eastAsia="Arial" w:hAnsi="Arial"/>
          <w:sz w:val="20"/>
          <w:szCs w:val="20"/>
          <w:color w:val="auto"/>
        </w:rPr>
      </w:pPr>
    </w:p>
    <w:p>
      <w:pPr>
        <w:ind w:left="1280" w:hanging="635"/>
        <w:spacing w:after="0"/>
        <w:tabs>
          <w:tab w:leader="none" w:pos="12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Capitalized terms not defined herein have the meanings given to such terms in the Lease.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324" w:lineRule="exact"/>
        <w:rPr>
          <w:sz w:val="20"/>
          <w:szCs w:val="20"/>
          <w:color w:val="auto"/>
        </w:rPr>
      </w:pPr>
    </w:p>
    <w:p>
      <w:pPr>
        <w:ind w:right="20" w:firstLine="647"/>
        <w:spacing w:after="0" w:line="260" w:lineRule="auto"/>
        <w:rPr>
          <w:sz w:val="20"/>
          <w:szCs w:val="20"/>
          <w:color w:val="auto"/>
        </w:rPr>
      </w:pPr>
      <w:r>
        <w:rPr>
          <w:rFonts w:ascii="Arial" w:cs="Arial" w:eastAsia="Arial" w:hAnsi="Arial"/>
          <w:sz w:val="20"/>
          <w:szCs w:val="20"/>
          <w:color w:val="auto"/>
        </w:rPr>
        <w:t>NOW, THEREFORE, in consideration of the above Recitals and other good and valuable consideration, the receipt and sufficiency of which is hereby acknowledged, the parties agree as follows:</w:t>
      </w:r>
    </w:p>
    <w:p>
      <w:pPr>
        <w:spacing w:after="0" w:line="217" w:lineRule="exact"/>
        <w:rPr>
          <w:sz w:val="20"/>
          <w:szCs w:val="20"/>
          <w:color w:val="auto"/>
        </w:rPr>
      </w:pPr>
    </w:p>
    <w:p>
      <w:pPr>
        <w:jc w:val="both"/>
        <w:ind w:firstLine="645"/>
        <w:spacing w:after="0" w:line="313" w:lineRule="auto"/>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Expansion of Current Premises</w:t>
      </w:r>
      <w:r>
        <w:rPr>
          <w:rFonts w:ascii="Arial" w:cs="Arial" w:eastAsia="Arial" w:hAnsi="Arial"/>
          <w:sz w:val="16"/>
          <w:szCs w:val="16"/>
          <w:color w:val="auto"/>
        </w:rPr>
        <w:t>. Tenant hereby leases from Landlord, and Landlord hereby leases to Tenant, that certain premises commonly known as Suite 100 located on the first (1st) floor of the 10935 Building, consisting of approximately 14,916 rentable square feet (12,992 usable square feet) (the “</w:t>
      </w:r>
      <w:r>
        <w:rPr>
          <w:rFonts w:ascii="Arial" w:cs="Arial" w:eastAsia="Arial" w:hAnsi="Arial"/>
          <w:sz w:val="16"/>
          <w:szCs w:val="16"/>
          <w:b w:val="1"/>
          <w:bCs w:val="1"/>
          <w:color w:val="auto"/>
        </w:rPr>
        <w:t>Second Expansion Space</w:t>
      </w:r>
      <w:r>
        <w:rPr>
          <w:rFonts w:ascii="Arial" w:cs="Arial" w:eastAsia="Arial" w:hAnsi="Arial"/>
          <w:sz w:val="16"/>
          <w:szCs w:val="16"/>
          <w:color w:val="auto"/>
        </w:rPr>
        <w:t xml:space="preserve">”). The Second Expansion Space is depicted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which is hereby incorporated into and made a part of the Lease, as amended by this Amendment (the “</w:t>
      </w:r>
      <w:r>
        <w:rPr>
          <w:rFonts w:ascii="Arial" w:cs="Arial" w:eastAsia="Arial" w:hAnsi="Arial"/>
          <w:sz w:val="16"/>
          <w:szCs w:val="16"/>
          <w:b w:val="1"/>
          <w:bCs w:val="1"/>
          <w:color w:val="auto"/>
        </w:rPr>
        <w:t>Amended Lease</w:t>
      </w:r>
      <w:r>
        <w:rPr>
          <w:rFonts w:ascii="Arial" w:cs="Arial" w:eastAsia="Arial" w:hAnsi="Arial"/>
          <w:sz w:val="16"/>
          <w:szCs w:val="16"/>
          <w:color w:val="auto"/>
        </w:rPr>
        <w:t>”), and from and after the Effective Date, all references in the Amended Lease to the defined term “Premises” shall mean and refer to the Current Premises plus the Second Expansion Space, consisting of approximately 73,929 rentable square feet in the aggregate. Tenant’s use and occupancy of the Second Expansion Space shall be in accordance with all of the terms and conditions of the Amended Lease.</w:t>
      </w:r>
    </w:p>
    <w:p>
      <w:pPr>
        <w:spacing w:after="0" w:line="177" w:lineRule="exact"/>
        <w:rPr>
          <w:rFonts w:ascii="Arial" w:cs="Arial" w:eastAsia="Arial" w:hAnsi="Arial"/>
          <w:sz w:val="16"/>
          <w:szCs w:val="16"/>
          <w:color w:val="auto"/>
        </w:rPr>
      </w:pPr>
    </w:p>
    <w:p>
      <w:pPr>
        <w:jc w:val="both"/>
        <w:ind w:firstLine="645"/>
        <w:spacing w:after="0" w:line="262" w:lineRule="auto"/>
        <w:tabs>
          <w:tab w:leader="none" w:pos="120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Second Extended Term</w:t>
      </w:r>
      <w:r>
        <w:rPr>
          <w:rFonts w:ascii="Arial" w:cs="Arial" w:eastAsia="Arial" w:hAnsi="Arial"/>
          <w:sz w:val="19"/>
          <w:szCs w:val="19"/>
          <w:color w:val="auto"/>
        </w:rPr>
        <w:t>. The Lease Term of the Amended Lease (the “</w:t>
      </w:r>
      <w:r>
        <w:rPr>
          <w:rFonts w:ascii="Arial" w:cs="Arial" w:eastAsia="Arial" w:hAnsi="Arial"/>
          <w:sz w:val="19"/>
          <w:szCs w:val="19"/>
          <w:b w:val="1"/>
          <w:bCs w:val="1"/>
          <w:color w:val="auto"/>
        </w:rPr>
        <w:t>Second Extended Term</w:t>
      </w:r>
      <w:r>
        <w:rPr>
          <w:rFonts w:ascii="Arial" w:cs="Arial" w:eastAsia="Arial" w:hAnsi="Arial"/>
          <w:sz w:val="19"/>
          <w:szCs w:val="19"/>
          <w:color w:val="auto"/>
        </w:rPr>
        <w:t>”) is hereby extended to expire on January 31, 2028 (the “</w:t>
      </w:r>
      <w:r>
        <w:rPr>
          <w:rFonts w:ascii="Arial" w:cs="Arial" w:eastAsia="Arial" w:hAnsi="Arial"/>
          <w:sz w:val="19"/>
          <w:szCs w:val="19"/>
          <w:b w:val="1"/>
          <w:bCs w:val="1"/>
          <w:color w:val="auto"/>
        </w:rPr>
        <w:t>Second Extended Term Expiration Date</w:t>
      </w:r>
      <w:r>
        <w:rPr>
          <w:rFonts w:ascii="Arial" w:cs="Arial" w:eastAsia="Arial" w:hAnsi="Arial"/>
          <w:sz w:val="19"/>
          <w:szCs w:val="19"/>
          <w:color w:val="auto"/>
        </w:rPr>
        <w:t>”). For the avoidance of doubt, Tenant’s lease of the Current Premises and the Second Expansion Space shall expire co-terminously. No such extension shall operate to release Tenant from liability for any amounts owed or defaults which exist under the Lease prior to the Effective Date; provided, however, Landlord hereby represents that, to the best of Landlord’s knowledge, (i) no such amounts are owed and</w:t>
      </w:r>
    </w:p>
    <w:p>
      <w:pPr>
        <w:sectPr>
          <w:pgSz w:w="11900" w:h="16838" w:orient="portrait"/>
          <w:cols w:equalWidth="0" w:num="1">
            <w:col w:w="11040"/>
          </w:cols>
          <w:pgMar w:left="420" w:top="1440" w:right="439" w:bottom="1440" w:gutter="0" w:footer="0" w:header="0"/>
        </w:sectPr>
      </w:pPr>
    </w:p>
    <w:bookmarkStart w:id="78" w:name="page79"/>
    <w:bookmarkEnd w:id="78"/>
    <w:p>
      <w:pPr>
        <w:ind w:left="100" w:right="60"/>
        <w:spacing w:after="0" w:line="260" w:lineRule="auto"/>
        <w:rPr>
          <w:sz w:val="20"/>
          <w:szCs w:val="20"/>
          <w:color w:val="auto"/>
        </w:rPr>
      </w:pPr>
      <w:r>
        <w:rPr>
          <w:rFonts w:ascii="Arial" w:cs="Arial" w:eastAsia="Arial" w:hAnsi="Arial"/>
          <w:sz w:val="20"/>
          <w:szCs w:val="20"/>
          <w:color w:val="auto"/>
        </w:rPr>
        <w:t>outstanding, and (ii) no default exists, or with the giving of notice or passage of time would exist, on the part of Tenant under the Lease, as of the Effective Date.</w:t>
      </w:r>
    </w:p>
    <w:p>
      <w:pPr>
        <w:spacing w:after="0" w:line="204" w:lineRule="exact"/>
        <w:rPr>
          <w:sz w:val="20"/>
          <w:szCs w:val="20"/>
          <w:color w:val="auto"/>
        </w:rPr>
      </w:pPr>
    </w:p>
    <w:p>
      <w:pPr>
        <w:ind w:left="100" w:right="1040" w:firstLine="1295"/>
        <w:spacing w:after="0" w:line="247" w:lineRule="auto"/>
        <w:rPr>
          <w:sz w:val="20"/>
          <w:szCs w:val="20"/>
          <w:color w:val="auto"/>
        </w:rPr>
      </w:pPr>
      <w:r>
        <w:rPr>
          <w:rFonts w:ascii="Arial" w:cs="Arial" w:eastAsia="Arial" w:hAnsi="Arial"/>
          <w:sz w:val="20"/>
          <w:szCs w:val="20"/>
          <w:color w:val="auto"/>
        </w:rPr>
        <w:t>The Second Extended Term as to the Second Expansion Space shall commence on the earlier of (i) substantial completion of the Additional Improvements in the Second Expansion Space or</w:t>
      </w:r>
    </w:p>
    <w:p>
      <w:pPr>
        <w:spacing w:after="0" w:line="2" w:lineRule="exact"/>
        <w:rPr>
          <w:sz w:val="20"/>
          <w:szCs w:val="20"/>
          <w:color w:val="auto"/>
        </w:rPr>
      </w:pPr>
    </w:p>
    <w:p>
      <w:pPr>
        <w:ind w:left="100" w:right="900" w:hanging="2"/>
        <w:spacing w:after="0" w:line="244" w:lineRule="auto"/>
        <w:tabs>
          <w:tab w:leader="none" w:pos="391"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December 1, 2021 (the “</w:t>
      </w:r>
      <w:r>
        <w:rPr>
          <w:rFonts w:ascii="Arial" w:cs="Arial" w:eastAsia="Arial" w:hAnsi="Arial"/>
          <w:sz w:val="20"/>
          <w:szCs w:val="20"/>
          <w:b w:val="1"/>
          <w:bCs w:val="1"/>
          <w:color w:val="auto"/>
        </w:rPr>
        <w:t>Second Expansion Space Commencement Date</w:t>
      </w:r>
      <w:r>
        <w:rPr>
          <w:rFonts w:ascii="Arial" w:cs="Arial" w:eastAsia="Arial" w:hAnsi="Arial"/>
          <w:sz w:val="20"/>
          <w:szCs w:val="20"/>
          <w:color w:val="auto"/>
        </w:rPr>
        <w:t>”), and shall expire on the Second Extended Term Expiration Date.</w:t>
      </w:r>
    </w:p>
    <w:p>
      <w:pPr>
        <w:spacing w:after="0" w:line="137" w:lineRule="exact"/>
        <w:rPr>
          <w:rFonts w:ascii="Arial" w:cs="Arial" w:eastAsia="Arial" w:hAnsi="Arial"/>
          <w:sz w:val="20"/>
          <w:szCs w:val="20"/>
          <w:color w:val="auto"/>
        </w:rPr>
      </w:pPr>
    </w:p>
    <w:p>
      <w:pPr>
        <w:jc w:val="both"/>
        <w:ind w:left="100" w:firstLine="645"/>
        <w:spacing w:after="0" w:line="246" w:lineRule="auto"/>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Base Rent</w:t>
      </w:r>
      <w:r>
        <w:rPr>
          <w:rFonts w:ascii="Arial" w:cs="Arial" w:eastAsia="Arial" w:hAnsi="Arial"/>
          <w:sz w:val="20"/>
          <w:szCs w:val="20"/>
          <w:color w:val="auto"/>
        </w:rPr>
        <w:t>. Prior to February 1, 2023, which is the Third Floor Expansion Space Expiration Date (as defined in the First Amendment), Tenant shall continue to pay monthly installments of Base Rent for the Current Premises as provided in the Lease. Effective as of February 1, 2023, and continuing throughout the Second Extended Term, Tenant shall pay monthly installments of Base Rent for the Current Premises to Landlord in accordance with the following schedule:</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4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Lease Months</w:t>
            </w:r>
          </w:p>
        </w:tc>
        <w:tc>
          <w:tcPr>
            <w:tcW w:w="52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Monthly Base Rent for the Current Premises</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81"/>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2/1/2023 - 1/31/2024</w:t>
            </w:r>
          </w:p>
        </w:tc>
        <w:tc>
          <w:tcPr>
            <w:tcW w:w="5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$247,264.47**</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81"/>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2/1/2024 - 1/31/2025</w:t>
            </w:r>
          </w:p>
        </w:tc>
        <w:tc>
          <w:tcPr>
            <w:tcW w:w="5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$254,682.40</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81"/>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2/1/2025 - 1/31/2026</w:t>
            </w:r>
          </w:p>
        </w:tc>
        <w:tc>
          <w:tcPr>
            <w:tcW w:w="5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$262,322.87</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81"/>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2/1/2026 - 1/31/2027</w:t>
            </w:r>
          </w:p>
        </w:tc>
        <w:tc>
          <w:tcPr>
            <w:tcW w:w="5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$270,192.56</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81"/>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2/1/2027 - 1/31/2028</w:t>
            </w:r>
          </w:p>
        </w:tc>
        <w:tc>
          <w:tcPr>
            <w:tcW w:w="5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$278,298.34</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50"/>
        </w:trPr>
        <w:tc>
          <w:tcPr>
            <w:tcW w:w="49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right w:val="single" w:sz="8" w:color="auto"/>
            </w:tcBorders>
          </w:tcPr>
          <w:p>
            <w:pPr>
              <w:spacing w:after="0"/>
              <w:rPr>
                <w:sz w:val="21"/>
                <w:szCs w:val="21"/>
                <w:color w:val="auto"/>
              </w:rPr>
            </w:pPr>
          </w:p>
        </w:tc>
      </w:tr>
      <w:tr>
        <w:trPr>
          <w:trHeight w:val="250"/>
        </w:trPr>
        <w:tc>
          <w:tcPr>
            <w:tcW w:w="49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15" w:lineRule="exact"/>
        <w:rPr>
          <w:sz w:val="20"/>
          <w:szCs w:val="20"/>
          <w:color w:val="auto"/>
        </w:rPr>
      </w:pPr>
    </w:p>
    <w:p>
      <w:pPr>
        <w:ind w:left="100" w:right="520" w:firstLine="1457"/>
        <w:spacing w:after="0" w:line="250" w:lineRule="auto"/>
        <w:rPr>
          <w:sz w:val="20"/>
          <w:szCs w:val="20"/>
          <w:color w:val="auto"/>
        </w:rPr>
      </w:pPr>
      <w:r>
        <w:rPr>
          <w:rFonts w:ascii="Arial" w:cs="Arial" w:eastAsia="Arial" w:hAnsi="Arial"/>
          <w:sz w:val="20"/>
          <w:szCs w:val="20"/>
          <w:color w:val="auto"/>
        </w:rPr>
        <w:t>Effective as of the Second Expansion Space Commencement Date and continuing throughout the Second Extended Term, Tenant shall pay monthly installments of Base Rent for the Second Expansion Space to Landlord in accordance with the following schedule: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980" w:type="dxa"/>
            <w:vAlign w:val="bottom"/>
            <w:tcBorders>
              <w:top w:val="single" w:sz="8" w:color="auto"/>
              <w:left w:val="single" w:sz="8" w:color="auto"/>
              <w:right w:val="single" w:sz="8" w:color="auto"/>
            </w:tcBorders>
          </w:tcPr>
          <w:p>
            <w:pPr>
              <w:spacing w:after="0"/>
              <w:rPr>
                <w:sz w:val="23"/>
                <w:szCs w:val="23"/>
                <w:color w:val="auto"/>
              </w:rPr>
            </w:pPr>
          </w:p>
        </w:tc>
        <w:tc>
          <w:tcPr>
            <w:tcW w:w="528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20"/>
                <w:szCs w:val="20"/>
                <w:b w:val="1"/>
                <w:bCs w:val="1"/>
                <w:color w:val="auto"/>
              </w:rPr>
              <w:t>Monthly Base Rent for the</w:t>
            </w:r>
          </w:p>
        </w:tc>
      </w:tr>
      <w:tr>
        <w:trPr>
          <w:trHeight w:val="261"/>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Lease Months</w:t>
            </w:r>
          </w:p>
        </w:tc>
        <w:tc>
          <w:tcPr>
            <w:tcW w:w="528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20"/>
                <w:szCs w:val="20"/>
                <w:b w:val="1"/>
                <w:bCs w:val="1"/>
                <w:color w:val="auto"/>
              </w:rPr>
              <w:t>Second Expansion Space</w:t>
            </w:r>
          </w:p>
        </w:tc>
      </w:tr>
      <w:tr>
        <w:trPr>
          <w:trHeight w:val="265"/>
        </w:trPr>
        <w:tc>
          <w:tcPr>
            <w:tcW w:w="49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Second Expansion Space Commencement</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$59,664.00**</w:t>
            </w:r>
          </w:p>
        </w:tc>
      </w:tr>
      <w:tr>
        <w:trPr>
          <w:trHeight w:val="246"/>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Date* - 12</w:t>
            </w:r>
          </w:p>
        </w:tc>
        <w:tc>
          <w:tcPr>
            <w:tcW w:w="5280" w:type="dxa"/>
            <w:vAlign w:val="bottom"/>
            <w:tcBorders>
              <w:bottom w:val="single" w:sz="8" w:color="auto"/>
              <w:right w:val="single" w:sz="8" w:color="auto"/>
            </w:tcBorders>
          </w:tcPr>
          <w:p>
            <w:pPr>
              <w:spacing w:after="0"/>
              <w:rPr>
                <w:sz w:val="21"/>
                <w:szCs w:val="21"/>
                <w:color w:val="auto"/>
              </w:rPr>
            </w:pPr>
          </w:p>
        </w:tc>
      </w:tr>
      <w:tr>
        <w:trPr>
          <w:trHeight w:val="29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13 - 24</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$61,453.92</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9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25 - 36</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$63,297.54</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9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37 - 48</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$65,196.46</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9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49 - 60</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$67,152.36</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9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61 - 72</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$69,166.93</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9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73 – Second Extended Expiration Date Term</w:t>
            </w:r>
          </w:p>
        </w:tc>
        <w:tc>
          <w:tcPr>
            <w:tcW w:w="5280" w:type="dxa"/>
            <w:vAlign w:val="bottom"/>
            <w:tcBorders>
              <w:right w:val="single" w:sz="8" w:color="auto"/>
            </w:tcBorders>
          </w:tcPr>
          <w:p>
            <w:pPr>
              <w:ind w:left="1540"/>
              <w:spacing w:after="0"/>
              <w:rPr>
                <w:sz w:val="20"/>
                <w:szCs w:val="20"/>
                <w:color w:val="auto"/>
              </w:rPr>
            </w:pPr>
            <w:r>
              <w:rPr>
                <w:rFonts w:ascii="Arial" w:cs="Arial" w:eastAsia="Arial" w:hAnsi="Arial"/>
                <w:sz w:val="20"/>
                <w:szCs w:val="20"/>
                <w:color w:val="auto"/>
              </w:rPr>
              <w:t>$71,241.94</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50"/>
        </w:trPr>
        <w:tc>
          <w:tcPr>
            <w:tcW w:w="49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right w:val="single" w:sz="8" w:color="auto"/>
            </w:tcBorders>
          </w:tcPr>
          <w:p>
            <w:pPr>
              <w:spacing w:after="0"/>
              <w:rPr>
                <w:sz w:val="21"/>
                <w:szCs w:val="21"/>
                <w:color w:val="auto"/>
              </w:rPr>
            </w:pPr>
          </w:p>
        </w:tc>
      </w:tr>
      <w:tr>
        <w:trPr>
          <w:trHeight w:val="250"/>
        </w:trPr>
        <w:tc>
          <w:tcPr>
            <w:tcW w:w="4980" w:type="dxa"/>
            <w:vAlign w:val="bottom"/>
            <w:tcBorders>
              <w:left w:val="single" w:sz="8" w:color="auto"/>
              <w:bottom w:val="single" w:sz="8" w:color="auto"/>
              <w:right w:val="single" w:sz="8" w:color="auto"/>
            </w:tcBorders>
          </w:tcPr>
          <w:p>
            <w:pPr>
              <w:spacing w:after="0"/>
              <w:rPr>
                <w:sz w:val="21"/>
                <w:szCs w:val="21"/>
                <w:color w:val="auto"/>
              </w:rPr>
            </w:pPr>
          </w:p>
        </w:tc>
        <w:tc>
          <w:tcPr>
            <w:tcW w:w="52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2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*Including a prorated amount for any partial month in which the Second Expansion Space Commencement Date occurs.</w:t>
      </w: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1405" w:right="439" w:bottom="1440" w:gutter="0" w:footer="0" w:header="0"/>
        </w:sectPr>
      </w:pPr>
    </w:p>
    <w:bookmarkStart w:id="79" w:name="page80"/>
    <w:bookmarkEnd w:id="79"/>
    <w:p>
      <w:pPr>
        <w:ind w:left="3" w:right="20" w:firstLine="647"/>
        <w:spacing w:after="0" w:line="247" w:lineRule="auto"/>
        <w:rPr>
          <w:sz w:val="20"/>
          <w:szCs w:val="20"/>
          <w:color w:val="auto"/>
        </w:rPr>
      </w:pPr>
      <w:r>
        <w:rPr>
          <w:rFonts w:ascii="Arial" w:cs="Arial" w:eastAsia="Arial" w:hAnsi="Arial"/>
          <w:sz w:val="20"/>
          <w:szCs w:val="20"/>
          <w:color w:val="auto"/>
        </w:rPr>
        <w:t>**Notwithstanding the foregoing, provided Tenant is not in default under the Amended Lease beyond any applicable notice and cure period, Landlord hereby agrees to abate Tenant’s obligation to pay</w:t>
      </w:r>
    </w:p>
    <w:p>
      <w:pPr>
        <w:ind w:left="223" w:hanging="223"/>
        <w:spacing w:after="0" w:line="227" w:lineRule="auto"/>
        <w:tabs>
          <w:tab w:leader="none" w:pos="2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 Rent for the Current Premises for the four (4) month period from February through May, 2023, and</w:t>
      </w:r>
    </w:p>
    <w:p>
      <w:pPr>
        <w:ind w:left="543" w:hanging="542"/>
        <w:spacing w:after="0"/>
        <w:tabs>
          <w:tab w:leader="none" w:pos="5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 Rent for the Second Expansion Space during the first five (5) full calendar months following the Second Expansion Space</w:t>
      </w:r>
    </w:p>
    <w:p>
      <w:pPr>
        <w:spacing w:after="0" w:line="23" w:lineRule="exact"/>
        <w:rPr>
          <w:sz w:val="20"/>
          <w:szCs w:val="20"/>
          <w:color w:val="auto"/>
        </w:rPr>
      </w:pPr>
    </w:p>
    <w:p>
      <w:pPr>
        <w:ind w:left="3"/>
        <w:spacing w:after="0" w:line="244" w:lineRule="auto"/>
        <w:rPr>
          <w:sz w:val="20"/>
          <w:szCs w:val="20"/>
          <w:color w:val="auto"/>
        </w:rPr>
      </w:pPr>
      <w:r>
        <w:rPr>
          <w:rFonts w:ascii="Arial" w:cs="Arial" w:eastAsia="Arial" w:hAnsi="Arial"/>
          <w:sz w:val="20"/>
          <w:szCs w:val="20"/>
          <w:color w:val="auto"/>
        </w:rPr>
        <w:t>Commencement Date. During such abatement periods, Tenant will still be responsible for the payment of all other monetary obligations under the Amended Lease.</w:t>
      </w:r>
    </w:p>
    <w:p>
      <w:pPr>
        <w:spacing w:after="0" w:line="218" w:lineRule="exact"/>
        <w:rPr>
          <w:sz w:val="20"/>
          <w:szCs w:val="20"/>
          <w:color w:val="auto"/>
        </w:rPr>
      </w:pPr>
    </w:p>
    <w:p>
      <w:pPr>
        <w:jc w:val="both"/>
        <w:ind w:left="3" w:firstLine="645"/>
        <w:spacing w:after="0" w:line="242" w:lineRule="auto"/>
        <w:tabs>
          <w:tab w:leader="none" w:pos="120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Additional Security Deposit</w:t>
      </w:r>
      <w:r>
        <w:rPr>
          <w:rFonts w:ascii="Arial" w:cs="Arial" w:eastAsia="Arial" w:hAnsi="Arial"/>
          <w:sz w:val="20"/>
          <w:szCs w:val="20"/>
          <w:color w:val="auto"/>
        </w:rPr>
        <w:t>. Landlord currently holds a Security Deposit under the Lease in the amount of Two Hundred Thirty-Six Thousand Eight Hundred Seventeen and 75/100 Dollars ($236,817.75) (the “</w:t>
      </w:r>
      <w:r>
        <w:rPr>
          <w:rFonts w:ascii="Arial" w:cs="Arial" w:eastAsia="Arial" w:hAnsi="Arial"/>
          <w:sz w:val="20"/>
          <w:szCs w:val="20"/>
          <w:b w:val="1"/>
          <w:bCs w:val="1"/>
          <w:color w:val="auto"/>
        </w:rPr>
        <w:t>Existing Security Deposit</w:t>
      </w:r>
      <w:r>
        <w:rPr>
          <w:rFonts w:ascii="Arial" w:cs="Arial" w:eastAsia="Arial" w:hAnsi="Arial"/>
          <w:sz w:val="20"/>
          <w:szCs w:val="20"/>
          <w:color w:val="auto"/>
        </w:rPr>
        <w:t>”). Concurrently with the full execution of this Amendment, Tenant shall deposit with Landlord an additional security deposit in the amount of Fifty-Nine Thousand Six Hundred Sixty Four Dollars ($59,664.00) (the “</w:t>
      </w:r>
      <w:r>
        <w:rPr>
          <w:rFonts w:ascii="Arial" w:cs="Arial" w:eastAsia="Arial" w:hAnsi="Arial"/>
          <w:sz w:val="20"/>
          <w:szCs w:val="20"/>
          <w:b w:val="1"/>
          <w:bCs w:val="1"/>
          <w:color w:val="auto"/>
        </w:rPr>
        <w:t>Additional Security Deposit</w:t>
      </w:r>
      <w:r>
        <w:rPr>
          <w:rFonts w:ascii="Arial" w:cs="Arial" w:eastAsia="Arial" w:hAnsi="Arial"/>
          <w:sz w:val="20"/>
          <w:szCs w:val="20"/>
          <w:color w:val="auto"/>
        </w:rPr>
        <w:t>”), which when added to the Existing Security Deposit shall equal Two Hundred Ninety-Six Thousand Four Hundred Eighty-One and 75/100 Dollars ($296,481.75) (the “</w:t>
      </w:r>
      <w:r>
        <w:rPr>
          <w:rFonts w:ascii="Arial" w:cs="Arial" w:eastAsia="Arial" w:hAnsi="Arial"/>
          <w:sz w:val="20"/>
          <w:szCs w:val="20"/>
          <w:b w:val="1"/>
          <w:bCs w:val="1"/>
          <w:color w:val="auto"/>
        </w:rPr>
        <w:t>New Security</w:t>
      </w:r>
      <w:r>
        <w:rPr>
          <w:rFonts w:ascii="Arial" w:cs="Arial" w:eastAsia="Arial" w:hAnsi="Arial"/>
          <w:sz w:val="20"/>
          <w:szCs w:val="20"/>
          <w:color w:val="auto"/>
        </w:rPr>
        <w:t xml:space="preserve"> </w:t>
      </w:r>
      <w:r>
        <w:rPr>
          <w:rFonts w:ascii="Arial" w:cs="Arial" w:eastAsia="Arial" w:hAnsi="Arial"/>
          <w:sz w:val="20"/>
          <w:szCs w:val="20"/>
          <w:b w:val="1"/>
          <w:bCs w:val="1"/>
          <w:color w:val="auto"/>
        </w:rPr>
        <w:t>Deposit</w:t>
      </w:r>
      <w:r>
        <w:rPr>
          <w:rFonts w:ascii="Arial" w:cs="Arial" w:eastAsia="Arial" w:hAnsi="Arial"/>
          <w:sz w:val="20"/>
          <w:szCs w:val="20"/>
          <w:color w:val="auto"/>
        </w:rPr>
        <w:t>"). All references to “Security Deposit” in the Amended Lease shall be deemed to refer to the New Security Deposit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Paragraph 2(c) of the Original Lease. Accordingly, upon full execution of this Amendment, Tenant shall deliver the following amounts to Landlord:</w:t>
      </w:r>
    </w:p>
    <w:p>
      <w:pPr>
        <w:spacing w:after="0" w:line="223" w:lineRule="exact"/>
        <w:rPr>
          <w:rFonts w:ascii="Arial" w:cs="Arial" w:eastAsia="Arial" w:hAnsi="Arial"/>
          <w:sz w:val="20"/>
          <w:szCs w:val="20"/>
          <w:color w:val="auto"/>
        </w:rPr>
      </w:pPr>
    </w:p>
    <w:p>
      <w:pPr>
        <w:ind w:left="1863" w:hanging="671"/>
        <w:spacing w:after="0"/>
        <w:tabs>
          <w:tab w:leader="none" w:pos="1863" w:val="left"/>
        </w:tabs>
        <w:numPr>
          <w:ilvl w:val="1"/>
          <w:numId w:val="48"/>
        </w:numPr>
        <w:rPr>
          <w:rFonts w:ascii="Arial" w:cs="Arial" w:eastAsia="Arial" w:hAnsi="Arial"/>
          <w:sz w:val="20"/>
          <w:szCs w:val="20"/>
          <w:color w:val="auto"/>
        </w:rPr>
      </w:pPr>
      <w:r>
        <w:rPr>
          <w:rFonts w:ascii="Arial" w:cs="Arial" w:eastAsia="Arial" w:hAnsi="Arial"/>
          <w:sz w:val="20"/>
          <w:szCs w:val="20"/>
          <w:color w:val="auto"/>
        </w:rPr>
        <w:t>One month installment of Base Rent for the Second Expansion Space:$59,664.00</w:t>
      </w:r>
    </w:p>
    <w:p>
      <w:pPr>
        <w:spacing w:after="0" w:line="364" w:lineRule="exact"/>
        <w:rPr>
          <w:sz w:val="20"/>
          <w:szCs w:val="20"/>
          <w:color w:val="auto"/>
        </w:rPr>
      </w:pPr>
    </w:p>
    <w:p>
      <w:pPr>
        <w:ind w:left="1143"/>
        <w:spacing w:after="0"/>
        <w:tabs>
          <w:tab w:leader="none" w:pos="1922" w:val="left"/>
          <w:tab w:leader="none" w:pos="4602"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Additional Security Deposit:</w:t>
      </w:r>
      <w:r>
        <w:rPr>
          <w:sz w:val="20"/>
          <w:szCs w:val="20"/>
          <w:color w:val="auto"/>
        </w:rPr>
        <w:tab/>
      </w:r>
      <w:r>
        <w:rPr>
          <w:rFonts w:ascii="Arial" w:cs="Arial" w:eastAsia="Arial" w:hAnsi="Arial"/>
          <w:sz w:val="16"/>
          <w:szCs w:val="16"/>
          <w:color w:val="auto"/>
        </w:rPr>
        <w:t>$59,664.00 Total due upon execution of the</w:t>
      </w:r>
    </w:p>
    <w:p>
      <w:pPr>
        <w:spacing w:after="0" w:line="216" w:lineRule="exact"/>
        <w:rPr>
          <w:sz w:val="20"/>
          <w:szCs w:val="20"/>
          <w:color w:val="auto"/>
        </w:rPr>
      </w:pPr>
    </w:p>
    <w:p>
      <w:pPr>
        <w:ind w:left="1943"/>
        <w:spacing w:after="0"/>
        <w:tabs>
          <w:tab w:leader="none" w:pos="3162" w:val="left"/>
        </w:tabs>
        <w:rPr>
          <w:sz w:val="20"/>
          <w:szCs w:val="20"/>
          <w:color w:val="auto"/>
        </w:rPr>
      </w:pPr>
      <w:r>
        <w:rPr>
          <w:rFonts w:ascii="Arial" w:cs="Arial" w:eastAsia="Arial" w:hAnsi="Arial"/>
          <w:sz w:val="20"/>
          <w:szCs w:val="20"/>
          <w:color w:val="auto"/>
        </w:rPr>
        <w:t>Amendment:</w:t>
      </w:r>
      <w:r>
        <w:rPr>
          <w:sz w:val="20"/>
          <w:szCs w:val="20"/>
          <w:color w:val="auto"/>
        </w:rPr>
        <w:tab/>
      </w:r>
      <w:r>
        <w:rPr>
          <w:rFonts w:ascii="Arial" w:cs="Arial" w:eastAsia="Arial" w:hAnsi="Arial"/>
          <w:sz w:val="16"/>
          <w:szCs w:val="16"/>
          <w:color w:val="auto"/>
        </w:rPr>
        <w:t>$119,328.00</w:t>
      </w:r>
    </w:p>
    <w:p>
      <w:pPr>
        <w:spacing w:after="0" w:line="108" w:lineRule="exact"/>
        <w:rPr>
          <w:sz w:val="20"/>
          <w:szCs w:val="20"/>
          <w:color w:val="auto"/>
        </w:rPr>
      </w:pPr>
    </w:p>
    <w:p>
      <w:pPr>
        <w:ind w:left="1303" w:hanging="655"/>
        <w:spacing w:after="0"/>
        <w:tabs>
          <w:tab w:leader="none" w:pos="1303"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Tenant’s Proportionate Share; Base Year</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1843" w:hanging="761"/>
        <w:spacing w:after="0"/>
        <w:tabs>
          <w:tab w:leader="none" w:pos="1843" w:val="left"/>
        </w:tabs>
        <w:numPr>
          <w:ilvl w:val="1"/>
          <w:numId w:val="49"/>
        </w:numPr>
        <w:rPr>
          <w:rFonts w:ascii="Arial" w:cs="Arial" w:eastAsia="Arial" w:hAnsi="Arial"/>
          <w:sz w:val="19"/>
          <w:szCs w:val="19"/>
          <w:color w:val="auto"/>
        </w:rPr>
      </w:pPr>
      <w:r>
        <w:rPr>
          <w:rFonts w:ascii="Arial" w:cs="Arial" w:eastAsia="Arial" w:hAnsi="Arial"/>
          <w:sz w:val="19"/>
          <w:szCs w:val="19"/>
          <w:color w:val="auto"/>
        </w:rPr>
        <w:t>Effective as of the Second Expansion Space Commencement Date, Tenant’s Proportionate Share shall be</w:t>
      </w:r>
    </w:p>
    <w:p>
      <w:pPr>
        <w:spacing w:after="0" w:line="27" w:lineRule="exact"/>
        <w:rPr>
          <w:rFonts w:ascii="Arial" w:cs="Arial" w:eastAsia="Arial" w:hAnsi="Arial"/>
          <w:sz w:val="19"/>
          <w:szCs w:val="19"/>
          <w:color w:val="auto"/>
        </w:rPr>
      </w:pPr>
    </w:p>
    <w:p>
      <w:pPr>
        <w:ind w:left="3"/>
        <w:spacing w:after="0"/>
        <w:rPr>
          <w:rFonts w:ascii="Arial" w:cs="Arial" w:eastAsia="Arial" w:hAnsi="Arial"/>
          <w:sz w:val="19"/>
          <w:szCs w:val="19"/>
          <w:color w:val="auto"/>
        </w:rPr>
      </w:pPr>
      <w:r>
        <w:rPr>
          <w:rFonts w:ascii="Arial" w:cs="Arial" w:eastAsia="Arial" w:hAnsi="Arial"/>
          <w:sz w:val="20"/>
          <w:szCs w:val="20"/>
          <w:color w:val="auto"/>
        </w:rPr>
        <w:t>increased by 6.77%.</w:t>
      </w:r>
    </w:p>
    <w:p>
      <w:pPr>
        <w:spacing w:after="0" w:line="240" w:lineRule="exact"/>
        <w:rPr>
          <w:sz w:val="20"/>
          <w:szCs w:val="20"/>
          <w:color w:val="auto"/>
        </w:rPr>
      </w:pPr>
    </w:p>
    <w:p>
      <w:pPr>
        <w:jc w:val="both"/>
        <w:ind w:left="3"/>
        <w:spacing w:after="0" w:line="243" w:lineRule="auto"/>
        <w:rPr>
          <w:sz w:val="20"/>
          <w:szCs w:val="20"/>
          <w:color w:val="auto"/>
        </w:rPr>
      </w:pPr>
      <w:r>
        <w:rPr>
          <w:rFonts w:ascii="Arial" w:cs="Arial" w:eastAsia="Arial" w:hAnsi="Arial"/>
          <w:sz w:val="20"/>
          <w:szCs w:val="20"/>
          <w:color w:val="auto"/>
        </w:rPr>
        <w:t>Once the Second Expansion Space Commencement Date has occurred and continuing throughout the Second Extended Term, Tenant’s Proportionate Share for the Premises (inclusive of the Current Premises and the Second Expansion Space) shall be 33.55%, based on the Premises consisting of approximately 73,929 rentable square feet in the aggregate and the Project consisting of approximately 220,348 rentable square feet. During the Second Extended Term, Tenant shall continue to pay Tenant’s Proportionate Share of increases in Operating Expenses in accordance with the Lease; provided, however, (i) the Base Year for the Second Expansion Space shall be the calendar year 2022, and (ii) effective as of February 1, 2023, the Base Year for the Current Premises shall be adjusted to the calendar year 2023.</w:t>
      </w:r>
    </w:p>
    <w:p>
      <w:pPr>
        <w:spacing w:after="0" w:line="200" w:lineRule="exact"/>
        <w:rPr>
          <w:sz w:val="20"/>
          <w:szCs w:val="20"/>
          <w:color w:val="auto"/>
        </w:rPr>
      </w:pPr>
    </w:p>
    <w:p>
      <w:pPr>
        <w:spacing w:after="0" w:line="373"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3"/>
          </w:cols>
          <w:pgMar w:left="417" w:top="1405" w:right="439" w:bottom="1440" w:gutter="0" w:footer="0" w:header="0"/>
        </w:sectPr>
      </w:pPr>
    </w:p>
    <w:bookmarkStart w:id="80" w:name="page81"/>
    <w:bookmarkEnd w:id="80"/>
    <w:p>
      <w:pPr>
        <w:jc w:val="both"/>
        <w:ind w:left="2" w:firstLine="645"/>
        <w:spacing w:after="0" w:line="267" w:lineRule="auto"/>
        <w:tabs>
          <w:tab w:leader="none" w:pos="120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Landlord shall provide to Tenant the “Additional Allowance” (as defined below) to be used by Tenant to design, plan, engineer, commence, and complete interior improvements to the Premises (the “</w:t>
      </w:r>
      <w:r>
        <w:rPr>
          <w:rFonts w:ascii="Arial" w:cs="Arial" w:eastAsia="Arial" w:hAnsi="Arial"/>
          <w:sz w:val="18"/>
          <w:szCs w:val="18"/>
          <w:b w:val="1"/>
          <w:bCs w:val="1"/>
          <w:color w:val="auto"/>
        </w:rPr>
        <w:t>Additional Improvements</w:t>
      </w:r>
      <w:r>
        <w:rPr>
          <w:rFonts w:ascii="Arial" w:cs="Arial" w:eastAsia="Arial" w:hAnsi="Arial"/>
          <w:sz w:val="18"/>
          <w:szCs w:val="18"/>
          <w:color w:val="auto"/>
        </w:rPr>
        <w:t xml:space="preserve">”) in accordance with and subject to the terms and conditions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to the First Amendment (the “</w:t>
      </w:r>
      <w:r>
        <w:rPr>
          <w:rFonts w:ascii="Arial" w:cs="Arial" w:eastAsia="Arial" w:hAnsi="Arial"/>
          <w:sz w:val="18"/>
          <w:szCs w:val="18"/>
          <w:b w:val="1"/>
          <w:bCs w:val="1"/>
          <w:color w:val="auto"/>
        </w:rPr>
        <w:t>Work Letter</w:t>
      </w:r>
      <w:r>
        <w:rPr>
          <w:rFonts w:ascii="Arial" w:cs="Arial" w:eastAsia="Arial" w:hAnsi="Arial"/>
          <w:sz w:val="18"/>
          <w:szCs w:val="18"/>
          <w:color w:val="auto"/>
        </w:rPr>
        <w:t>”); provided, however, (a) Tenant shall have no right to utilize any unused portion of the Additional Allowance applicable to the Second Expansion Space after June 3, 2022 (excluding any then-outstanding Draw Requests) , (b) the maximum Construction Administration Fee specified in Section 5(a)(iii)(ii) of the Work Letter shall be two percent (2.0%) of the hard construction cost of the Additional Improvements, (c) all references in the Work Letter to the “Allowance” shall mean and refer to the portion of the Additional Allowance applicable to each component of the Premises to be improved with the Additional Improvements consisting of the Current Premises and the Second Expansion Premises, (d) all references in the Work Letter to the “Tenant Improvements” or the “Tenant Improvement Work” shall mean and refer to the Additional Improvements, (e) all references in the Work Letter to the Third Floor Expansion Space shall mean and refer severally to the Current Premises and the Second Expansion Space as applicable, and each provision of the Work Letter, including the corresponding portions of the Additional Allowance, shall apply separately to the Current Premises and the Second Expansion Space, and</w:t>
      </w:r>
    </w:p>
    <w:p>
      <w:pPr>
        <w:spacing w:after="0" w:line="6" w:lineRule="exact"/>
        <w:rPr>
          <w:rFonts w:ascii="Arial" w:cs="Arial" w:eastAsia="Arial" w:hAnsi="Arial"/>
          <w:sz w:val="18"/>
          <w:szCs w:val="18"/>
          <w:color w:val="auto"/>
        </w:rPr>
      </w:pPr>
    </w:p>
    <w:p>
      <w:pPr>
        <w:jc w:val="both"/>
        <w:ind w:left="2" w:hanging="2"/>
        <w:spacing w:after="0" w:line="241" w:lineRule="auto"/>
        <w:tabs>
          <w:tab w:leader="none" w:pos="265"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references in the Work Letter to the “Space Plans” shall mean and refer to new sets of preliminary space plans to be prepared by Tenant sufficient to convey the architectural design of the Additional Improvements in the Current Premises and the Second Expansion Space, respectively, and submitted, respectively, to Landlord for Landlord’s approval in accordance with the terms and conditions of Section 4 of the Work Letter as applied to each such portion of the Premises respectively.</w:t>
      </w:r>
    </w:p>
    <w:p>
      <w:pPr>
        <w:spacing w:after="0" w:line="215" w:lineRule="exact"/>
        <w:rPr>
          <w:sz w:val="20"/>
          <w:szCs w:val="20"/>
          <w:color w:val="auto"/>
        </w:rPr>
      </w:pPr>
    </w:p>
    <w:p>
      <w:pPr>
        <w:ind w:left="642"/>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Additional Allowance</w:t>
      </w:r>
      <w:r>
        <w:rPr>
          <w:rFonts w:ascii="Arial" w:cs="Arial" w:eastAsia="Arial" w:hAnsi="Arial"/>
          <w:sz w:val="20"/>
          <w:szCs w:val="20"/>
          <w:color w:val="auto"/>
        </w:rPr>
        <w:t>” shall be equal to:</w:t>
      </w:r>
    </w:p>
    <w:p>
      <w:pPr>
        <w:spacing w:after="0" w:line="249" w:lineRule="exact"/>
        <w:rPr>
          <w:sz w:val="20"/>
          <w:szCs w:val="20"/>
          <w:color w:val="auto"/>
        </w:rPr>
      </w:pPr>
    </w:p>
    <w:p>
      <w:pPr>
        <w:ind w:left="2" w:firstLine="1943"/>
        <w:spacing w:after="0" w:line="385" w:lineRule="auto"/>
        <w:rPr>
          <w:sz w:val="20"/>
          <w:szCs w:val="20"/>
          <w:color w:val="auto"/>
        </w:rPr>
      </w:pPr>
      <w:r>
        <w:rPr>
          <w:rFonts w:ascii="Arial" w:cs="Arial" w:eastAsia="Arial" w:hAnsi="Arial"/>
          <w:sz w:val="16"/>
          <w:szCs w:val="16"/>
          <w:color w:val="auto"/>
        </w:rPr>
        <w:t>$65.00 per rentable square foot of the Second Expansion Space (i.e., $969,540.00 based on the Second Expansion Space consisting of approximately 14,916 rentable square feet), which amount shall be applicable only to the Second Expansion Space.</w:t>
      </w:r>
    </w:p>
    <w:p>
      <w:pPr>
        <w:spacing w:after="0" w:line="125" w:lineRule="exact"/>
        <w:rPr>
          <w:sz w:val="20"/>
          <w:szCs w:val="20"/>
          <w:color w:val="auto"/>
        </w:rPr>
      </w:pPr>
    </w:p>
    <w:p>
      <w:pPr>
        <w:jc w:val="both"/>
        <w:ind w:left="2" w:firstLine="645"/>
        <w:spacing w:after="0" w:line="274" w:lineRule="auto"/>
        <w:tabs>
          <w:tab w:leader="none" w:pos="120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Condition of the Current Premises</w:t>
      </w:r>
      <w:r>
        <w:rPr>
          <w:rFonts w:ascii="Arial" w:cs="Arial" w:eastAsia="Arial" w:hAnsi="Arial"/>
          <w:sz w:val="18"/>
          <w:szCs w:val="18"/>
          <w:color w:val="auto"/>
        </w:rPr>
        <w:t>. Tenant is currently in possession of the Current Premises and acknowledges that except as expressly provided in this Amendment, Landlord shall not be obligated to refurbish or improve the Current Premises or to otherwise fund improvements for the Current Premises in any manner whatsoever in conjunction with this Amendment. Tenant further acknowledges that except as expressly provided in the Lease and this Amendment, neither Landlord nor any agent of Landlord has made any representation or warranty regarding the condition of the Current Premises, the improvements, refurbishments, or alterations therein, the 10935 Building or the Project, or with respect to the functionality thereof or the suitability of any of the foregoing for the conduct of Tenant’s business and that all representations and warranties of Landlord, if any, are as set forth in the Lease and this Amendment.</w:t>
      </w:r>
    </w:p>
    <w:p>
      <w:pPr>
        <w:spacing w:after="0" w:line="200" w:lineRule="exact"/>
        <w:rPr>
          <w:sz w:val="20"/>
          <w:szCs w:val="20"/>
          <w:color w:val="auto"/>
        </w:rPr>
      </w:pPr>
    </w:p>
    <w:p>
      <w:pPr>
        <w:spacing w:after="0" w:line="349"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2"/>
          </w:cols>
          <w:pgMar w:left="418" w:top="1324" w:right="439" w:bottom="1440" w:gutter="0" w:footer="0" w:header="0"/>
        </w:sectPr>
      </w:pPr>
    </w:p>
    <w:bookmarkStart w:id="81" w:name="page82"/>
    <w:bookmarkEnd w:id="81"/>
    <w:p>
      <w:pPr>
        <w:jc w:val="both"/>
        <w:ind w:left="-20" w:firstLine="645"/>
        <w:spacing w:after="0" w:line="255" w:lineRule="auto"/>
        <w:tabs>
          <w:tab w:leader="none" w:pos="118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Condition of the Second Expansion Space</w:t>
      </w:r>
      <w:r>
        <w:rPr>
          <w:rFonts w:ascii="Arial" w:cs="Arial" w:eastAsia="Arial" w:hAnsi="Arial"/>
          <w:sz w:val="19"/>
          <w:szCs w:val="19"/>
          <w:color w:val="auto"/>
        </w:rPr>
        <w:t>. Tenant acknowledges that Landlord has informed Tenant that the Second Expansion Space is a mixture of second-generation space and shell condition space (without distribution of utilities or HVAC or any tenant improvements). Landlord will deliver the Second Expansion Space to Tenant upon the Effective Date of this Amendment in broom-clean condition and free of debris, with the base shell and core improvements of the 10935 Building in place and operational, subject to Tenant’s improvement of the Second Expansion Space with the Additional Improvements. In addition, to Landlord’s actual knowledge, the base shell and core improvements for the Second Expansion Space is in a condition that met current codes and conditions at time of construction thereof. Tenant acknowledges that except as expressly provided in this Amendment, neither Landlord nor any agent of Landlord has made any other representation or warranty regarding the condition of the Second Expansion Space, the improvements, refurbishments, or alterations therein, or with respect to the functionality thereof or the suitability of any of the foregoing for the conduct of Tenant’s business and that Tenant shall accept the Second Expansion Space in its present AS-IS condition, subject only to the foregoing representations by Landlord.</w:t>
      </w:r>
    </w:p>
    <w:p>
      <w:pPr>
        <w:spacing w:after="0" w:line="227" w:lineRule="exact"/>
        <w:rPr>
          <w:rFonts w:ascii="Arial" w:cs="Arial" w:eastAsia="Arial" w:hAnsi="Arial"/>
          <w:sz w:val="19"/>
          <w:szCs w:val="19"/>
          <w:color w:val="auto"/>
        </w:rPr>
      </w:pPr>
    </w:p>
    <w:p>
      <w:pPr>
        <w:jc w:val="both"/>
        <w:ind w:left="-20" w:firstLine="645"/>
        <w:spacing w:after="0" w:line="270"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Tenant shall continue to have the Right of First Offer in accordance with the terms and conditions of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attached to the First Amendment; provided, however, (a) the “ROFO Space” shall mean the space leased by GreatCall in the 10945 Building (i.e., Suites B400, B300 and B120) and the space leased by Chokar in the 10945 Building (i.e., Suite 100) (collectively, “</w:t>
      </w:r>
      <w:r>
        <w:rPr>
          <w:rFonts w:ascii="Arial" w:cs="Arial" w:eastAsia="Arial" w:hAnsi="Arial"/>
          <w:sz w:val="18"/>
          <w:szCs w:val="18"/>
          <w:b w:val="1"/>
          <w:bCs w:val="1"/>
          <w:color w:val="auto"/>
        </w:rPr>
        <w:t>Existing Tenants</w:t>
      </w:r>
      <w:r>
        <w:rPr>
          <w:rFonts w:ascii="Arial" w:cs="Arial" w:eastAsia="Arial" w:hAnsi="Arial"/>
          <w:sz w:val="18"/>
          <w:szCs w:val="18"/>
          <w:color w:val="auto"/>
        </w:rPr>
        <w:t xml:space="preserve">”), and (b) for purposes of determining the “fair market rental rate” (as defined in Rider No. 2 to the Original Lease and as determined by Landlord and set forth in the ROFO Notice) for any ROFO Space, the fair market rental rate shall be determined by Landlord based on the higher of fair market office use or fair market life science/lab use rents. In no event shall ROFO Space include any space in the 10955 Building. For the avoidance of doubt, the Right of First Offer shall apply separately to each ROFO Space which fits the foregoing definition and comes available during the Second Extended Term but shall be a one-time Right of First Offer as to each separate ROFO Space. Such Right of First Offer is subject to the rights of the Existing Tenants, including any renewal or extension of the lease of any such tenant whether or not such renewal or extension is pursuant to an express written provision in such lease and regardless of whether any such renewal or extension is consummated pursuant to an amendment or a new lease. </w:t>
      </w:r>
      <w:r>
        <w:rPr>
          <w:rFonts w:ascii="Arial" w:cs="Arial" w:eastAsia="Arial" w:hAnsi="Arial"/>
          <w:sz w:val="18"/>
          <w:szCs w:val="18"/>
          <w:u w:val="single" w:color="auto"/>
          <w:color w:val="auto"/>
        </w:rPr>
        <w:t>Rider No. 3</w:t>
      </w:r>
      <w:r>
        <w:rPr>
          <w:rFonts w:ascii="Arial" w:cs="Arial" w:eastAsia="Arial" w:hAnsi="Arial"/>
          <w:sz w:val="18"/>
          <w:szCs w:val="18"/>
          <w:color w:val="auto"/>
        </w:rPr>
        <w:t xml:space="preserve"> attached to the Original Lease and Paragraph 5 of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attached to the First Amendment are hereby deemed deleted in their entirety.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324" w:right="439" w:bottom="1440" w:gutter="0" w:footer="0" w:header="0"/>
        </w:sectPr>
      </w:pPr>
    </w:p>
    <w:bookmarkStart w:id="82" w:name="page83"/>
    <w:bookmarkEnd w:id="82"/>
    <w:p>
      <w:pPr>
        <w:jc w:val="both"/>
        <w:ind w:firstLine="645"/>
        <w:spacing w:after="0" w:line="269" w:lineRule="auto"/>
        <w:tabs>
          <w:tab w:leader="none" w:pos="120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Accessibility</w:t>
      </w:r>
      <w:r>
        <w:rPr>
          <w:rFonts w:ascii="Arial" w:cs="Arial" w:eastAsia="Arial" w:hAnsi="Arial"/>
          <w:sz w:val="18"/>
          <w:szCs w:val="18"/>
          <w:color w:val="auto"/>
        </w:rPr>
        <w:t>. Pursuant to Section 1938 of the California Civil Code, Landlord hereby advises Tenant that as of the date of this Amendment neither the Current Premises, the Second Expansion Space, the 10935 Building nor the Project have undergone inspection by a Certified Access Specialist. Further, pursuant to Section 1938 of the California Civil Code, Landlord notifies Tenant of the following: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Therefore and notwithstanding anything to the contrary contained in the Amended Lease, Landlord and Tenant agree that (a) Tenant may, at its option and at its sole cost, cause a CASp to inspect the Premises and determine whether the Premises complies with all of the applicable construction-related accessibility standards under California law, (b) the parties shall mutually coordinate and reasonably approve of the timing of any such CASp inspection so that Landlord may, at its option, have a representative present during such inspection, and (c) if Tenant requires the CASp inspection under this Paragraph, Tenant shall be solely responsible for the cost of any repairs necessary to correct violations of construction-related accessibility standards within the Current Premises, the Second Expansion Space, in the 10935 Building or at the Project, revealed solely as a result of such CASp inspection, any and all such alterations and repairs within the Premises to be performed by Tenant in accordance with Article 4 of the Original Lease; provided Tenant shall have no obligation to remove any repairs or alterations made pursuant to a CASp inspection under this Paragraph.</w:t>
      </w:r>
    </w:p>
    <w:p>
      <w:pPr>
        <w:spacing w:after="0" w:line="211" w:lineRule="exact"/>
        <w:rPr>
          <w:rFonts w:ascii="Arial" w:cs="Arial" w:eastAsia="Arial" w:hAnsi="Arial"/>
          <w:sz w:val="18"/>
          <w:szCs w:val="18"/>
          <w:color w:val="auto"/>
        </w:rPr>
      </w:pPr>
    </w:p>
    <w:p>
      <w:pPr>
        <w:jc w:val="both"/>
        <w:ind w:firstLine="645"/>
        <w:spacing w:after="0" w:line="250" w:lineRule="auto"/>
        <w:tabs>
          <w:tab w:leader="none" w:pos="1197"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As provided in the Original Lease, Tenant shall have the right to use an additional forty-nine (49) unreserved parking stalls for the Second Expansion Space. Tenant’s additional parking spaces shall be located in one of the two (2) parking structures in the Project. Tenant’s parking rights shall be governed by the Amended Lease.</w:t>
      </w:r>
    </w:p>
    <w:p>
      <w:pPr>
        <w:spacing w:after="0" w:line="226" w:lineRule="exact"/>
        <w:rPr>
          <w:rFonts w:ascii="Arial" w:cs="Arial" w:eastAsia="Arial" w:hAnsi="Arial"/>
          <w:sz w:val="20"/>
          <w:szCs w:val="20"/>
          <w:color w:val="auto"/>
        </w:rPr>
      </w:pPr>
    </w:p>
    <w:p>
      <w:pPr>
        <w:jc w:val="both"/>
        <w:ind w:firstLine="645"/>
        <w:spacing w:after="0" w:line="255" w:lineRule="auto"/>
        <w:tabs>
          <w:tab w:leader="none" w:pos="120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Broker</w:t>
      </w:r>
      <w:r>
        <w:rPr>
          <w:rFonts w:ascii="Arial" w:cs="Arial" w:eastAsia="Arial" w:hAnsi="Arial"/>
          <w:sz w:val="19"/>
          <w:szCs w:val="19"/>
          <w:color w:val="auto"/>
        </w:rPr>
        <w:t>. Tenant warrants that it has had no dealings with any real estate broker or agent in connection with the negotiation of this Amendment, excepting only RE:Align, Inc. (the “</w:t>
      </w:r>
      <w:r>
        <w:rPr>
          <w:rFonts w:ascii="Arial" w:cs="Arial" w:eastAsia="Arial" w:hAnsi="Arial"/>
          <w:sz w:val="19"/>
          <w:szCs w:val="19"/>
          <w:b w:val="1"/>
          <w:bCs w:val="1"/>
          <w:color w:val="auto"/>
        </w:rPr>
        <w:t>Broker</w:t>
      </w:r>
      <w:r>
        <w:rPr>
          <w:rFonts w:ascii="Arial" w:cs="Arial" w:eastAsia="Arial" w:hAnsi="Arial"/>
          <w:sz w:val="19"/>
          <w:szCs w:val="19"/>
          <w:color w:val="auto"/>
        </w:rPr>
        <w:t>”), and that it knows of no other real estate broker or agent acting on behalf of Tenant who is or might be thereby entitled to a commission in connection with this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 Landlord shall pay any brokerage commissions payable to the Broker in connection with the execution of this Amendment pursuant to a separate agreement between Landlord and the Broker. Nothing set forth herein or otherwise under this Amendment shall be deemed to require that Tenant retain any specific broker to act on Tenant’s behalf or for its benefit, including the Broker, in connection with any further or future negotiations with Landlord under this Amendment, including as to any renewals or extensions of the Lease Term, or expansions of the Premises, and Tenant hereby disclaims any such retention or relationship absent further notice by Tenant thereof to Landlord in each such instance.</w:t>
      </w:r>
    </w:p>
    <w:p>
      <w:pPr>
        <w:spacing w:after="0" w:line="278" w:lineRule="exact"/>
        <w:rPr>
          <w:rFonts w:ascii="Arial" w:cs="Arial" w:eastAsia="Arial" w:hAnsi="Arial"/>
          <w:sz w:val="19"/>
          <w:szCs w:val="19"/>
          <w:color w:val="auto"/>
        </w:rPr>
      </w:pPr>
    </w:p>
    <w:p>
      <w:pPr>
        <w:ind w:left="1200" w:hanging="555"/>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Security Documents</w:t>
      </w:r>
      <w:r>
        <w:rPr>
          <w:rFonts w:ascii="Arial" w:cs="Arial" w:eastAsia="Arial" w:hAnsi="Arial"/>
          <w:sz w:val="18"/>
          <w:szCs w:val="18"/>
          <w:color w:val="auto"/>
        </w:rPr>
        <w:t>. Landlord represents and warrants that no Security Documents exist as of the Effective Date of this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Amendment.</w:t>
      </w:r>
    </w:p>
    <w:p>
      <w:pPr>
        <w:spacing w:after="0" w:line="240" w:lineRule="exact"/>
        <w:rPr>
          <w:rFonts w:ascii="Arial" w:cs="Arial" w:eastAsia="Arial" w:hAnsi="Arial"/>
          <w:sz w:val="18"/>
          <w:szCs w:val="18"/>
          <w:color w:val="auto"/>
        </w:rPr>
      </w:pPr>
    </w:p>
    <w:p>
      <w:pPr>
        <w:ind w:right="20" w:firstLine="645"/>
        <w:spacing w:after="0" w:line="260" w:lineRule="auto"/>
        <w:tabs>
          <w:tab w:leader="none" w:pos="120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Signage</w:t>
      </w:r>
      <w:r>
        <w:rPr>
          <w:rFonts w:ascii="Arial" w:cs="Arial" w:eastAsia="Arial" w:hAnsi="Arial"/>
          <w:sz w:val="20"/>
          <w:szCs w:val="20"/>
          <w:color w:val="auto"/>
        </w:rPr>
        <w:t>. Landlord confirms that Tenant is entitled to the Building Sign specified in Paragraph 7(h) of the Original Lease upon the execution of this Amendment; provided, however,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20" w:top="1324" w:right="43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“Building Sign” shall mean exclusive building-top and eyebrow signage rights for the entire 10935 Building.</w:t>
      </w:r>
    </w:p>
    <w:p>
      <w:pPr>
        <w:spacing w:after="0" w:line="256" w:lineRule="exact"/>
        <w:rPr>
          <w:sz w:val="20"/>
          <w:szCs w:val="20"/>
          <w:color w:val="auto"/>
        </w:rPr>
      </w:pPr>
    </w:p>
    <w:p>
      <w:pPr>
        <w:jc w:val="both"/>
        <w:ind w:firstLine="645"/>
        <w:spacing w:after="0" w:line="245" w:lineRule="auto"/>
        <w:tabs>
          <w:tab w:leader="none" w:pos="1205"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Extension Options</w:t>
      </w:r>
      <w:r>
        <w:rPr>
          <w:rFonts w:ascii="Arial" w:cs="Arial" w:eastAsia="Arial" w:hAnsi="Arial"/>
          <w:sz w:val="20"/>
          <w:szCs w:val="20"/>
          <w:color w:val="auto"/>
        </w:rPr>
        <w:t xml:space="preserve">. Tenant shall continue to have the option rights set forth in </w:t>
      </w:r>
      <w:r>
        <w:rPr>
          <w:rFonts w:ascii="Arial" w:cs="Arial" w:eastAsia="Arial" w:hAnsi="Arial"/>
          <w:sz w:val="20"/>
          <w:szCs w:val="20"/>
          <w:u w:val="single" w:color="auto"/>
          <w:color w:val="auto"/>
        </w:rPr>
        <w:t>Rider No. 1</w:t>
      </w:r>
      <w:r>
        <w:rPr>
          <w:rFonts w:ascii="Arial" w:cs="Arial" w:eastAsia="Arial" w:hAnsi="Arial"/>
          <w:sz w:val="20"/>
          <w:szCs w:val="20"/>
          <w:color w:val="auto"/>
        </w:rPr>
        <w:t xml:space="preserve"> attached to the Original Lease; provided, however, (a) Tenant shall have two (2) Extension Options for two (2) additional periods of five (5) years each (in lieu of Tenant’s existing extension option rights),</w:t>
      </w:r>
    </w:p>
    <w:p>
      <w:pPr>
        <w:jc w:val="both"/>
        <w:spacing w:after="0" w:line="267" w:lineRule="auto"/>
        <w:rPr>
          <w:rFonts w:ascii="Arial" w:cs="Arial" w:eastAsia="Arial" w:hAnsi="Arial"/>
          <w:sz w:val="20"/>
          <w:szCs w:val="20"/>
          <w:color w:val="auto"/>
        </w:rPr>
      </w:pPr>
      <w:r>
        <w:rPr>
          <w:rFonts w:ascii="Arial" w:cs="Arial" w:eastAsia="Arial" w:hAnsi="Arial"/>
          <w:sz w:val="18"/>
          <w:szCs w:val="18"/>
          <w:color w:val="auto"/>
        </w:rPr>
        <w:t>a. Tenant may only exercise such Extension Options as to all of the Tenant Premises collectively (inclusive of the Current Premises and the Second Expansion Space), if at all, and (c) for purposes of determining the “fair market rental rate” (as defined in Rider No. 2 to the Original Lease) in connection with the Extension Options, the fair market rental rate shall be determined based on the higher of fair market office use rents or fair market life science/lab use rents. Section 19 of the First Amendment is hereby deleted in its entirety. In the event Landlord and Tenant fail to reach agreement on the fair market rental rate by the Outside Agreement Date (as defined in Section 2 of Rider No. 2 to the Original Lease), then the fair market rental rate for the applicable option term shall be determined pursuant to Section 3 of Rider No. 2 provided, however, that there shall be two appraisals performed; one appraisal will be to determine the fair market rental rate for office use and the other appraisal will be to determine the fair market rental rate for life science/lab use. The appraisal for the fair market rental rate for the office use rents shall be performed in accordance with the terms and conditions of such Section 3 except that the phrase, “Torrey Hills area” in Section 1 of Rider No. 2 is deemed changed to “Market Area” (as defined below). The appraisal for the fair market rental rate for life science/lab use rents shall be performed in accordance with Section 3 of Rider No. 2 provided that (i) the M.A.I. appraiser shall be one who has been active over the five (5) year period ending on the date of such appointment in the leasing of life science/lab properties in the Torrey Hills, Del Mar Heights, Sorrento Mesa and UTC market areas (collectively, the “Market Area”); and (ii) the references in Rider No. 2 to comparable quality office buildings located in the Torrey Hills area shall be deemed changed to first-class, institutional quality life science/lab use buildings located in the Market Area, with the word “institutional” meaning owned by a landlord whose primary business is the ownership and operation of commercial properties comparable to the Building in the Market Area. Once the fair market rental rate for office use and for life science/lab use is determined, Tenant shall pay the greater of such determined rent amount during the applicable Option Term (including annual adjustments).</w:t>
      </w:r>
    </w:p>
    <w:p>
      <w:pPr>
        <w:spacing w:after="0" w:line="213" w:lineRule="exact"/>
        <w:rPr>
          <w:rFonts w:ascii="Arial" w:cs="Arial" w:eastAsia="Arial" w:hAnsi="Arial"/>
          <w:sz w:val="20"/>
          <w:szCs w:val="20"/>
          <w:color w:val="auto"/>
        </w:rPr>
      </w:pPr>
    </w:p>
    <w:p>
      <w:pPr>
        <w:jc w:val="both"/>
        <w:ind w:firstLine="645"/>
        <w:spacing w:after="0" w:line="269" w:lineRule="auto"/>
        <w:tabs>
          <w:tab w:leader="none" w:pos="120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Tenant’s Proposed Common Area Alterations</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a narrative description generally describing the Alterations which Tenant desires to perform in the 10935 Building (the “</w:t>
      </w:r>
      <w:r>
        <w:rPr>
          <w:rFonts w:ascii="Arial" w:cs="Arial" w:eastAsia="Arial" w:hAnsi="Arial"/>
          <w:sz w:val="18"/>
          <w:szCs w:val="18"/>
          <w:b w:val="1"/>
          <w:bCs w:val="1"/>
          <w:color w:val="auto"/>
        </w:rPr>
        <w:t>Proposed Common Area Alterations</w:t>
      </w:r>
      <w:r>
        <w:rPr>
          <w:rFonts w:ascii="Arial" w:cs="Arial" w:eastAsia="Arial" w:hAnsi="Arial"/>
          <w:sz w:val="18"/>
          <w:szCs w:val="18"/>
          <w:color w:val="auto"/>
        </w:rPr>
        <w:t>”). Landlord hereby approves, in concept only, such Proposed Common Area Alterations subject to the following conditions: (i) such Proposed Common Area Alterations shall be performed by Tenant at Tenant’s sole cost and expense in accordance with, and subject to, all of the terms and conditions of Paragraph 4 of the Original Lease or in accordance with the Work Letter (if Tenant is performing such Proposed Common Area Alterations during Tenant’s construction of the Additional Improvements); (ii) Landlord’s final approval of such Proposed Common Area Alterations is subject to Landlord’s prior written approval of detailed specific plans and specifications for the same (which plans and specifications Tenant shall provide to Landlord for Landlord’s approval prior to Tenant performing any such Proposed Common Area Alterations), which review and approval process shall be in accordance with Sections 4(a), (b) and (c) of the Work Letter; and (iii) Landlord reserves the right to cause Tenant, at Tenant’s sole cost and expense (but subject to application of the Additional Allowance pursuant to Section 6 (iv) and (v) above), to remove all or a portion of such Proposed Common Area Alterations upon the expiration or sooner termination of the Lease (so long as Landlord specified such removal during Landlord’s review of the plans and specifications for the same) and to repair any damage to the Building caused by such removal. Tenant’s indemnification obligations in the Lease shall extent to Tenant’s activities in common areas of the 10935 Building.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20" w:top="1324" w:right="439" w:bottom="1440" w:gutter="0" w:footer="0" w:header="0"/>
        </w:sectPr>
      </w:pPr>
    </w:p>
    <w:bookmarkStart w:id="84" w:name="page85"/>
    <w:bookmarkEnd w:id="84"/>
    <w:p>
      <w:pPr>
        <w:spacing w:after="0" w:line="141" w:lineRule="exact"/>
        <w:rPr>
          <w:sz w:val="20"/>
          <w:szCs w:val="20"/>
          <w:color w:val="auto"/>
        </w:rPr>
      </w:pPr>
    </w:p>
    <w:p>
      <w:pPr>
        <w:ind w:firstLine="645"/>
        <w:spacing w:after="0" w:line="260" w:lineRule="auto"/>
        <w:tabs>
          <w:tab w:leader="none" w:pos="1205"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Each party warrants to the other that the person signing this Amendment on its behalf is fully authorized to do so and, by so doing, to bind such party.</w:t>
      </w:r>
    </w:p>
    <w:p>
      <w:pPr>
        <w:spacing w:after="0" w:line="217" w:lineRule="exact"/>
        <w:rPr>
          <w:rFonts w:ascii="Arial" w:cs="Arial" w:eastAsia="Arial" w:hAnsi="Arial"/>
          <w:sz w:val="20"/>
          <w:szCs w:val="20"/>
          <w:color w:val="auto"/>
        </w:rPr>
      </w:pPr>
    </w:p>
    <w:p>
      <w:pPr>
        <w:ind w:right="20" w:firstLine="645"/>
        <w:spacing w:after="0" w:line="260" w:lineRule="auto"/>
        <w:tabs>
          <w:tab w:leader="none" w:pos="1205"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shall extend to, be binding upon, and inure to the benefit of, the respective successors and permitted assigns and beneficiaries of the parties hereto.</w:t>
      </w:r>
    </w:p>
    <w:p>
      <w:pPr>
        <w:spacing w:after="0" w:line="203" w:lineRule="exact"/>
        <w:rPr>
          <w:rFonts w:ascii="Arial" w:cs="Arial" w:eastAsia="Arial" w:hAnsi="Arial"/>
          <w:sz w:val="20"/>
          <w:szCs w:val="20"/>
          <w:color w:val="auto"/>
        </w:rPr>
      </w:pPr>
    </w:p>
    <w:p>
      <w:pPr>
        <w:jc w:val="both"/>
        <w:ind w:firstLine="645"/>
        <w:spacing w:after="0" w:line="257" w:lineRule="auto"/>
        <w:tabs>
          <w:tab w:leader="none" w:pos="120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 Other Modification</w:t>
      </w:r>
      <w:r>
        <w:rPr>
          <w:rFonts w:ascii="Arial" w:cs="Arial" w:eastAsia="Arial" w:hAnsi="Arial"/>
          <w:sz w:val="19"/>
          <w:szCs w:val="19"/>
          <w:color w:val="auto"/>
        </w:rPr>
        <w:t>. Landlord and Tenant agree that except as otherwise specifically modified in this Amendment, the Lease has not been modified, supplemented, amended, or otherwise changed in any way and the Lease remains in full force and effect between the parties hereto as modified by this Amendment. To the extent of any inconsistency between the terms and conditions of the Lease and the terms and conditions of this Amendment, the terms and conditions of this Amendment shall apply and govern the parties. This Amendment may be executed in counterparts, each of which shall be deemed an original, but all of which, together, shall constitute one and the same Amendment. For purposes of this Amendment, signatures by facsimile or electronic PDF shall be binding to the same extent as original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20" w:top="1440" w:right="439" w:bottom="1440" w:gutter="0" w:footer="0" w:header="0"/>
        </w:sectPr>
      </w:pPr>
    </w:p>
    <w:bookmarkStart w:id="85" w:name="page86"/>
    <w:bookmarkEnd w:id="85"/>
    <w:p>
      <w:pPr>
        <w:ind w:left="720"/>
        <w:spacing w:after="0"/>
        <w:rPr>
          <w:sz w:val="20"/>
          <w:szCs w:val="20"/>
          <w:color w:val="auto"/>
        </w:rPr>
      </w:pPr>
      <w:r>
        <w:rPr>
          <w:rFonts w:ascii="Arial" w:cs="Arial" w:eastAsia="Arial" w:hAnsi="Arial"/>
          <w:sz w:val="18"/>
          <w:szCs w:val="18"/>
          <w:color w:val="auto"/>
        </w:rPr>
        <w:t>IN WITNESS WHEREOF, the parties hereto have executed this Amendment as of the day and year first above written.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2220" w:type="dxa"/>
            <w:vAlign w:val="bottom"/>
          </w:tcPr>
          <w:p>
            <w:pPr>
              <w:spacing w:after="0"/>
              <w:rPr>
                <w:sz w:val="20"/>
                <w:szCs w:val="20"/>
                <w:color w:val="auto"/>
              </w:rPr>
            </w:pPr>
          </w:p>
        </w:tc>
        <w:tc>
          <w:tcPr>
            <w:tcW w:w="1960" w:type="dxa"/>
            <w:vAlign w:val="bottom"/>
          </w:tcPr>
          <w:p>
            <w:pPr>
              <w:ind w:left="520"/>
              <w:spacing w:after="0"/>
              <w:rPr>
                <w:sz w:val="20"/>
                <w:szCs w:val="20"/>
                <w:color w:val="auto"/>
              </w:rPr>
            </w:pPr>
            <w:r>
              <w:rPr>
                <w:rFonts w:ascii="Arial" w:cs="Arial" w:eastAsia="Arial" w:hAnsi="Arial"/>
                <w:sz w:val="18"/>
                <w:szCs w:val="18"/>
                <w:b w:val="1"/>
                <w:bCs w:val="1"/>
                <w:color w:val="auto"/>
              </w:rPr>
              <w:t>TENANT:</w:t>
            </w:r>
          </w:p>
        </w:tc>
        <w:tc>
          <w:tcPr>
            <w:tcW w:w="3160" w:type="dxa"/>
            <w:vAlign w:val="bottom"/>
          </w:tcPr>
          <w:p>
            <w:pPr>
              <w:spacing w:after="0"/>
              <w:rPr>
                <w:sz w:val="20"/>
                <w:szCs w:val="20"/>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TREA PACIFIC PLAZA, LLC,</w:t>
            </w: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TANDEM DIABETES CARE, INC.,</w:t>
            </w: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a Delaware corporation</w:t>
            </w:r>
          </w:p>
        </w:tc>
      </w:tr>
      <w:tr>
        <w:trPr>
          <w:trHeight w:val="283"/>
        </w:trPr>
        <w:tc>
          <w:tcPr>
            <w:tcW w:w="4300" w:type="dxa"/>
            <w:vAlign w:val="bottom"/>
            <w:gridSpan w:val="2"/>
          </w:tcPr>
          <w:p>
            <w:pPr>
              <w:spacing w:after="0"/>
              <w:rPr>
                <w:sz w:val="20"/>
                <w:szCs w:val="20"/>
                <w:color w:val="auto"/>
              </w:rPr>
            </w:pPr>
            <w:r>
              <w:rPr>
                <w:rFonts w:ascii="Arial" w:cs="Arial" w:eastAsia="Arial" w:hAnsi="Arial"/>
                <w:sz w:val="18"/>
                <w:szCs w:val="18"/>
                <w:color w:val="auto"/>
                <w:w w:val="99"/>
              </w:rPr>
              <w:t>By:Teachers Insurance and Annuity Association</w:t>
            </w:r>
          </w:p>
        </w:tc>
        <w:tc>
          <w:tcPr>
            <w:tcW w:w="1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76"/>
        </w:trPr>
        <w:tc>
          <w:tcPr>
            <w:tcW w:w="4300" w:type="dxa"/>
            <w:vAlign w:val="bottom"/>
            <w:gridSpan w:val="2"/>
          </w:tcPr>
          <w:p>
            <w:pPr>
              <w:ind w:left="580"/>
              <w:spacing w:after="0" w:line="176" w:lineRule="exact"/>
              <w:rPr>
                <w:sz w:val="20"/>
                <w:szCs w:val="20"/>
                <w:color w:val="auto"/>
              </w:rPr>
            </w:pPr>
            <w:r>
              <w:rPr>
                <w:rFonts w:ascii="Arial" w:cs="Arial" w:eastAsia="Arial" w:hAnsi="Arial"/>
                <w:sz w:val="18"/>
                <w:szCs w:val="18"/>
                <w:color w:val="auto"/>
              </w:rPr>
              <w:t>of America, a New York corporation, for the</w:t>
            </w:r>
          </w:p>
        </w:tc>
        <w:tc>
          <w:tcPr>
            <w:tcW w:w="196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75"/>
        </w:trPr>
        <w:tc>
          <w:tcPr>
            <w:tcW w:w="4300" w:type="dxa"/>
            <w:vAlign w:val="bottom"/>
            <w:gridSpan w:val="2"/>
          </w:tcPr>
          <w:p>
            <w:pPr>
              <w:ind w:left="580"/>
              <w:spacing w:after="0" w:line="176" w:lineRule="exact"/>
              <w:rPr>
                <w:sz w:val="20"/>
                <w:szCs w:val="20"/>
                <w:color w:val="auto"/>
              </w:rPr>
            </w:pPr>
            <w:r>
              <w:rPr>
                <w:rFonts w:ascii="Arial" w:cs="Arial" w:eastAsia="Arial" w:hAnsi="Arial"/>
                <w:sz w:val="18"/>
                <w:szCs w:val="18"/>
                <w:color w:val="auto"/>
              </w:rPr>
              <w:t>benefit of its Real Estate Account, its sole</w:t>
            </w:r>
          </w:p>
        </w:tc>
        <w:tc>
          <w:tcPr>
            <w:tcW w:w="196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217"/>
        </w:trPr>
        <w:tc>
          <w:tcPr>
            <w:tcW w:w="2080" w:type="dxa"/>
            <w:vAlign w:val="bottom"/>
          </w:tcPr>
          <w:p>
            <w:pPr>
              <w:ind w:left="580"/>
              <w:spacing w:after="0"/>
              <w:rPr>
                <w:sz w:val="20"/>
                <w:szCs w:val="20"/>
                <w:color w:val="auto"/>
              </w:rPr>
            </w:pPr>
            <w:r>
              <w:rPr>
                <w:rFonts w:ascii="Arial" w:cs="Arial" w:eastAsia="Arial" w:hAnsi="Arial"/>
                <w:sz w:val="18"/>
                <w:szCs w:val="18"/>
                <w:color w:val="auto"/>
              </w:rPr>
              <w:t>member</w:t>
            </w:r>
          </w:p>
        </w:tc>
        <w:tc>
          <w:tcPr>
            <w:tcW w:w="2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29"/>
        </w:trPr>
        <w:tc>
          <w:tcPr>
            <w:tcW w:w="2080" w:type="dxa"/>
            <w:vAlign w:val="bottom"/>
          </w:tcPr>
          <w:p>
            <w:pPr>
              <w:ind w:left="580"/>
              <w:spacing w:after="0"/>
              <w:rPr>
                <w:sz w:val="20"/>
                <w:szCs w:val="20"/>
                <w:color w:val="auto"/>
              </w:rPr>
            </w:pPr>
            <w:r>
              <w:rPr>
                <w:rFonts w:ascii="Arial" w:cs="Arial" w:eastAsia="Arial" w:hAnsi="Arial"/>
                <w:sz w:val="18"/>
                <w:szCs w:val="18"/>
                <w:color w:val="auto"/>
              </w:rPr>
              <w:t>By:</w:t>
            </w: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Derrick Barker</w:t>
            </w:r>
          </w:p>
        </w:tc>
        <w:tc>
          <w:tcPr>
            <w:tcW w:w="1960" w:type="dxa"/>
            <w:vAlign w:val="bottom"/>
          </w:tcPr>
          <w:p>
            <w:pPr>
              <w:ind w:left="520"/>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Leigh A. Vosseller</w:t>
            </w:r>
          </w:p>
        </w:tc>
      </w:tr>
      <w:tr>
        <w:trPr>
          <w:trHeight w:val="223"/>
        </w:trPr>
        <w:tc>
          <w:tcPr>
            <w:tcW w:w="2080" w:type="dxa"/>
            <w:vAlign w:val="bottom"/>
          </w:tcPr>
          <w:p>
            <w:pPr>
              <w:ind w:left="580"/>
              <w:spacing w:after="0"/>
              <w:rPr>
                <w:sz w:val="20"/>
                <w:szCs w:val="20"/>
                <w:color w:val="auto"/>
              </w:rPr>
            </w:pPr>
            <w:r>
              <w:rPr>
                <w:rFonts w:ascii="Arial" w:cs="Arial" w:eastAsia="Arial" w:hAnsi="Arial"/>
                <w:sz w:val="18"/>
                <w:szCs w:val="18"/>
                <w:color w:val="auto"/>
              </w:rPr>
              <w:t>Print Name:</w:t>
            </w: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Derrick Barker</w:t>
            </w:r>
          </w:p>
        </w:tc>
        <w:tc>
          <w:tcPr>
            <w:tcW w:w="1960" w:type="dxa"/>
            <w:vAlign w:val="bottom"/>
          </w:tcPr>
          <w:p>
            <w:pPr>
              <w:ind w:left="520"/>
              <w:spacing w:after="0"/>
              <w:rPr>
                <w:sz w:val="20"/>
                <w:szCs w:val="20"/>
                <w:color w:val="auto"/>
              </w:rPr>
            </w:pPr>
            <w:r>
              <w:rPr>
                <w:rFonts w:ascii="Arial" w:cs="Arial" w:eastAsia="Arial" w:hAnsi="Arial"/>
                <w:sz w:val="18"/>
                <w:szCs w:val="18"/>
                <w:color w:val="auto"/>
              </w:rPr>
              <w:t>Print Name:</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Leigh Vosseller</w:t>
            </w:r>
          </w:p>
        </w:tc>
      </w:tr>
      <w:tr>
        <w:trPr>
          <w:trHeight w:val="223"/>
        </w:trPr>
        <w:tc>
          <w:tcPr>
            <w:tcW w:w="2080" w:type="dxa"/>
            <w:vAlign w:val="bottom"/>
          </w:tcPr>
          <w:p>
            <w:pPr>
              <w:ind w:left="580"/>
              <w:spacing w:after="0"/>
              <w:rPr>
                <w:sz w:val="20"/>
                <w:szCs w:val="20"/>
                <w:color w:val="auto"/>
              </w:rPr>
            </w:pPr>
            <w:r>
              <w:rPr>
                <w:rFonts w:ascii="Arial" w:cs="Arial" w:eastAsia="Arial" w:hAnsi="Arial"/>
                <w:sz w:val="18"/>
                <w:szCs w:val="18"/>
                <w:color w:val="auto"/>
              </w:rPr>
              <w:t>Title:</w:t>
            </w: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Authorized Signer</w:t>
            </w:r>
          </w:p>
        </w:tc>
        <w:tc>
          <w:tcPr>
            <w:tcW w:w="1960" w:type="dxa"/>
            <w:vAlign w:val="bottom"/>
          </w:tcPr>
          <w:p>
            <w:pPr>
              <w:ind w:left="520"/>
              <w:spacing w:after="0"/>
              <w:rPr>
                <w:sz w:val="20"/>
                <w:szCs w:val="20"/>
                <w:color w:val="auto"/>
              </w:rPr>
            </w:pPr>
            <w:r>
              <w:rPr>
                <w:rFonts w:ascii="Arial" w:cs="Arial" w:eastAsia="Arial" w:hAnsi="Arial"/>
                <w:sz w:val="18"/>
                <w:szCs w:val="18"/>
                <w:color w:val="auto"/>
              </w:rPr>
              <w:t>Title:</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EVP and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60"/>
          </w:cols>
          <w:pgMar w:left="340" w:top="1324" w:right="13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991235</wp:posOffset>
            </wp:positionV>
            <wp:extent cx="3446145" cy="31546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46145" cy="3154680"/>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399" w:right="1440"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EXHIBIT B</w:t>
      </w:r>
    </w:p>
    <w:p>
      <w:pPr>
        <w:sectPr>
          <w:pgSz w:w="11900" w:h="16838" w:orient="portrait"/>
          <w:cols w:equalWidth="0" w:num="1">
            <w:col w:w="9019"/>
          </w:cols>
          <w:pgMar w:left="1440" w:top="1399" w:right="1440"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399" w:right="1440" w:bottom="1440" w:gutter="0" w:footer="0" w:header="0"/>
          <w:type w:val="continuous"/>
        </w:sectPr>
      </w:pPr>
    </w:p>
    <w:bookmarkStart w:id="88" w:name="page89"/>
    <w:bookmarkEnd w:id="88"/>
    <w:p>
      <w:pPr>
        <w:jc w:val="center"/>
        <w:ind w:right="300"/>
        <w:spacing w:after="0"/>
        <w:rPr>
          <w:sz w:val="20"/>
          <w:szCs w:val="20"/>
          <w:color w:val="auto"/>
        </w:rPr>
      </w:pPr>
      <w:r>
        <w:rPr>
          <w:rFonts w:ascii="Arial" w:cs="Arial" w:eastAsia="Arial" w:hAnsi="Arial"/>
          <w:sz w:val="20"/>
          <w:szCs w:val="20"/>
          <w:b w:val="1"/>
          <w:bCs w:val="1"/>
          <w:color w:val="auto"/>
        </w:rPr>
        <w:t>EXHIBIT C</w:t>
      </w:r>
    </w:p>
    <w:p>
      <w:pPr>
        <w:spacing w:after="0" w:line="324" w:lineRule="exact"/>
        <w:rPr>
          <w:sz w:val="20"/>
          <w:szCs w:val="20"/>
          <w:color w:val="auto"/>
        </w:rPr>
      </w:pPr>
    </w:p>
    <w:p>
      <w:pPr>
        <w:ind w:left="2600"/>
        <w:spacing w:after="0"/>
        <w:rPr>
          <w:sz w:val="20"/>
          <w:szCs w:val="20"/>
          <w:color w:val="auto"/>
        </w:rPr>
      </w:pPr>
      <w:r>
        <w:rPr>
          <w:rFonts w:ascii="Arial" w:cs="Arial" w:eastAsia="Arial" w:hAnsi="Arial"/>
          <w:sz w:val="20"/>
          <w:szCs w:val="20"/>
          <w:b w:val="1"/>
          <w:bCs w:val="1"/>
          <w:u w:val="single" w:color="auto"/>
          <w:color w:val="auto"/>
        </w:rPr>
        <w:t>TENANT’S PROPOSED COMMON AREA ALTERATIONS</w:t>
      </w:r>
    </w:p>
    <w:p>
      <w:pPr>
        <w:spacing w:after="0" w:line="262" w:lineRule="exact"/>
        <w:rPr>
          <w:sz w:val="20"/>
          <w:szCs w:val="20"/>
          <w:color w:val="auto"/>
        </w:rPr>
      </w:pPr>
    </w:p>
    <w:p>
      <w:pPr>
        <w:ind w:left="320" w:hanging="319"/>
        <w:spacing w:after="0"/>
        <w:tabs>
          <w:tab w:leader="none" w:pos="3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Remove and relocate glass entry door system to tenant suite at ground floor lobby</w:t>
      </w:r>
    </w:p>
    <w:p>
      <w:pPr>
        <w:spacing w:after="0" w:line="15" w:lineRule="exact"/>
        <w:rPr>
          <w:rFonts w:ascii="Arial" w:cs="Arial" w:eastAsia="Arial" w:hAnsi="Arial"/>
          <w:sz w:val="20"/>
          <w:szCs w:val="20"/>
          <w:color w:val="auto"/>
        </w:rPr>
      </w:pPr>
    </w:p>
    <w:p>
      <w:pPr>
        <w:ind w:left="320" w:hanging="319"/>
        <w:spacing w:after="0"/>
        <w:tabs>
          <w:tab w:leader="none" w:pos="3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Install new reception desk at ground floor lobby</w:t>
      </w:r>
    </w:p>
    <w:p>
      <w:pPr>
        <w:jc w:val="both"/>
        <w:ind w:left="320" w:hanging="318"/>
        <w:spacing w:after="0" w:line="241" w:lineRule="auto"/>
        <w:tabs>
          <w:tab w:leader="none" w:pos="308"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Remove a portion of the Building common corridor which leads to two suites Tenant is intending to combine. Tenant would maintain the rated exit corridor from stair to exterior exit. Tenant is not proposing any additional modifications to the other floors or Building Common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0700"/>
          </w:cols>
          <w:pgMar w:left="740" w:top="1399" w:right="4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80"/>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0700"/>
          </w:cols>
          <w:pgMar w:left="740" w:top="1399" w:right="45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Tandem Diabetes Care, Inc.</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2021 Sr. Management Cash Bonus Plan</w:t>
      </w:r>
    </w:p>
    <w:p>
      <w:pPr>
        <w:spacing w:after="0" w:line="223"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color w:val="auto"/>
        </w:rPr>
        <w:t>The Tandem Diabetes Care, Inc. 2021 Sr. Management Cash Bonus Plan (the “</w:t>
      </w:r>
      <w:r>
        <w:rPr>
          <w:rFonts w:ascii="Arial" w:cs="Arial" w:eastAsia="Arial" w:hAnsi="Arial"/>
          <w:sz w:val="21"/>
          <w:szCs w:val="21"/>
          <w:b w:val="1"/>
          <w:bCs w:val="1"/>
          <w:color w:val="auto"/>
        </w:rPr>
        <w:t>Bonus Plan</w:t>
      </w:r>
      <w:r>
        <w:rPr>
          <w:rFonts w:ascii="Arial" w:cs="Arial" w:eastAsia="Arial" w:hAnsi="Arial"/>
          <w:sz w:val="21"/>
          <w:szCs w:val="21"/>
          <w:color w:val="auto"/>
        </w:rPr>
        <w:t>”) has been designed to align plan participants with the business goals and strategies of Tandem Diabetes Care, Inc. (“</w:t>
      </w:r>
      <w:r>
        <w:rPr>
          <w:rFonts w:ascii="Arial" w:cs="Arial" w:eastAsia="Arial" w:hAnsi="Arial"/>
          <w:sz w:val="21"/>
          <w:szCs w:val="21"/>
          <w:b w:val="1"/>
          <w:bCs w:val="1"/>
          <w:color w:val="auto"/>
        </w:rPr>
        <w:t>Tandem</w:t>
      </w:r>
      <w:r>
        <w:rPr>
          <w:rFonts w:ascii="Arial" w:cs="Arial" w:eastAsia="Arial" w:hAnsi="Arial"/>
          <w:sz w:val="21"/>
          <w:szCs w:val="21"/>
          <w:color w:val="auto"/>
        </w:rPr>
        <w:t>” or the “</w:t>
      </w:r>
      <w:r>
        <w:rPr>
          <w:rFonts w:ascii="Arial" w:cs="Arial" w:eastAsia="Arial" w:hAnsi="Arial"/>
          <w:sz w:val="21"/>
          <w:szCs w:val="21"/>
          <w:b w:val="1"/>
          <w:bCs w:val="1"/>
          <w:color w:val="auto"/>
        </w:rPr>
        <w:t>Company</w:t>
      </w:r>
      <w:r>
        <w:rPr>
          <w:rFonts w:ascii="Arial" w:cs="Arial" w:eastAsia="Arial" w:hAnsi="Arial"/>
          <w:sz w:val="21"/>
          <w:szCs w:val="21"/>
          <w:color w:val="auto"/>
        </w:rPr>
        <w:t>”) and to further the objectives of the Company’s executive compensation program. This Bonus Plan is an important part of the Company’s commitment to recognizing key employees who contribute to the achievement of important Company performance goals. Specifically, the objectives of the Bonus Plan are as follows:</w:t>
      </w:r>
    </w:p>
    <w:p>
      <w:pPr>
        <w:spacing w:after="0" w:line="203" w:lineRule="exact"/>
        <w:rPr>
          <w:sz w:val="20"/>
          <w:szCs w:val="20"/>
          <w:color w:val="auto"/>
        </w:rPr>
      </w:pPr>
    </w:p>
    <w:p>
      <w:pPr>
        <w:ind w:right="380" w:firstLine="8"/>
        <w:spacing w:after="0" w:line="263" w:lineRule="auto"/>
        <w:tabs>
          <w:tab w:leader="none" w:pos="2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Attract, retain and motivate executives with the background and experience required for the Company’s future growth and success;</w:t>
      </w:r>
    </w:p>
    <w:p>
      <w:pPr>
        <w:spacing w:after="0" w:line="201" w:lineRule="exact"/>
        <w:rPr>
          <w:rFonts w:ascii="Arial" w:cs="Arial" w:eastAsia="Arial" w:hAnsi="Arial"/>
          <w:sz w:val="22"/>
          <w:szCs w:val="22"/>
          <w:color w:val="auto"/>
        </w:rPr>
      </w:pPr>
    </w:p>
    <w:p>
      <w:pPr>
        <w:ind w:right="500" w:firstLine="8"/>
        <w:spacing w:after="0" w:line="312" w:lineRule="auto"/>
        <w:tabs>
          <w:tab w:leader="none" w:pos="2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Align the interests of plan participants with those of the Company’s stockholders by tying a meaningful portion of their compensation opportunity to the achievement of predetermined performance objectives that are important to the Company’s growth and success, which can increase or decrease to reflect achievement with respect to the objectives;</w:t>
      </w:r>
    </w:p>
    <w:p>
      <w:pPr>
        <w:spacing w:after="0" w:line="160" w:lineRule="exact"/>
        <w:rPr>
          <w:rFonts w:ascii="Arial" w:cs="Arial" w:eastAsia="Arial" w:hAnsi="Arial"/>
          <w:sz w:val="19"/>
          <w:szCs w:val="19"/>
          <w:color w:val="auto"/>
        </w:rPr>
      </w:pPr>
    </w:p>
    <w:p>
      <w:pPr>
        <w:ind w:right="280" w:firstLine="8"/>
        <w:spacing w:after="0" w:line="312" w:lineRule="auto"/>
        <w:tabs>
          <w:tab w:leader="none" w:pos="28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Together with base salary, long-term equity incentives and other components of compensation, create a total compensation package with an appropriate balance of cash versus non-cash, and guaranteed versus at risk, compensation opportunities that is competitive with other medical device and technology companies similar in size, growth and stage.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Period</w:t>
      </w:r>
    </w:p>
    <w:p>
      <w:pPr>
        <w:spacing w:after="0" w:line="253"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Bonus Plan is primarily intended to reward plan participants for their individual contributions to the Company’s achievement with respect to Company performance objectives for the 2021 fiscal year. However, the Company’s Board of Directors or the Compensation Committee of the Board of Directors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also has the discretion to consider individual or Company performance after December 31, 2021 and until the date of any actual bonus determination under the Bonus Plan in measuring performance and determining the amount of an award, if any, under the Bonus Plan.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253"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color w:val="auto"/>
        </w:rPr>
        <w:t>Employees of the Company eligible for an award under this Bonus Plan will be limited to individuals serving as a Vice President or more senior management role within the Company, as determined by the Board of Directors or the Compensation Committee. If, following January 1, 2021, an individual is promoted or hired and becomes an eligible participant under the Bonus Plan at any time during the 2021 calendar year, then the individual will be eligible to participate under the Bonus Plan on a pro-rata basis, calculated in the reasonable discretion of the Compensation Committee, unless otherwise specifically provided by the Board of Directors or the Compensation Committee.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7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Bonus Opportunity</w:t>
      </w:r>
    </w:p>
    <w:p>
      <w:pPr>
        <w:spacing w:after="0" w:line="253"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A target cash incentive amount (a “</w:t>
      </w:r>
      <w:r>
        <w:rPr>
          <w:rFonts w:ascii="Arial" w:cs="Arial" w:eastAsia="Arial" w:hAnsi="Arial"/>
          <w:sz w:val="21"/>
          <w:szCs w:val="21"/>
          <w:b w:val="1"/>
          <w:bCs w:val="1"/>
          <w:i w:val="1"/>
          <w:iCs w:val="1"/>
          <w:color w:val="auto"/>
        </w:rPr>
        <w:t>Target Bonus Amount</w:t>
      </w:r>
      <w:r>
        <w:rPr>
          <w:rFonts w:ascii="Arial" w:cs="Arial" w:eastAsia="Arial" w:hAnsi="Arial"/>
          <w:sz w:val="21"/>
          <w:szCs w:val="21"/>
          <w:color w:val="auto"/>
        </w:rPr>
        <w:t>”) for each eligible plan participant will be set as a percentage of the participant’s base salary and calculated based on 2021 salaries paid. Cash incentives may be earned under the Bonus Plan based on the achievement of a financial performance objective, a product development objective, and a customer-related objective. The financial performance objective represents 80% of the overall Target Bonus Amount. The product development objective and customer-related objective will each represent 10% of the overall Target Bonus Amount, which together with the financial performance objective, represent 100% of the overall Target Bonus Amount.</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Performance Objective</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The portion of the cash bonuses that relate to the financial performance objective may be earned based on the Company’s actual revenue for fiscal year 2021 as compared to a pre-established 2021 revenue target (the “</w:t>
      </w:r>
      <w:r>
        <w:rPr>
          <w:rFonts w:ascii="Arial" w:cs="Arial" w:eastAsia="Arial" w:hAnsi="Arial"/>
          <w:sz w:val="19"/>
          <w:szCs w:val="19"/>
          <w:b w:val="1"/>
          <w:bCs w:val="1"/>
          <w:i w:val="1"/>
          <w:iCs w:val="1"/>
          <w:color w:val="auto"/>
        </w:rPr>
        <w:t>Revenue Target</w:t>
      </w:r>
      <w:r>
        <w:rPr>
          <w:rFonts w:ascii="Arial" w:cs="Arial" w:eastAsia="Arial" w:hAnsi="Arial"/>
          <w:sz w:val="19"/>
          <w:szCs w:val="19"/>
          <w:color w:val="auto"/>
        </w:rPr>
        <w:t>”). Subject to the foregoing, the financial objective portion of the cash bonuses may be earned under the Bonus Plan as follows:</w:t>
      </w:r>
    </w:p>
    <w:p>
      <w:pPr>
        <w:spacing w:after="0" w:line="160" w:lineRule="exact"/>
        <w:rPr>
          <w:sz w:val="20"/>
          <w:szCs w:val="20"/>
          <w:color w:val="auto"/>
        </w:rPr>
      </w:pPr>
    </w:p>
    <w:p>
      <w:pPr>
        <w:ind w:right="160" w:firstLine="8"/>
        <w:spacing w:after="0" w:line="253" w:lineRule="auto"/>
        <w:tabs>
          <w:tab w:leader="none" w:pos="2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minimum percentage growth rate over the Company’s actual 2020 revenue, which places the Company’s revenue for 2021 at 85% of the Revenue Target (the “</w:t>
      </w:r>
      <w:r>
        <w:rPr>
          <w:rFonts w:ascii="Arial" w:cs="Arial" w:eastAsia="Arial" w:hAnsi="Arial"/>
          <w:sz w:val="22"/>
          <w:szCs w:val="22"/>
          <w:b w:val="1"/>
          <w:bCs w:val="1"/>
          <w:i w:val="1"/>
          <w:iCs w:val="1"/>
          <w:color w:val="auto"/>
        </w:rPr>
        <w:t>Minimum Revenue Target</w:t>
      </w:r>
      <w:r>
        <w:rPr>
          <w:rFonts w:ascii="Arial" w:cs="Arial" w:eastAsia="Arial" w:hAnsi="Arial"/>
          <w:sz w:val="22"/>
          <w:szCs w:val="22"/>
          <w:color w:val="auto"/>
        </w:rPr>
        <w:t>”), must be achieved for 50% bonus to be earned under the financial performance objective portion of the Bonus Plan.</w:t>
      </w:r>
    </w:p>
    <w:p>
      <w:pPr>
        <w:spacing w:after="0" w:line="212" w:lineRule="exact"/>
        <w:rPr>
          <w:rFonts w:ascii="Arial" w:cs="Arial" w:eastAsia="Arial" w:hAnsi="Arial"/>
          <w:sz w:val="22"/>
          <w:szCs w:val="22"/>
          <w:color w:val="auto"/>
        </w:rPr>
      </w:pPr>
    </w:p>
    <w:p>
      <w:pPr>
        <w:ind w:right="280" w:firstLine="8"/>
        <w:spacing w:after="0" w:line="343" w:lineRule="auto"/>
        <w:tabs>
          <w:tab w:leader="none" w:pos="292"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Company’s actual revenues are between the Minimum Revenue Target and the Revenue Target, the goal achievement for the financial performance objective will be calculated proportionately in a straight-line from 50% to 100%.</w:t>
      </w:r>
    </w:p>
    <w:p>
      <w:pPr>
        <w:spacing w:after="0" w:line="131" w:lineRule="exact"/>
        <w:rPr>
          <w:rFonts w:ascii="Arial" w:cs="Arial" w:eastAsia="Arial" w:hAnsi="Arial"/>
          <w:sz w:val="19"/>
          <w:szCs w:val="19"/>
          <w:color w:val="auto"/>
        </w:rPr>
      </w:pPr>
    </w:p>
    <w:p>
      <w:pPr>
        <w:ind w:right="100" w:firstLine="8"/>
        <w:spacing w:after="0" w:line="260" w:lineRule="auto"/>
        <w:tabs>
          <w:tab w:leader="none" w:pos="292"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the Company’s actual revenues exceed the Revenue Target, up to 200% of the bonus may be earned upon achievement of 115% or greater of the Revenue Target (the “</w:t>
      </w:r>
      <w:r>
        <w:rPr>
          <w:rFonts w:ascii="Arial" w:cs="Arial" w:eastAsia="Arial" w:hAnsi="Arial"/>
          <w:sz w:val="21"/>
          <w:szCs w:val="21"/>
          <w:b w:val="1"/>
          <w:bCs w:val="1"/>
          <w:i w:val="1"/>
          <w:iCs w:val="1"/>
          <w:color w:val="auto"/>
        </w:rPr>
        <w:t>Outperformance Revenue Target</w:t>
      </w:r>
      <w:r>
        <w:rPr>
          <w:rFonts w:ascii="Arial" w:cs="Arial" w:eastAsia="Arial" w:hAnsi="Arial"/>
          <w:sz w:val="21"/>
          <w:szCs w:val="21"/>
          <w:color w:val="auto"/>
        </w:rPr>
        <w:t>”). The outperformance goal achievement will be calculated proportionately on a straight-line basis from 100% at the Revenue Target up to 200% at the Outperformance Revenue Target. In the event of an outperformance achievement, the Company must also achieve at least a minimum adjusted Earnings before Interest, Taxes, Depreciation and Amortization (and further excluding non-cash stock based compensation expense and any accrual for the payment pursuant to the Bonus Plan) (“</w:t>
      </w:r>
      <w:r>
        <w:rPr>
          <w:rFonts w:ascii="Arial" w:cs="Arial" w:eastAsia="Arial" w:hAnsi="Arial"/>
          <w:sz w:val="21"/>
          <w:szCs w:val="21"/>
          <w:b w:val="1"/>
          <w:bCs w:val="1"/>
          <w:i w:val="1"/>
          <w:iCs w:val="1"/>
          <w:color w:val="auto"/>
        </w:rPr>
        <w:t>EBITDA</w:t>
      </w:r>
      <w:r>
        <w:rPr>
          <w:rFonts w:ascii="Arial" w:cs="Arial" w:eastAsia="Arial" w:hAnsi="Arial"/>
          <w:sz w:val="21"/>
          <w:szCs w:val="21"/>
          <w:color w:val="auto"/>
        </w:rPr>
        <w:t>”) margin percentage (the “</w:t>
      </w:r>
      <w:r>
        <w:rPr>
          <w:rFonts w:ascii="Arial" w:cs="Arial" w:eastAsia="Arial" w:hAnsi="Arial"/>
          <w:sz w:val="21"/>
          <w:szCs w:val="21"/>
          <w:b w:val="1"/>
          <w:bCs w:val="1"/>
          <w:i w:val="1"/>
          <w:iCs w:val="1"/>
          <w:color w:val="auto"/>
        </w:rPr>
        <w:t>Minimum Operating Percentage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Target</w:t>
      </w:r>
      <w:r>
        <w:rPr>
          <w:rFonts w:ascii="Arial" w:cs="Arial" w:eastAsia="Arial" w:hAnsi="Arial"/>
          <w:sz w:val="21"/>
          <w:szCs w:val="2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Product Development Objective</w:t>
      </w:r>
    </w:p>
    <w:p>
      <w:pPr>
        <w:spacing w:after="0" w:line="247" w:lineRule="exact"/>
        <w:rPr>
          <w:sz w:val="20"/>
          <w:szCs w:val="20"/>
          <w:color w:val="auto"/>
        </w:rPr>
      </w:pPr>
    </w:p>
    <w:p>
      <w:pPr>
        <w:ind w:right="80"/>
        <w:spacing w:after="0" w:line="247" w:lineRule="auto"/>
        <w:rPr>
          <w:sz w:val="20"/>
          <w:szCs w:val="20"/>
          <w:color w:val="auto"/>
        </w:rPr>
      </w:pPr>
      <w:r>
        <w:rPr>
          <w:rFonts w:ascii="Arial" w:cs="Arial" w:eastAsia="Arial" w:hAnsi="Arial"/>
          <w:sz w:val="22"/>
          <w:szCs w:val="22"/>
          <w:color w:val="auto"/>
        </w:rPr>
        <w:t>The portion of the cash bonuses that relates to the product development objective generally requires the Company to achieve regulatory clearance and commercially launch those products. An individual product development milestone must be achieved within a required time period for the applicable portion of the Bonus Plan to be achieved. Overall goal achievement of the product development objective is subject to the Compensation Committee’s final discretion, and determination of the Company’s product development objective will be based on the portion of the product development milestone that the Company actually achieves during fiscal year 2021.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7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Customer-Related Objective</w:t>
      </w: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The portion of the cash bonuses that relates to the customer-related objective generally requires the Company to achieve a minimum annual metric related to customer support and services. Overall goal achievement of the customer-related objective is subject to the Compensation Committee’s final discretion, and determination of the Company’s customer-related objective will be based on the level of achievement by the Company during fiscal year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Determination</w:t>
      </w:r>
    </w:p>
    <w:p>
      <w:pPr>
        <w:spacing w:after="0" w:line="253"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Bonus payments under the Bonus Plan, if any, will be made at the discretion of the Board or the Committee. The financial performance component, product development component, and customer-related component of the Bonus Plan may be earned independent of one another. If the Company does not achieve any portion of any of the components of the Bonus Plan, no payouts will be made unless the Board of Directors or the Compensation Committee, in their sole discretion, determines that there are other factors that merit consideration in the determination of bonus awards, which may be determined on an individual basis. All determinations and decisions made by the Board of Directors or the Compensation Committee pursuant to the provisions of the Bonus Plan shall be final, conclusive and binding on all persons, and shall be given the maximum deference permitted by law.</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Payout and Administration</w:t>
      </w:r>
    </w:p>
    <w:p>
      <w:pPr>
        <w:spacing w:after="0" w:line="253"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Bonus calculations will be based on 2021 salaries paid. Payment of bonuses will be made as soon as practical after the end of the plan year, but not later than March 15, 2022. Participants must be actively employed at the time of payout to be eligible for any bonus payment. The Board of Directors or the Compensation Committee may approve payments to any eligible plan participant. The Board of Directors or the Compensation Committee can modify the Bonus Plan, including timing and form of payments, at any time in their sole discretion. Amounts payable under the Bonus Plan are intended to comply with the “short-term deferral” rule set forth in Section 1.409A-1(b)(4) of the Treasury Regulations and thus be exempt from the provisions of Section 409A of the Internal Revenue Code of 1986, as amended. The Board of Directors and the Compensation Committee intend to administer the Bonus Plan in a manner consistent with this rule. Any amounts paid hereunder shall be subject to recoupment in accordance with The Dodd-Frank Wall Street Reform and Consumer Protection Act and any implementing regulations thereunder, any clawback policy adopted by the Company or as is otherwise required by applicable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7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40" w:hanging="654"/>
        <w:spacing w:after="0" w:line="311" w:lineRule="auto"/>
        <w:tabs>
          <w:tab w:leader="none" w:pos="211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286" w:lineRule="auto"/>
        <w:tabs>
          <w:tab w:leader="none" w:pos="2108"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140" w:hanging="654"/>
        <w:spacing w:after="0" w:line="263" w:lineRule="auto"/>
        <w:tabs>
          <w:tab w:leader="none" w:pos="21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0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400" w:hanging="654"/>
        <w:spacing w:after="0" w:line="235" w:lineRule="auto"/>
        <w:tabs>
          <w:tab w:leader="none" w:pos="21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20" w:right="780" w:hanging="654"/>
        <w:spacing w:after="0" w:line="246" w:lineRule="auto"/>
        <w:tabs>
          <w:tab w:leader="none" w:pos="210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720"/>
        <w:spacing w:after="0"/>
        <w:tabs>
          <w:tab w:leader="none" w:pos="716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71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Chief Executive Officer</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5, 2021</w:t>
      </w:r>
    </w:p>
    <w:p>
      <w:pPr>
        <w:sectPr>
          <w:pgSz w:w="11900" w:h="16838" w:orient="portrait"/>
          <w:cols w:equalWidth="0" w:num="1">
            <w:col w:w="11240"/>
          </w:cols>
          <w:pgMar w:left="320" w:top="110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40" w:hanging="654"/>
        <w:spacing w:after="0" w:line="311" w:lineRule="auto"/>
        <w:tabs>
          <w:tab w:leader="none" w:pos="2111"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308" w:lineRule="auto"/>
        <w:tabs>
          <w:tab w:leader="none" w:pos="2108"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140" w:hanging="654"/>
        <w:spacing w:after="0" w:line="263" w:lineRule="auto"/>
        <w:tabs>
          <w:tab w:leader="none" w:pos="21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08"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400" w:hanging="654"/>
        <w:spacing w:after="0" w:line="263" w:lineRule="auto"/>
        <w:tabs>
          <w:tab w:leader="none" w:pos="21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120" w:right="780" w:hanging="654"/>
        <w:spacing w:after="0" w:line="277" w:lineRule="auto"/>
        <w:tabs>
          <w:tab w:leader="none" w:pos="21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720"/>
        <w:spacing w:after="0"/>
        <w:tabs>
          <w:tab w:leader="none" w:pos="718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457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Leigh A. Vosseller</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Executive Vice President, Chief Financial Officer and</w:t>
      </w:r>
    </w:p>
    <w:p>
      <w:pPr>
        <w:ind w:left="7200"/>
        <w:spacing w:after="0"/>
        <w:rPr>
          <w:sz w:val="20"/>
          <w:szCs w:val="20"/>
          <w:color w:val="auto"/>
        </w:rPr>
      </w:pPr>
      <w:r>
        <w:rPr>
          <w:rFonts w:ascii="Arial" w:cs="Arial" w:eastAsia="Arial" w:hAnsi="Arial"/>
          <w:sz w:val="18"/>
          <w:szCs w:val="18"/>
          <w:color w:val="auto"/>
        </w:rPr>
        <w:t>Treasurer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5, 2021</w:t>
      </w:r>
    </w:p>
    <w:p>
      <w:pPr>
        <w:sectPr>
          <w:pgSz w:w="11900" w:h="16838" w:orient="portrait"/>
          <w:cols w:equalWidth="0" w:num="1">
            <w:col w:w="11240"/>
          </w:cols>
          <w:pgMar w:left="320" w:top="110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6"/>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March 31, 2021,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Dated: May 5, 2021</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 Sheridan</w:t>
            </w:r>
          </w:p>
        </w:tc>
      </w:tr>
      <w:tr>
        <w:trPr>
          <w:trHeight w:val="222"/>
        </w:trPr>
        <w:tc>
          <w:tcPr>
            <w:tcW w:w="61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John F. Sheridan</w:t>
            </w:r>
          </w:p>
        </w:tc>
      </w:tr>
      <w:tr>
        <w:trPr>
          <w:trHeight w:val="230"/>
        </w:trPr>
        <w:tc>
          <w:tcPr>
            <w:tcW w:w="61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President, Chief Executive Officer</w:t>
            </w:r>
          </w:p>
        </w:tc>
      </w:tr>
    </w:tbl>
    <w:p>
      <w:pPr>
        <w:spacing w:after="0" w:line="20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March 31, 2021,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Dated: May 5,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Leigh A. Vosseller</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Leigh A. Vosseller</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20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upperLetter"/>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lowerRoman"/>
      <w:start w:val="2"/>
    </w:lvl>
    <w:lvl w:ilvl="1">
      <w:lvlJc w:val="left"/>
      <w:lvlText w:val="%2."/>
      <w:numFmt w:val="decimal"/>
      <w:start w:val="3"/>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decimal"/>
      <w:start w:val="4"/>
    </w:lvl>
    <w:lvl w:ilvl="1">
      <w:lvlJc w:val="left"/>
      <w:lvlText w:val="%2."/>
      <w:numFmt w:val="lowerRoman"/>
      <w:start w:val="1"/>
    </w:lvl>
  </w:abstractNum>
  <w:abstractNum w:abstractNumId="48">
    <w:nsid w:val="23F9C13C"/>
    <w:multiLevelType w:val="hybridMultilevel"/>
    <w:lvl w:ilvl="0">
      <w:lvlJc w:val="left"/>
      <w:lvlText w:val="%1."/>
      <w:numFmt w:val="decimal"/>
      <w:start w:val="5"/>
    </w:lvl>
    <w:lvl w:ilvl="1">
      <w:lvlJc w:val="left"/>
      <w:lvlText w:val="%2."/>
      <w:numFmt w:val="lowerRoman"/>
      <w:start w:val="3"/>
    </w:lvl>
  </w:abstractNum>
  <w:abstractNum w:abstractNumId="49">
    <w:nsid w:val="649BB77C"/>
    <w:multiLevelType w:val="hybridMultilevel"/>
    <w:lvl w:ilvl="0">
      <w:lvlJc w:val="left"/>
      <w:lvlText w:val="%1"/>
      <w:numFmt w:val="lowerLetter"/>
      <w:start w:val="1"/>
    </w:lvl>
    <w:lvl w:ilvl="1">
      <w:lvlJc w:val="left"/>
      <w:lvlText w:val="%2."/>
      <w:numFmt w:val="decimal"/>
      <w:start w:val="6"/>
    </w:lvl>
  </w:abstractNum>
  <w:abstractNum w:abstractNumId="50">
    <w:nsid w:val="275AC794"/>
    <w:multiLevelType w:val="hybridMultilevel"/>
    <w:lvl w:ilvl="0">
      <w:lvlJc w:val="left"/>
      <w:lvlText w:val="(%1)"/>
      <w:numFmt w:val="lowerLetter"/>
      <w:start w:val="6"/>
    </w:lvl>
    <w:lvl w:ilvl="1">
      <w:lvlJc w:val="left"/>
      <w:lvlText w:val="%2"/>
      <w:numFmt w:val="decimal"/>
      <w:start w:val="1"/>
    </w:lvl>
  </w:abstractNum>
  <w:abstractNum w:abstractNumId="51">
    <w:nsid w:val="39386575"/>
    <w:multiLevelType w:val="hybridMultilevel"/>
    <w:lvl w:ilvl="0">
      <w:lvlJc w:val="left"/>
      <w:lvlText w:val="%1."/>
      <w:numFmt w:val="decimal"/>
      <w:start w:val="7"/>
    </w:lvl>
  </w:abstractNum>
  <w:abstractNum w:abstractNumId="52">
    <w:nsid w:val="1CF10FD8"/>
    <w:multiLevelType w:val="hybridMultilevel"/>
    <w:lvl w:ilvl="0">
      <w:lvlJc w:val="left"/>
      <w:lvlText w:val="%1."/>
      <w:numFmt w:val="decimal"/>
      <w:start w:val="8"/>
    </w:lvl>
  </w:abstractNum>
  <w:abstractNum w:abstractNumId="53">
    <w:nsid w:val="180115BE"/>
    <w:multiLevelType w:val="hybridMultilevel"/>
    <w:lvl w:ilvl="0">
      <w:lvlJc w:val="left"/>
      <w:lvlText w:val="%1."/>
      <w:numFmt w:val="decimal"/>
      <w:start w:val="10"/>
    </w:lvl>
  </w:abstractNum>
  <w:abstractNum w:abstractNumId="54">
    <w:nsid w:val="235BA861"/>
    <w:multiLevelType w:val="hybridMultilevel"/>
    <w:lvl w:ilvl="0">
      <w:lvlJc w:val="left"/>
      <w:lvlText w:val="%1"/>
      <w:numFmt w:val="lowerLetter"/>
      <w:start w:val="1"/>
    </w:lvl>
    <w:lvl w:ilvl="1">
      <w:lvlJc w:val="left"/>
      <w:lvlText w:val="%2."/>
      <w:numFmt w:val="decimal"/>
      <w:start w:val="15"/>
    </w:lvl>
  </w:abstractNum>
  <w:abstractNum w:abstractNumId="55">
    <w:nsid w:val="47398C89"/>
    <w:multiLevelType w:val="hybridMultilevel"/>
    <w:lvl w:ilvl="0">
      <w:lvlJc w:val="left"/>
      <w:lvlText w:val="%1."/>
      <w:numFmt w:val="decimal"/>
      <w:start w:val="17"/>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2021-05-05T15:23:14Z</dcterms:created>
  <dcterms:modified xsi:type="dcterms:W3CDTF">2021-05-05T15:23:14Z</dcterms:modified>
</cp:coreProperties>
</file>