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11045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82550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1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320"/>
          </w:cols>
          <w:pgMar w:left="240" w:top="341" w:right="339" w:bottom="1440" w:gutter="0" w:footer="0" w:header="0"/>
        </w:sectPr>
      </w:pP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820" w:space="720"/>
            <w:col w:w="4840" w:space="720"/>
            <w:col w:w="2340" w:space="720"/>
            <w:col w:w="160"/>
          </w:cols>
          <w:pgMar w:left="240" w:top="341" w:right="3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820" w:space="720"/>
            <w:col w:w="160" w:space="80"/>
            <w:col w:w="4600" w:space="720"/>
            <w:col w:w="2340" w:space="720"/>
            <w:col w:w="160"/>
          </w:cols>
          <w:pgMar w:left="240" w:top="341" w:right="339" w:bottom="1440" w:gutter="0" w:footer="0" w:header="0"/>
          <w:type w:val="continuous"/>
        </w:sectPr>
      </w:pPr>
    </w:p>
    <w:p>
      <w:pPr>
        <w:ind w:left="520"/>
        <w:spacing w:after="0" w:line="196" w:lineRule="exact"/>
        <w:tabs>
          <w:tab w:leader="none" w:pos="88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3">
            <w:col w:w="9380" w:space="200"/>
            <w:col w:w="220" w:space="120"/>
            <w:col w:w="1400"/>
          </w:cols>
          <w:pgMar w:left="240" w:top="341" w:right="3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July 25, 2016, there were 30,613,826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556895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920" w:type="dxa"/>
            <w:vAlign w:val="bottom"/>
            <w:gridSpan w:val="7"/>
          </w:tcPr>
          <w:p>
            <w:pPr>
              <w:ind w:left="18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17"/>
                <w:szCs w:val="17"/>
                <w:color w:val="auto"/>
              </w:rPr>
            </w:pPr>
          </w:p>
        </w:tc>
        <w:tc>
          <w:tcPr>
            <w:tcW w:w="8140" w:type="dxa"/>
            <w:vAlign w:val="bottom"/>
            <w:gridSpan w:val="1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58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at June 30, 2016 (Unaudited) and December 31, 2015</w:t>
              </w:r>
            </w:hyperlink>
          </w:p>
        </w:tc>
        <w:tc>
          <w:tcPr>
            <w:tcW w:w="386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89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Six Months Ended June 30, 2016 and 2015</w:t>
              </w:r>
            </w:hyperlink>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73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Six Months Ended June 30, 2016 and 2015 (Unaudited)</w:t>
              </w:r>
            </w:hyperlink>
          </w:p>
        </w:tc>
        <w:tc>
          <w:tcPr>
            <w:tcW w:w="240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40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31"/>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94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0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80" w:type="dxa"/>
            <w:vAlign w:val="bottom"/>
            <w:gridSpan w:val="1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0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36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794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40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404"/>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80" w:type="dxa"/>
            <w:vAlign w:val="bottom"/>
          </w:tcPr>
          <w:p>
            <w:pPr>
              <w:jc w:val="center"/>
              <w:ind w:left="25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480" w:type="dxa"/>
            <w:vAlign w:val="bottom"/>
          </w:tcPr>
          <w:p>
            <w:pPr>
              <w:jc w:val="center"/>
              <w:ind w:left="2550"/>
              <w:spacing w:after="0"/>
              <w:rPr>
                <w:sz w:val="20"/>
                <w:szCs w:val="20"/>
                <w:color w:val="auto"/>
              </w:rPr>
            </w:pPr>
            <w:r>
              <w:rPr>
                <w:rFonts w:ascii="Arial" w:cs="Arial" w:eastAsia="Arial" w:hAnsi="Arial"/>
                <w:sz w:val="18"/>
                <w:szCs w:val="18"/>
                <w:b w:val="1"/>
                <w:bCs w:val="1"/>
                <w:color w:val="auto"/>
              </w:rPr>
              <w:t>TANDEM DIABETES CARE, INC.</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jc w:val="center"/>
              <w:ind w:left="2550"/>
              <w:spacing w:after="0"/>
              <w:rPr>
                <w:sz w:val="20"/>
                <w:szCs w:val="20"/>
                <w:color w:val="auto"/>
              </w:rPr>
            </w:pPr>
            <w:r>
              <w:rPr>
                <w:rFonts w:ascii="Arial" w:cs="Arial" w:eastAsia="Arial" w:hAnsi="Arial"/>
                <w:sz w:val="18"/>
                <w:szCs w:val="18"/>
                <w:b w:val="1"/>
                <w:bCs w:val="1"/>
                <w:color w:val="auto"/>
                <w:w w:val="98"/>
              </w:rPr>
              <w:t>CONDENSED BALANCE SHEETS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48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(In thousands, except par value)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2"/>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7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spacing w:after="0"/>
              <w:rPr>
                <w:sz w:val="20"/>
                <w:szCs w:val="20"/>
                <w:color w:val="auto"/>
              </w:rPr>
            </w:pPr>
            <w:r>
              <w:rPr>
                <w:rFonts w:ascii="Arial" w:cs="Arial" w:eastAsia="Arial" w:hAnsi="Arial"/>
                <w:sz w:val="18"/>
                <w:szCs w:val="18"/>
                <w:color w:val="auto"/>
                <w:w w:val="93"/>
              </w:rPr>
              <w:t>Current assets:</w:t>
            </w:r>
          </w:p>
        </w:tc>
        <w:tc>
          <w:tcPr>
            <w:tcW w:w="6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Patents, net</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4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109,190</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Accrued expense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Employee-related liabilities</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 liabilities</w:t>
            </w: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100,000 shares authorized as of June 30, 2016 and December 31,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2"/>
              </w:rPr>
              <w:t>2015, 30,613 and 30,255 shares issued and outstanding at June 30, 2016 and December 31, 2015,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7"/>
              </w:rPr>
              <w:t>respectively.</w:t>
            </w:r>
          </w:p>
        </w:tc>
        <w:tc>
          <w:tcPr>
            <w:tcW w:w="6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(359,942)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(321,133)</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32,073</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(18,362)</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(38,826)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w w:val="90"/>
              </w:rPr>
              <w:t>Weighted average shares used to compute basic and diluted net loss per share</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rPr>
              <w:t>TANDEM DIABETES CARE, INC.</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jc w:val="center"/>
              <w:ind w:left="3510"/>
              <w:spacing w:after="0"/>
              <w:rPr>
                <w:sz w:val="20"/>
                <w:szCs w:val="20"/>
                <w:color w:val="auto"/>
              </w:rPr>
            </w:pPr>
            <w:r>
              <w:rPr>
                <w:rFonts w:ascii="Arial" w:cs="Arial" w:eastAsia="Arial" w:hAnsi="Arial"/>
                <w:sz w:val="18"/>
                <w:szCs w:val="18"/>
                <w:b w:val="1"/>
                <w:bCs w:val="1"/>
                <w:color w:val="auto"/>
                <w:w w:val="93"/>
              </w:rPr>
              <w:t>(Unaudited)</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jc w:val="center"/>
              <w:ind w:left="3530"/>
              <w:spacing w:after="0"/>
              <w:rPr>
                <w:sz w:val="20"/>
                <w:szCs w:val="20"/>
                <w:color w:val="auto"/>
              </w:rPr>
            </w:pPr>
            <w:r>
              <w:rPr>
                <w:rFonts w:ascii="Arial" w:cs="Arial" w:eastAsia="Arial" w:hAnsi="Arial"/>
                <w:sz w:val="18"/>
                <w:szCs w:val="18"/>
                <w:b w:val="1"/>
                <w:bCs w:val="1"/>
                <w:color w:val="auto"/>
                <w:w w:val="90"/>
              </w:rPr>
              <w:t>(In thousands)</w:t>
            </w:r>
          </w:p>
        </w:tc>
        <w:tc>
          <w:tcPr>
            <w:tcW w:w="290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2900" w:type="dxa"/>
            <w:vAlign w:val="bottom"/>
            <w:tcBorders>
              <w:bottom w:val="single" w:sz="8" w:color="auto"/>
            </w:tcBorders>
            <w:gridSpan w:val="4"/>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(38,809)</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(40,742)</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short-term investments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(loss) on disposal of property and equipment</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(4,108)</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1,731</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Employee-related liabilities</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(453)</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(29,437)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(34,180)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Purchase of short-term investments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(22,657)</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(58,993)</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26,750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(4,048)</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Purchase of patents</w:t>
            </w:r>
          </w:p>
        </w:tc>
        <w:tc>
          <w:tcPr>
            <w:tcW w:w="10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(17,968)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Issuance of notes payable, net of issuance costs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Proceeds from public offering, net of offering costs</w:t>
            </w:r>
          </w:p>
        </w:tc>
        <w:tc>
          <w:tcPr>
            <w:tcW w:w="10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(12,838)</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43,088</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30,250</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paid</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incentive - lessor-paid tenant improvements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Debt issuance cost included in other long-term liabilities</w:t>
            </w: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included in accounts payable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80" w:firstLine="577"/>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a family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80" w:firstLine="588"/>
        <w:spacing w:after="0" w:line="277" w:lineRule="auto"/>
        <w:rPr>
          <w:sz w:val="20"/>
          <w:szCs w:val="20"/>
          <w:color w:val="auto"/>
        </w:rPr>
      </w:pPr>
      <w:r>
        <w:rPr>
          <w:rFonts w:ascii="Arial" w:cs="Arial" w:eastAsia="Arial" w:hAnsi="Arial"/>
          <w:sz w:val="18"/>
          <w:szCs w:val="18"/>
          <w:color w:val="auto"/>
        </w:rPr>
        <w:t>The Company currently manufactures and sells three insulin pump products in the United States that are designed to address large and differentiated needs of the insulin-dependent diabetes market:</w:t>
      </w:r>
    </w:p>
    <w:p>
      <w:pPr>
        <w:spacing w:after="0" w:line="170" w:lineRule="exact"/>
        <w:rPr>
          <w:sz w:val="20"/>
          <w:szCs w:val="20"/>
          <w:color w:val="auto"/>
        </w:rPr>
      </w:pPr>
    </w:p>
    <w:p>
      <w:pPr>
        <w:ind w:left="960" w:hanging="37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t:slim</w:t>
      </w:r>
      <w:r>
        <w:rPr>
          <w:rFonts w:ascii="Arial" w:cs="Arial" w:eastAsia="Arial" w:hAnsi="Arial"/>
          <w:sz w:val="15"/>
          <w:szCs w:val="15"/>
          <w:color w:val="auto"/>
        </w:rPr>
        <w:t>®</w:t>
      </w:r>
      <w:r>
        <w:rPr>
          <w:rFonts w:ascii="Arial" w:cs="Arial" w:eastAsia="Arial" w:hAnsi="Arial"/>
          <w:sz w:val="18"/>
          <w:szCs w:val="18"/>
          <w:color w:val="auto"/>
        </w:rPr>
        <w:t xml:space="preserve"> Insulin Delivery System, or t:slim, the Company’s flagship product that can easily and discreetly fit into a pocket,</w:t>
      </w:r>
    </w:p>
    <w:p>
      <w:pPr>
        <w:spacing w:after="0" w:line="23" w:lineRule="exact"/>
        <w:rPr>
          <w:rFonts w:ascii="Arial" w:cs="Arial" w:eastAsia="Arial" w:hAnsi="Arial"/>
          <w:sz w:val="18"/>
          <w:szCs w:val="18"/>
          <w:color w:val="auto"/>
        </w:rPr>
      </w:pPr>
    </w:p>
    <w:p>
      <w:pPr>
        <w:ind w:left="960" w:hanging="37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t:flex</w:t>
      </w:r>
      <w:r>
        <w:rPr>
          <w:rFonts w:ascii="Arial" w:cs="Arial" w:eastAsia="Arial" w:hAnsi="Arial"/>
          <w:sz w:val="15"/>
          <w:szCs w:val="15"/>
          <w:color w:val="auto"/>
        </w:rPr>
        <w:t>®</w:t>
      </w:r>
      <w:r>
        <w:rPr>
          <w:rFonts w:ascii="Arial" w:cs="Arial" w:eastAsia="Arial" w:hAnsi="Arial"/>
          <w:sz w:val="18"/>
          <w:szCs w:val="18"/>
          <w:color w:val="auto"/>
        </w:rPr>
        <w:t xml:space="preserve"> Insulin Delivery System, or t:flex, for people with greater insulin needs, and</w:t>
      </w:r>
    </w:p>
    <w:p>
      <w:pPr>
        <w:spacing w:after="0" w:line="9" w:lineRule="exact"/>
        <w:rPr>
          <w:rFonts w:ascii="Arial" w:cs="Arial" w:eastAsia="Arial" w:hAnsi="Arial"/>
          <w:sz w:val="18"/>
          <w:szCs w:val="18"/>
          <w:color w:val="auto"/>
        </w:rPr>
      </w:pPr>
    </w:p>
    <w:p>
      <w:pPr>
        <w:ind w:left="960" w:hanging="371"/>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t:slim G4</w:t>
      </w:r>
      <w:r>
        <w:rPr>
          <w:rFonts w:ascii="Arial" w:cs="Arial" w:eastAsia="Arial" w:hAnsi="Arial"/>
          <w:sz w:val="13"/>
          <w:szCs w:val="13"/>
          <w:color w:val="auto"/>
        </w:rPr>
        <w:t>TM</w:t>
      </w:r>
      <w:r>
        <w:rPr>
          <w:rFonts w:ascii="Arial" w:cs="Arial" w:eastAsia="Arial" w:hAnsi="Arial"/>
          <w:sz w:val="16"/>
          <w:szCs w:val="16"/>
          <w:color w:val="auto"/>
        </w:rPr>
        <w:t xml:space="preserve"> Insulin Delivery System, or t:slim G4, a Continuous Glucose Monitoring (“CGM”) enabled pump with touch-screen simplicity.</w:t>
      </w:r>
    </w:p>
    <w:p>
      <w:pPr>
        <w:spacing w:after="0" w:line="234" w:lineRule="exact"/>
        <w:rPr>
          <w:sz w:val="20"/>
          <w:szCs w:val="20"/>
          <w:color w:val="auto"/>
        </w:rPr>
      </w:pPr>
    </w:p>
    <w:p>
      <w:pPr>
        <w:ind w:right="300" w:firstLine="629"/>
        <w:spacing w:after="0" w:line="264" w:lineRule="auto"/>
        <w:rPr>
          <w:sz w:val="20"/>
          <w:szCs w:val="20"/>
          <w:color w:val="auto"/>
        </w:rPr>
      </w:pPr>
      <w:r>
        <w:rPr>
          <w:rFonts w:ascii="Arial" w:cs="Arial" w:eastAsia="Arial" w:hAnsi="Arial"/>
          <w:sz w:val="18"/>
          <w:szCs w:val="18"/>
          <w:color w:val="auto"/>
        </w:rPr>
        <w:t>The Company designed and commercialized its products based on its proprietary technology platform and consumer-focused approach. The Company began commercial sales of its first product, t:slim, in August 2012. During 2015, the Company commenced commercial sales of two additional insulin pumps: t:flex in May 2015 and t:slim G4 in September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80" w:firstLine="577"/>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financial statements should be read in conjunction with the Company’s audited financial statements and footnotes included in the Company’s Annual Report on Form 10-K for the year ended December 31, 2015, from which the balance sheet information herein was derived but excludes disclosures required by GAAP for complete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300" w:firstLine="571"/>
        <w:spacing w:after="0" w:line="277" w:lineRule="auto"/>
        <w:rPr>
          <w:sz w:val="20"/>
          <w:szCs w:val="20"/>
          <w:color w:val="auto"/>
        </w:rPr>
      </w:pPr>
      <w:r>
        <w:rPr>
          <w:rFonts w:ascii="Arial" w:cs="Arial" w:eastAsia="Arial" w:hAnsi="Arial"/>
          <w:sz w:val="18"/>
          <w:szCs w:val="18"/>
          <w:color w:val="auto"/>
        </w:rPr>
        <w:t>There have been no significant changes in our significant accounting policies during the six months ended June 30, 2016, as compared with those disclosed in our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firstLine="577"/>
        <w:spacing w:after="0" w:line="279" w:lineRule="auto"/>
        <w:rPr>
          <w:sz w:val="20"/>
          <w:szCs w:val="20"/>
          <w:color w:val="auto"/>
        </w:rPr>
      </w:pPr>
      <w:r>
        <w:rPr>
          <w:rFonts w:ascii="Arial" w:cs="Arial" w:eastAsia="Arial" w:hAnsi="Arial"/>
          <w:sz w:val="17"/>
          <w:szCs w:val="17"/>
          <w:color w:val="auto"/>
        </w:rPr>
        <w:t>Restricted cash as of June 30, 2016 and December 31, 2015 was comprised of a $2.0 million minimum cash balance requirement in connection with the Company’s Term Loan Agreement, as amended by Consent and Amendment Agreement, dated June 20, 2014, Omnibus Amendment Agreement No. 2, dated February 23, 2015 and Amendment No. 3 to Term Loan Agreement, dated January 8, 2016 with Capital Royalty Partners II, L.P. and its affiliate funds (“Capital Royalty Partners”) (as amended, the “Term Loan Agreement”) (see Note 6, “Term Loan Agreement”).</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220" w:firstLine="577"/>
        <w:spacing w:after="0" w:line="259" w:lineRule="auto"/>
        <w:rPr>
          <w:sz w:val="20"/>
          <w:szCs w:val="20"/>
          <w:color w:val="auto"/>
        </w:rPr>
      </w:pPr>
      <w:r>
        <w:rPr>
          <w:rFonts w:ascii="Arial" w:cs="Arial" w:eastAsia="Arial" w:hAnsi="Arial"/>
          <w:sz w:val="18"/>
          <w:szCs w:val="18"/>
          <w:color w:val="auto"/>
        </w:rPr>
        <w:t>The Company grants credit to various customers in the normal course of business. The Company maintains an allowance for doubtful accounts for potential credit losses. Provisions are made, generally, for receivables greater than 120 days past due and based upon a specific review of other outstanding invoices. Uncollectible accounts are written off against the allowance after appropriate collection efforts have been exhausted and when it is deemed that a balance is uncollectible.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and foreign exchange forward contracts that are not designated as hedges are carried at fair value. Based on the borrowing rates currently available for loans with similar terms, the Company believes that the fair value of its long-term notes payable approximates its carrying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40" w:firstLine="571"/>
        <w:spacing w:after="0" w:line="264" w:lineRule="auto"/>
        <w:rPr>
          <w:sz w:val="20"/>
          <w:szCs w:val="20"/>
          <w:color w:val="auto"/>
        </w:rPr>
      </w:pPr>
      <w:r>
        <w:rPr>
          <w:rFonts w:ascii="Arial" w:cs="Arial" w:eastAsia="Arial" w:hAnsi="Arial"/>
          <w:sz w:val="18"/>
          <w:szCs w:val="18"/>
          <w:color w:val="auto"/>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 These criteria are applied as follows:</w:t>
      </w:r>
    </w:p>
    <w:p>
      <w:pPr>
        <w:spacing w:after="0" w:line="170" w:lineRule="exact"/>
        <w:rPr>
          <w:sz w:val="20"/>
          <w:szCs w:val="20"/>
          <w:color w:val="auto"/>
        </w:rPr>
      </w:pPr>
    </w:p>
    <w:p>
      <w:pPr>
        <w:ind w:left="1140" w:right="56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evidence of an arrangement generally consists of contractual arrangements with distributors, third-party insurance payors or direct customers.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Transfer of title and risk and rewards of ownership are passed upon shipment of the pump to distributors or upon delivery to the customer.</w:t>
      </w:r>
    </w:p>
    <w:p>
      <w:pPr>
        <w:spacing w:after="0" w:line="248" w:lineRule="exact"/>
        <w:rPr>
          <w:rFonts w:ascii="Arial" w:cs="Arial" w:eastAsia="Arial" w:hAnsi="Arial"/>
          <w:sz w:val="16"/>
          <w:szCs w:val="16"/>
          <w:color w:val="auto"/>
        </w:rPr>
      </w:pPr>
    </w:p>
    <w:p>
      <w:pPr>
        <w:ind w:left="1140" w:right="120" w:hanging="376"/>
        <w:spacing w:after="0" w:line="31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selling prices are fixed and agreed upon based on the contracts with distributors, the customer and contracted insurance payors, if applicable. For sales to customers associated with insurance providers with whom there is no contract, revenue is recognized upon collection of cash, at which time the price is determinable. The Company generally does not offer rebates to its distributors and customers.</w:t>
      </w:r>
    </w:p>
    <w:p>
      <w:pPr>
        <w:spacing w:after="0" w:line="146" w:lineRule="exact"/>
        <w:rPr>
          <w:rFonts w:ascii="Arial" w:cs="Arial" w:eastAsia="Arial" w:hAnsi="Arial"/>
          <w:sz w:val="16"/>
          <w:szCs w:val="16"/>
          <w:color w:val="auto"/>
        </w:rPr>
      </w:pPr>
    </w:p>
    <w:p>
      <w:pPr>
        <w:ind w:left="1140" w:right="220" w:hanging="376"/>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considers the overall creditworthiness and payment history of the distributor, customer and the contracted insurance payor in determining whether collectability is reasonably assured.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firstLine="588"/>
        <w:spacing w:after="0" w:line="273" w:lineRule="auto"/>
        <w:rPr>
          <w:sz w:val="20"/>
          <w:szCs w:val="20"/>
          <w:color w:val="auto"/>
        </w:rPr>
      </w:pPr>
      <w:r>
        <w:rPr>
          <w:rFonts w:ascii="Arial" w:cs="Arial" w:eastAsia="Arial" w:hAnsi="Arial"/>
          <w:sz w:val="17"/>
          <w:szCs w:val="17"/>
          <w:color w:val="auto"/>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Company uses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78"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Company offers a cloud-based data management application, t:connect, which is made available to customers upon purchase of any of its insulin pumps. This service is deemed an undelivered element at the time of the insulin pump sale. Because the Company has neither VSOE nor TPE for this deliverable,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this element at the time of sale and is recognizing the revenue over the four-year hosting period. At June 30, 2016 and December 31, 2015, $1.3 million and $1.1 million, respectively, were recorded as deferred revenue for the t:connect hosting service. All other undelivered elements at the time of sale are deemed inconsequential or perfunctory.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is recorded as a reduction of revenue and accounts receivable in the period in which the related sale is recorded. The amounts recorded on the Company’s balance sheet for product return allowance were $0.2 million and $0.3 million at June 30, 2016 and December 31, 2015, respectively. Actual product returns have not differed materially from estimated amounts reserved in the accompanying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could have a material impact on the Company’s estimated liability.</w:t>
      </w:r>
    </w:p>
    <w:p>
      <w:pPr>
        <w:spacing w:after="0" w:line="193" w:lineRule="exact"/>
        <w:rPr>
          <w:sz w:val="20"/>
          <w:szCs w:val="20"/>
          <w:color w:val="auto"/>
        </w:rPr>
      </w:pPr>
    </w:p>
    <w:p>
      <w:pPr>
        <w:ind w:right="560" w:firstLine="571"/>
        <w:spacing w:after="0" w:line="277" w:lineRule="auto"/>
        <w:rPr>
          <w:sz w:val="20"/>
          <w:szCs w:val="20"/>
          <w:color w:val="auto"/>
        </w:rPr>
      </w:pPr>
      <w:r>
        <w:rPr>
          <w:rFonts w:ascii="Arial" w:cs="Arial" w:eastAsia="Arial" w:hAnsi="Arial"/>
          <w:sz w:val="18"/>
          <w:szCs w:val="18"/>
          <w:color w:val="auto"/>
        </w:rPr>
        <w:t>At June 30, 2016 and December 31, 2015, the warranty reserve was $4.6 million and $3.5 million, respectively. The following table provides a reconciliation of the change in product warranty liabilities through June 30,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2016</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2013 Stock Incentive Plan (“2013 Plan”) and shares issued under the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Basic net loss per share is calculated by dividing the net loss by the weighted average number of common shares that were outstanding for the period, without consideration for common stock equivalents. Diluted net loss per share is calculated by dividing the net loss by the sum of the weighted-average number of dilutive common share equivalents outstanding for the period determined using the treasury stock method. Dilutive common share equivalents are comprised of warrants, potential awards granted pursuant to the ESPP, and options outstanding under the Company’s other equity incentive plans. For all periods presented, there is no difference in the number of shares used to calculate basic and diluted shares outstanding due to the Company’s net loss position.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120" w:firstLine="571"/>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9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Common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2,932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2,042</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ESPP</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37"/>
        </w:trPr>
        <w:tc>
          <w:tcPr>
            <w:tcW w:w="4920" w:type="dxa"/>
            <w:vAlign w:val="bottom"/>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26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571"/>
        <w:spacing w:after="0" w:line="279" w:lineRule="auto"/>
        <w:rPr>
          <w:sz w:val="20"/>
          <w:szCs w:val="20"/>
          <w:color w:val="auto"/>
        </w:rPr>
      </w:pPr>
      <w:r>
        <w:rPr>
          <w:rFonts w:ascii="Arial" w:cs="Arial" w:eastAsia="Arial" w:hAnsi="Arial"/>
          <w:sz w:val="17"/>
          <w:szCs w:val="17"/>
          <w:color w:val="auto"/>
        </w:rPr>
        <w:t>In June 2016, the Financial Accounting Standards Board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71"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In March 2016, FASB issued an Accounting Standards Update on changing certain aspects of accounting for share-based payments to employees. The new guidance will require all income tax effects of awards to be recognized in the income statement when the awards vest or are settled. It also will allow an employer to repurchase more of an employee’s shares than it can today for tax withholding purposes without triggering liability accounting, and to make a policy election to account for forfeitures as they occur. The guidance is effective for public business entities for fiscal years beginning after December 15, 2016, and interim periods within those years. Early adoption is permitted, but all of the guidance must be adopted in the same period. The Company is in the process of assessing the impact of the adoption of the standard on its financial statements.</w:t>
      </w:r>
    </w:p>
    <w:p>
      <w:pPr>
        <w:spacing w:after="0" w:line="178"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today’s accounting. The new guidance also eliminates today’s real estate-specific provisions for all entities. The standard is effective for public business entities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88"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color w:val="auto"/>
        </w:rPr>
        <w:t>In April 2015, the FASB issued ASU No. 2015-03 amended requirements that require debt issuance costs, related to a recognized debt liability, to be presented in the balance sheet as a direct deduction from the carrying amount of that debt liability, effective for the Company beginning January 1, 2016 and applied retroactively for all consolidated balance sheets presented. The Company applied the amended presentation requirements in the first quarter 2016, which resulted in the reclassification of $0.4 million of debt issuance costs in the Company’s balance sheet from other long-term assets to long-term notes payable at December 31, 2015.</w:t>
      </w:r>
    </w:p>
    <w:p>
      <w:pPr>
        <w:spacing w:after="0" w:line="188"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In May 2014, FASB and the International Accounting Standards Board issued a comprehensive new revenue recognition standard that will supersede existing revenue guidance under U.S. GAAP and International Financial Reporting Standards.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This may include identifying performance obligations in the contract, estimating the amount of variable consideration to include in the transaction price and allocating the transaction price to each separate performance obligation. On July 9, 2015, the FASB approved a one-year deferral of the effective date of the standard to December 15, 2017 and early application is permitted, but not before the original effective date of December 15, 2016. The Company is in the process of assessing the impact of the adoption of the standard on its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520" w:firstLine="571"/>
        <w:spacing w:after="0" w:line="277" w:lineRule="auto"/>
        <w:rPr>
          <w:sz w:val="20"/>
          <w:szCs w:val="20"/>
          <w:color w:val="auto"/>
        </w:rPr>
      </w:pPr>
      <w:r>
        <w:rPr>
          <w:rFonts w:ascii="Arial" w:cs="Arial" w:eastAsia="Arial" w:hAnsi="Arial"/>
          <w:sz w:val="18"/>
          <w:szCs w:val="18"/>
          <w:color w:val="auto"/>
        </w:rPr>
        <w:t>The Company invests in various securities, principally in debt instruments of financial institutions and corporations. The following represents a summary of the estimated fair value of short-term investments at June 30, 2016 and December 31,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At June 30, 2016</w:t>
            </w:r>
          </w:p>
        </w:tc>
        <w:tc>
          <w:tcPr>
            <w:tcW w:w="3620" w:type="dxa"/>
            <w:vAlign w:val="bottom"/>
            <w:gridSpan w:val="2"/>
            <w:vMerge w:val="restart"/>
          </w:tcPr>
          <w:p>
            <w:pPr>
              <w:spacing w:after="0"/>
              <w:rPr>
                <w:sz w:val="14"/>
                <w:szCs w:val="14"/>
                <w:color w:val="auto"/>
              </w:rPr>
            </w:pPr>
          </w:p>
        </w:tc>
        <w:tc>
          <w:tcPr>
            <w:tcW w:w="1100" w:type="dxa"/>
            <w:vAlign w:val="bottom"/>
          </w:tcPr>
          <w:p>
            <w:pPr>
              <w:jc w:val="center"/>
              <w:ind w:left="59"/>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1100" w:type="dxa"/>
            <w:vAlign w:val="bottom"/>
          </w:tcPr>
          <w:p>
            <w:pPr>
              <w:jc w:val="center"/>
              <w:ind w:left="39"/>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ind w:left="39"/>
              <w:spacing w:after="0"/>
              <w:rPr>
                <w:sz w:val="20"/>
                <w:szCs w:val="20"/>
                <w:color w:val="auto"/>
              </w:rPr>
            </w:pPr>
            <w:r>
              <w:rPr>
                <w:rFonts w:ascii="Arial" w:cs="Arial" w:eastAsia="Arial" w:hAnsi="Arial"/>
                <w:sz w:val="18"/>
                <w:szCs w:val="18"/>
                <w:color w:val="auto"/>
                <w:w w:val="88"/>
              </w:rPr>
              <w:t>Less than 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3"/>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plan participants</w:t>
            </w:r>
          </w:p>
        </w:tc>
        <w:tc>
          <w:tcPr>
            <w:tcW w:w="1100" w:type="dxa"/>
            <w:vAlign w:val="bottom"/>
          </w:tcPr>
          <w:p>
            <w:pPr>
              <w:spacing w:after="0"/>
              <w:rPr>
                <w:sz w:val="20"/>
                <w:szCs w:val="20"/>
                <w:color w:val="auto"/>
              </w:rPr>
            </w:pPr>
          </w:p>
        </w:tc>
        <w:tc>
          <w:tcPr>
            <w:tcW w:w="280" w:type="dxa"/>
            <w:vAlign w:val="bottom"/>
            <w:gridSpan w:val="3"/>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FF0FC"/>
          </w:tcPr>
          <w:p>
            <w:pPr>
              <w:spacing w:after="0" w:line="20" w:lineRule="exact"/>
              <w:rPr>
                <w:sz w:val="1"/>
                <w:szCs w:val="1"/>
                <w:color w:val="auto"/>
              </w:rPr>
            </w:pPr>
          </w:p>
        </w:tc>
        <w:tc>
          <w:tcPr>
            <w:tcW w:w="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20" w:type="dxa"/>
            <w:vAlign w:val="bottom"/>
            <w:vMerge w:val="continue"/>
            <w:shd w:val="clear" w:color="auto" w:fill="CFF0FC"/>
          </w:tcPr>
          <w:p>
            <w:pPr>
              <w:spacing w:after="0"/>
              <w:rPr>
                <w:sz w:val="19"/>
                <w:szCs w:val="19"/>
                <w:color w:val="auto"/>
              </w:rPr>
            </w:pPr>
          </w:p>
        </w:tc>
        <w:tc>
          <w:tcPr>
            <w:tcW w:w="4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December 31, 2015</w:t>
            </w:r>
          </w:p>
        </w:tc>
        <w:tc>
          <w:tcPr>
            <w:tcW w:w="3300" w:type="dxa"/>
            <w:vAlign w:val="bottom"/>
            <w:vMerge w:val="restart"/>
          </w:tcPr>
          <w:p>
            <w:pPr>
              <w:spacing w:after="0"/>
              <w:rPr>
                <w:sz w:val="24"/>
                <w:szCs w:val="24"/>
                <w:color w:val="auto"/>
              </w:rPr>
            </w:pPr>
          </w:p>
        </w:tc>
        <w:tc>
          <w:tcPr>
            <w:tcW w:w="1100" w:type="dxa"/>
            <w:vAlign w:val="bottom"/>
          </w:tcPr>
          <w:p>
            <w:pPr>
              <w:jc w:val="center"/>
              <w:ind w:left="59"/>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00" w:type="dxa"/>
            <w:vAlign w:val="bottom"/>
          </w:tcPr>
          <w:p>
            <w:pPr>
              <w:jc w:val="center"/>
              <w:ind w:left="39"/>
              <w:spacing w:after="0" w:line="158" w:lineRule="exact"/>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center"/>
              <w:ind w:left="39"/>
              <w:spacing w:after="0"/>
              <w:rPr>
                <w:sz w:val="20"/>
                <w:szCs w:val="20"/>
                <w:color w:val="auto"/>
              </w:rPr>
            </w:pPr>
            <w:r>
              <w:rPr>
                <w:rFonts w:ascii="Arial" w:cs="Arial" w:eastAsia="Arial" w:hAnsi="Arial"/>
                <w:sz w:val="18"/>
                <w:szCs w:val="18"/>
                <w:color w:val="auto"/>
                <w:w w:val="88"/>
              </w:rPr>
              <w:t>Less than 1</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40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US Treasuries</w:t>
            </w:r>
          </w:p>
        </w:tc>
        <w:tc>
          <w:tcPr>
            <w:tcW w:w="1100" w:type="dxa"/>
            <w:vAlign w:val="bottom"/>
            <w:shd w:val="clear" w:color="auto" w:fill="CFF0FC"/>
          </w:tcPr>
          <w:p>
            <w:pPr>
              <w:jc w:val="center"/>
              <w:ind w:left="39"/>
              <w:spacing w:after="0"/>
              <w:rPr>
                <w:sz w:val="20"/>
                <w:szCs w:val="20"/>
                <w:color w:val="auto"/>
              </w:rPr>
            </w:pPr>
            <w:r>
              <w:rPr>
                <w:rFonts w:ascii="Arial" w:cs="Arial" w:eastAsia="Arial" w:hAnsi="Arial"/>
                <w:sz w:val="18"/>
                <w:szCs w:val="18"/>
                <w:color w:val="auto"/>
                <w:w w:val="88"/>
              </w:rPr>
              <w:t>Less than 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Government-sponsored enterprise securities</w:t>
            </w:r>
          </w:p>
        </w:tc>
        <w:tc>
          <w:tcPr>
            <w:tcW w:w="1100" w:type="dxa"/>
            <w:vAlign w:val="bottom"/>
          </w:tcPr>
          <w:p>
            <w:pPr>
              <w:jc w:val="center"/>
              <w:ind w:left="39"/>
              <w:spacing w:after="0"/>
              <w:rPr>
                <w:sz w:val="20"/>
                <w:szCs w:val="20"/>
                <w:color w:val="auto"/>
              </w:rPr>
            </w:pPr>
            <w:r>
              <w:rPr>
                <w:rFonts w:ascii="Arial" w:cs="Arial" w:eastAsia="Arial" w:hAnsi="Arial"/>
                <w:sz w:val="18"/>
                <w:szCs w:val="18"/>
                <w:color w:val="auto"/>
                <w:w w:val="88"/>
              </w:rPr>
              <w:t>Less than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60" w:type="dxa"/>
            <w:vAlign w:val="bottom"/>
            <w:vMerge w:val="restart"/>
            <w:shd w:val="clear" w:color="auto" w:fill="CFF0FC"/>
          </w:tcPr>
          <w:p>
            <w:pPr>
              <w:spacing w:after="0" w:line="20" w:lineRule="exact"/>
              <w:rPr>
                <w:sz w:val="1"/>
                <w:szCs w:val="1"/>
                <w:color w:val="auto"/>
              </w:rPr>
            </w:pPr>
          </w:p>
        </w:tc>
        <w:tc>
          <w:tcPr>
            <w:tcW w:w="22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vMerge w:val="continue"/>
            <w:shd w:val="clear" w:color="auto" w:fill="CFF0FC"/>
          </w:tcPr>
          <w:p>
            <w:pPr>
              <w:spacing w:after="0"/>
              <w:rPr>
                <w:sz w:val="19"/>
                <w:szCs w:val="19"/>
                <w:color w:val="auto"/>
              </w:rPr>
            </w:pPr>
          </w:p>
        </w:tc>
        <w:tc>
          <w:tcPr>
            <w:tcW w:w="2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vMerge w:val="continue"/>
            <w:shd w:val="clear" w:color="auto" w:fill="CFF0FC"/>
          </w:tcPr>
          <w:p>
            <w:pPr>
              <w:spacing w:after="0"/>
              <w:rPr>
                <w:sz w:val="19"/>
                <w:szCs w:val="19"/>
                <w:color w:val="auto"/>
              </w:rPr>
            </w:pPr>
          </w:p>
        </w:tc>
        <w:tc>
          <w:tcPr>
            <w:tcW w:w="4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100" w:type="dxa"/>
            <w:vAlign w:val="bottom"/>
            <w:shd w:val="clear" w:color="auto" w:fill="CFF0FC"/>
          </w:tcPr>
          <w:p>
            <w:pPr>
              <w:spacing w:after="0"/>
              <w:rPr>
                <w:sz w:val="20"/>
                <w:szCs w:val="20"/>
                <w:color w:val="auto"/>
              </w:rPr>
            </w:pPr>
          </w:p>
        </w:tc>
        <w:tc>
          <w:tcPr>
            <w:tcW w:w="280" w:type="dxa"/>
            <w:vAlign w:val="bottom"/>
            <w:gridSpan w:val="3"/>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3"/>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Inventory</w:t>
            </w: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gridSpan w:val="3"/>
          </w:tcPr>
          <w:p>
            <w:pPr>
              <w:ind w:left="580"/>
              <w:spacing w:after="0"/>
              <w:rPr>
                <w:sz w:val="20"/>
                <w:szCs w:val="20"/>
                <w:color w:val="auto"/>
              </w:rPr>
            </w:pPr>
            <w:r>
              <w:rPr>
                <w:rFonts w:ascii="Arial" w:cs="Arial" w:eastAsia="Arial" w:hAnsi="Arial"/>
                <w:sz w:val="18"/>
                <w:szCs w:val="18"/>
                <w:color w:val="auto"/>
              </w:rPr>
              <w:t>Inventory consisted of the following (in thousands):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10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3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12,071</w:t>
            </w:r>
          </w:p>
        </w:tc>
        <w:tc>
          <w:tcPr>
            <w:tcW w:w="180" w:type="dxa"/>
            <w:vAlign w:val="bottom"/>
            <w:shd w:val="clear" w:color="auto" w:fill="CFF0FC"/>
          </w:tcPr>
          <w:p>
            <w:pPr>
              <w:spacing w:after="0"/>
              <w:rPr>
                <w:sz w:val="19"/>
                <w:szCs w:val="19"/>
                <w:color w:val="auto"/>
              </w:rPr>
            </w:pPr>
          </w:p>
        </w:tc>
        <w:tc>
          <w:tcPr>
            <w:tcW w:w="260" w:type="dxa"/>
            <w:vAlign w:val="bottom"/>
            <w:tcBorders>
              <w:right w:val="single" w:sz="8" w:color="CFF0FC"/>
            </w:tcBorders>
            <w:gridSpan w:val="2"/>
            <w:shd w:val="clear" w:color="auto" w:fill="CFF0FC"/>
          </w:tcPr>
          <w:p>
            <w:pPr>
              <w:spacing w:after="0"/>
              <w:rPr>
                <w:sz w:val="19"/>
                <w:szCs w:val="19"/>
                <w:color w:val="auto"/>
              </w:rPr>
            </w:pPr>
          </w:p>
        </w:tc>
        <w:tc>
          <w:tcPr>
            <w:tcW w:w="140" w:type="dxa"/>
            <w:vAlign w:val="bottom"/>
            <w:shd w:val="clear" w:color="auto" w:fill="CFF0FC"/>
          </w:tcPr>
          <w:p>
            <w:pPr>
              <w:jc w:val="right"/>
              <w:ind w:right="42"/>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21,692</w:t>
            </w: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Pr>
          <w:p>
            <w:pPr>
              <w:jc w:val="right"/>
              <w:ind w:right="42"/>
              <w:spacing w:after="0"/>
              <w:rPr>
                <w:sz w:val="20"/>
                <w:szCs w:val="20"/>
                <w:color w:val="auto"/>
              </w:rPr>
            </w:pPr>
            <w:r>
              <w:rPr>
                <w:rFonts w:ascii="Arial" w:cs="Arial" w:eastAsia="Arial" w:hAnsi="Arial"/>
                <w:sz w:val="5"/>
                <w:szCs w:val="5"/>
                <w:color w:val="auto"/>
                <w:w w:val="70"/>
              </w:rPr>
              <w: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2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June 30, 2016 and December 31, 2015,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2016</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13,639</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13,639</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23,402</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23,402</w:t>
            </w:r>
          </w:p>
        </w:tc>
        <w:tc>
          <w:tcPr>
            <w:tcW w:w="4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460" w:type="dxa"/>
            <w:vAlign w:val="bottom"/>
            <w:gridSpan w:val="2"/>
            <w:shd w:val="clear" w:color="auto" w:fill="CFF0FC"/>
          </w:tcPr>
          <w:p>
            <w:pPr>
              <w:jc w:val="right"/>
              <w:ind w:right="6"/>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478"/>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equivalents included money market funds and commercial paper with a maturity of three months or less from the date of purchase.</w:t>
      </w:r>
    </w:p>
    <w:p>
      <w:pPr>
        <w:spacing w:after="0" w:line="23" w:lineRule="exact"/>
        <w:rPr>
          <w:rFonts w:ascii="Arial" w:cs="Arial" w:eastAsia="Arial" w:hAnsi="Arial"/>
          <w:sz w:val="18"/>
          <w:szCs w:val="18"/>
          <w:color w:val="auto"/>
        </w:rPr>
      </w:pPr>
    </w:p>
    <w:p>
      <w:pPr>
        <w:ind w:left="540" w:right="240" w:hanging="478"/>
        <w:spacing w:after="0" w:line="277"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Deferred compensation plans are compensation plans directed by the Company and structured as a Rabbi Trust for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p>
    <w:p>
      <w:pPr>
        <w:spacing w:after="0" w:line="173" w:lineRule="exact"/>
        <w:rPr>
          <w:sz w:val="20"/>
          <w:szCs w:val="20"/>
          <w:color w:val="auto"/>
        </w:rPr>
      </w:pPr>
    </w:p>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six months ended June 30,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Term Loan Agreement</w:t>
      </w:r>
    </w:p>
    <w:p>
      <w:pPr>
        <w:spacing w:after="0" w:line="229" w:lineRule="exact"/>
        <w:rPr>
          <w:sz w:val="20"/>
          <w:szCs w:val="20"/>
          <w:color w:val="auto"/>
        </w:rPr>
      </w:pPr>
    </w:p>
    <w:p>
      <w:pPr>
        <w:ind w:right="120" w:firstLine="571"/>
        <w:spacing w:after="0" w:line="264" w:lineRule="auto"/>
        <w:rPr>
          <w:sz w:val="20"/>
          <w:szCs w:val="20"/>
          <w:color w:val="auto"/>
        </w:rPr>
      </w:pPr>
      <w:r>
        <w:rPr>
          <w:rFonts w:ascii="Arial" w:cs="Arial" w:eastAsia="Arial" w:hAnsi="Arial"/>
          <w:sz w:val="18"/>
          <w:szCs w:val="18"/>
          <w:color w:val="auto"/>
        </w:rPr>
        <w:t>In January 2016, the Company entered into Amendment No. 3 to Term Loan Agreement with Capital Royalty Partners (“Third Amendment”), which was previously amended by Consent and Amendment Agreement, dated June 20, 2014, and Omnibus Amendment Agreement No. 2, dated February 23, 2015.</w:t>
      </w:r>
    </w:p>
    <w:p>
      <w:pPr>
        <w:spacing w:after="0" w:line="18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Under the Term Loan Agreement, the Company had aggregate borrowings outstanding of $30.2 million (such amount, the “First Tranche”) as of December 31, 2015. Under the Third Amendment, the Company borrowed $15.0 million (such amount, the “Second Tranche”) in January 2016, and the Third Amendment provides the Company with a one-time option to draw up to an additional $35.0 million in increments of $5.0 million on or before December 31, 2016 (such amount, to the extent drawn, the “Third Tranche”).</w:t>
      </w:r>
    </w:p>
    <w:p>
      <w:pPr>
        <w:spacing w:after="0" w:line="187" w:lineRule="exact"/>
        <w:rPr>
          <w:sz w:val="20"/>
          <w:szCs w:val="20"/>
          <w:color w:val="auto"/>
        </w:rPr>
      </w:pPr>
    </w:p>
    <w:p>
      <w:pPr>
        <w:jc w:val="both"/>
        <w:ind w:right="60" w:firstLine="571"/>
        <w:spacing w:after="0" w:line="288" w:lineRule="auto"/>
        <w:rPr>
          <w:sz w:val="20"/>
          <w:szCs w:val="20"/>
          <w:color w:val="auto"/>
        </w:rPr>
      </w:pPr>
      <w:r>
        <w:rPr>
          <w:rFonts w:ascii="Arial" w:cs="Arial" w:eastAsia="Arial" w:hAnsi="Arial"/>
          <w:sz w:val="16"/>
          <w:szCs w:val="16"/>
          <w:color w:val="auto"/>
        </w:rPr>
        <w:t>The other principal terms of the Term Loan Agreement were not amended by the Third Amendment. Accordingly, interest continues to be payable, at the Company’s option, (i) in cash at a rate of 11.5% per annum or (ii) at a rate of 9.5% of the 11.5% per annum in cash and 2.0% of the 11.5% per annum (the “PIK Loan”) to be added to the principal of the loan and subject to accruing interest. Interest-only payments continue to be due quarterly on</w:t>
      </w:r>
    </w:p>
    <w:p>
      <w:pPr>
        <w:ind w:right="80"/>
        <w:spacing w:after="0" w:line="270" w:lineRule="auto"/>
        <w:rPr>
          <w:sz w:val="20"/>
          <w:szCs w:val="20"/>
          <w:color w:val="auto"/>
        </w:rPr>
      </w:pPr>
      <w:r>
        <w:rPr>
          <w:rFonts w:ascii="Arial" w:cs="Arial" w:eastAsia="Arial" w:hAnsi="Arial"/>
          <w:sz w:val="17"/>
          <w:szCs w:val="17"/>
          <w:color w:val="auto"/>
        </w:rPr>
        <w:t>March 31, June 30, September 30 and December 31 of each year of the interest-only payment period, which ends on December 31, 2019. The principal balance continues to be due in full at the end of the term of the loan, which is March 31, 2020 (the “Maturity Date”). The Term Loan Agreement provides for prepayment fees in an amount equal to one percent (1.0%) of the outstanding balance of the loan if the loan is repaid prior to March 31, 2017, after which there is no prepayment fee. The term loan is collateralized by all assets of the Company. The principal financial covenants continue to require that the Company attain minimum annual revenues of $65.0 million in 2016, $80.0 million in 2017 and $95.0 million each year thereafter until the Maturity Date. At June 30, 2016, the Company was in compliance with all of the covenants in the Term Loan Agreement.</w:t>
      </w:r>
    </w:p>
    <w:p>
      <w:pPr>
        <w:spacing w:after="0" w:line="179" w:lineRule="exact"/>
        <w:rPr>
          <w:sz w:val="20"/>
          <w:szCs w:val="20"/>
          <w:color w:val="auto"/>
        </w:rPr>
      </w:pPr>
    </w:p>
    <w:p>
      <w:pPr>
        <w:ind w:right="20" w:firstLine="571"/>
        <w:spacing w:after="0" w:line="279" w:lineRule="auto"/>
        <w:rPr>
          <w:sz w:val="20"/>
          <w:szCs w:val="20"/>
          <w:color w:val="auto"/>
        </w:rPr>
      </w:pPr>
      <w:r>
        <w:rPr>
          <w:rFonts w:ascii="Arial" w:cs="Arial" w:eastAsia="Arial" w:hAnsi="Arial"/>
          <w:sz w:val="17"/>
          <w:szCs w:val="17"/>
          <w:color w:val="auto"/>
        </w:rPr>
        <w:t>The Company had elected to pay interest in cash at a rate of 11.5% per annum through September 30, 2015. Beginning October 1, 2015, the Company elected to pay interest in cash at a rate of 9.5% per annum and to have 2.0% per annum added to the principal of the loan. As a result, $440,000 and $153,000 was added to the principal of the loan for the six months ended June 30, 2016 and the three months ended December 31, 2015, respectively. The Company had $45.6 million of aggregate borrowings outstanding under the Term Loan Agreement as of June 30, 2016.</w:t>
      </w:r>
    </w:p>
    <w:p>
      <w:pPr>
        <w:spacing w:after="0" w:line="171" w:lineRule="exact"/>
        <w:rPr>
          <w:sz w:val="20"/>
          <w:szCs w:val="20"/>
          <w:color w:val="auto"/>
        </w:rPr>
      </w:pPr>
    </w:p>
    <w:p>
      <w:pPr>
        <w:ind w:right="260" w:firstLine="571"/>
        <w:spacing w:after="0" w:line="297" w:lineRule="auto"/>
        <w:rPr>
          <w:sz w:val="20"/>
          <w:szCs w:val="20"/>
          <w:color w:val="auto"/>
        </w:rPr>
      </w:pPr>
      <w:r>
        <w:rPr>
          <w:rFonts w:ascii="Arial" w:cs="Arial" w:eastAsia="Arial" w:hAnsi="Arial"/>
          <w:sz w:val="16"/>
          <w:szCs w:val="16"/>
          <w:color w:val="auto"/>
        </w:rPr>
        <w:t>Pursuant to the Third Amendment, the Company has agreed to pay, on the earlier of (i) the Maturity Date; (ii) the date that the loan under the Term Loan Agreement becomes due, and (iii) the date on which the Company makes a voluntary pre-payment of the loan, a financing fee equal to three percent (3.0%) of the sum of (x) the aggregate amount of the Second Tranche and Third Tranche drawn, and (y) any PIK Loans issued in relation to the Second Tranche and Third Tranche (collectively, the “Back End Financing Fee”). As of June 30, 2016 the Company had accrued $0.5 million for the Back End Financing Fee in other long-term liabilities and as contra-debt in notes payable--long-term on the accompanying balance sheet.</w:t>
      </w:r>
    </w:p>
    <w:p>
      <w:pPr>
        <w:spacing w:after="0" w:line="158" w:lineRule="exact"/>
        <w:rPr>
          <w:sz w:val="20"/>
          <w:szCs w:val="20"/>
          <w:color w:val="auto"/>
        </w:rPr>
      </w:pPr>
    </w:p>
    <w:p>
      <w:pPr>
        <w:jc w:val="both"/>
        <w:ind w:right="180" w:firstLine="571"/>
        <w:spacing w:after="0" w:line="312" w:lineRule="auto"/>
        <w:rPr>
          <w:sz w:val="20"/>
          <w:szCs w:val="20"/>
          <w:color w:val="auto"/>
        </w:rPr>
      </w:pPr>
      <w:r>
        <w:rPr>
          <w:rFonts w:ascii="Arial" w:cs="Arial" w:eastAsia="Arial" w:hAnsi="Arial"/>
          <w:sz w:val="16"/>
          <w:szCs w:val="16"/>
          <w:color w:val="auto"/>
        </w:rPr>
        <w:t>The Company treated this amendment as a modification. The present value of the future cash flows under the Third Amendment did not exceed the present value of the future cash flows under the previous terms by more than 10%. The Back End Financing Fee and the remaining balance of debt issuance costs and debt discount of the loan are amortized to interest expense over the remaining term of the Third Amendment using the effective interest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color w:val="auto"/>
        </w:rPr>
        <w:t>In the first quarter of 2015, the Company completed a public offering of 6,037,500 shares of its common stock at a public offering price of $11.50 per share. Net cash proceeds from the public offering were approximately $64.9 million, after deducting underwriting discounts, commissions and offering expenses paid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at June 30, 2016:</w:t>
      </w:r>
    </w:p>
    <w:p>
      <w:pPr>
        <w:sectPr>
          <w:pgSz w:w="11900" w:h="16838" w:orient="portrait"/>
          <w:cols w:equalWidth="0" w:num="1">
            <w:col w:w="11420"/>
          </w:cols>
          <w:pgMar w:left="240" w:top="121"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990,031</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6,774,815</w:t>
      </w:r>
    </w:p>
    <w:p>
      <w:pPr>
        <w:spacing w:after="0" w:line="34"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2,058,291</w:t>
      </w:r>
    </w:p>
    <w:p>
      <w:pPr>
        <w:spacing w:after="0" w:line="34"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520,420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10,343,557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53975</wp:posOffset>
            </wp:positionV>
            <wp:extent cx="2075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60" w:space="720"/>
            <w:col w:w="940"/>
          </w:cols>
          <w:pgMar w:left="240" w:top="121" w:right="2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ind w:right="40" w:firstLine="571"/>
        <w:spacing w:after="0" w:line="308" w:lineRule="auto"/>
        <w:rPr>
          <w:sz w:val="20"/>
          <w:szCs w:val="20"/>
          <w:color w:val="auto"/>
        </w:rPr>
      </w:pPr>
      <w:r>
        <w:rPr>
          <w:rFonts w:ascii="Arial" w:cs="Arial" w:eastAsia="Arial" w:hAnsi="Arial"/>
          <w:sz w:val="17"/>
          <w:szCs w:val="17"/>
          <w:color w:val="auto"/>
        </w:rPr>
        <w:t>The Company issued 108,299 shares of its common stock upon the exercise of stock options and warrants during the six months ended June 30, 2016, and issued 260,091 shares of its common stock upon the exercise of stock options and warrants during the year ended December 31, 2015.</w:t>
      </w:r>
    </w:p>
    <w:p>
      <w:pPr>
        <w:spacing w:after="0" w:line="147" w:lineRule="exact"/>
        <w:rPr>
          <w:sz w:val="20"/>
          <w:szCs w:val="20"/>
          <w:color w:val="auto"/>
        </w:rPr>
      </w:pPr>
    </w:p>
    <w:p>
      <w:pPr>
        <w:ind w:right="180" w:firstLine="571"/>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 tax payroll deductions, subject to certain conditions. The ESPP consists of a two-year offering period with four six-month purchase periods which begin in May and November of each year. There were 250,367 shares of the Company’s common stock purchased under the ESPP during the six months ended June 30, 2016, and 302,171 shares of the Company’s common stock purchased under the ESPP during the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Stock Option</w:t>
            </w: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Six Months Ended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5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5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r>
        <w:trPr>
          <w:trHeight w:val="446"/>
        </w:trPr>
        <w:tc>
          <w:tcPr>
            <w:tcW w:w="39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w w:val="90"/>
              </w:rPr>
              <w:t>ESPP</w:t>
            </w: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3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Six Months Ended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3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9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9"/>
                <w:szCs w:val="19"/>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FF0FC"/>
          </w:tcPr>
          <w:p>
            <w:pPr>
              <w:spacing w:after="0"/>
              <w:rPr>
                <w:sz w:val="19"/>
                <w:szCs w:val="19"/>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5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28"/>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5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allocation of stock-based compensation expense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571"/>
        <w:spacing w:after="0" w:line="277" w:lineRule="auto"/>
        <w:rPr>
          <w:sz w:val="20"/>
          <w:szCs w:val="20"/>
          <w:color w:val="auto"/>
        </w:rPr>
      </w:pPr>
      <w:r>
        <w:rPr>
          <w:rFonts w:ascii="Arial" w:cs="Arial" w:eastAsia="Arial" w:hAnsi="Arial"/>
          <w:sz w:val="18"/>
          <w:szCs w:val="18"/>
          <w:color w:val="auto"/>
        </w:rPr>
        <w:t>The total stock-based compensation capitalized as part of the cost of inventory was $0.2 million and $0.1 million at June 30, 2016 and December 31,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DexCom Development and Commercialization Agreement</w:t>
      </w:r>
    </w:p>
    <w:p>
      <w:pPr>
        <w:spacing w:after="0" w:line="225"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color w:val="auto"/>
        </w:rPr>
        <w:t>In February 2012, the Company entered into a Development and Commercialization Agreement (the “DexCom Agreement”) with DexCom, Inc. (“DexCom”) for the purpose of collaborating on the development and commercialization of an integrated system which incorporates t:slim Insulin Delivery System with DexCom’s proprietary continuous glucose monitoring system.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right="40" w:firstLine="571"/>
        <w:spacing w:after="0" w:line="259" w:lineRule="auto"/>
        <w:rPr>
          <w:sz w:val="20"/>
          <w:szCs w:val="20"/>
          <w:color w:val="auto"/>
        </w:rPr>
      </w:pPr>
      <w:r>
        <w:rPr>
          <w:rFonts w:ascii="Arial" w:cs="Arial" w:eastAsia="Arial" w:hAnsi="Arial"/>
          <w:sz w:val="18"/>
          <w:szCs w:val="18"/>
          <w:color w:val="auto"/>
        </w:rPr>
        <w:t>Under the DexCom Agreement, the Company paid DexCom $1.0 million at the commencement of the collaboration in 2012, $1.0 million in 2014 upon the achievement of t:slim G4 pre-market approval (“PMA”) submission to the U.S. Food and Drug Administration (“FDA”) and an additional $1.0 million in September 2015 upon obtaining approval of the PMA submission from the FDA. All payments were recorded as research and development costs in their respective years.</w:t>
      </w:r>
    </w:p>
    <w:p>
      <w:pPr>
        <w:spacing w:after="0" w:line="187" w:lineRule="exact"/>
        <w:rPr>
          <w:sz w:val="20"/>
          <w:szCs w:val="20"/>
          <w:color w:val="auto"/>
        </w:rPr>
      </w:pPr>
    </w:p>
    <w:p>
      <w:pPr>
        <w:ind w:right="80" w:firstLine="571"/>
        <w:spacing w:after="0" w:line="277" w:lineRule="auto"/>
        <w:rPr>
          <w:sz w:val="20"/>
          <w:szCs w:val="20"/>
          <w:color w:val="auto"/>
        </w:rPr>
      </w:pPr>
      <w:r>
        <w:rPr>
          <w:rFonts w:ascii="Arial" w:cs="Arial" w:eastAsia="Arial" w:hAnsi="Arial"/>
          <w:sz w:val="18"/>
          <w:szCs w:val="18"/>
          <w:color w:val="auto"/>
        </w:rPr>
        <w:t>Additionally, upon commercialization and as compensation for the non-exclusive license rights, under the original DexCom Agreement the Company agreed to pay DexCom a royalty calculated at $100 per integrated system sold.</w:t>
      </w:r>
    </w:p>
    <w:p>
      <w:pPr>
        <w:spacing w:after="0" w:line="17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September 2015, the Company entered into an amendment to the DexCom Agreement (the “Amendment”). Pursuant to the Amendment, in lieu of the $100 royalty payment for each integrated system sold, the Company will commit $100 of each t:slim G4 integrated system sold to incremental marketing activities associated with t:slim G4 integrated systems that are in addition to a level of ordinary course marketing activities or marketing activities to support other Company and DexCom jointly funded development projects. The committed marketing fund is recorded as an increase to cost of sales and current liability in the period that the related t:slim G4 sale is recorded. The Company has recorded such marketing fund activities of $0.3M and $0.5M for the three and six months ended June 30, 2016, respectively. As of June 30, 2016 and December 31, 2015, the Company has recorded a marketing fund liability of $0.8 million and $0.4 million, respectively, in other current liabilities on the accompanying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Collaboration</w:t>
      </w:r>
    </w:p>
    <w:p>
      <w:pPr>
        <w:spacing w:after="0" w:line="225"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In January 2013, the Company entered into a Research, Development and Commercialization Agreement (“JDRF Agreement”) with JDRF to develop the t:dual Infusion System, a first-of-its-kind, dual-chamber infusion pump for the management of diabetes. According to the terms of the JDRF Agreement, JDRF would provide research funding of up to $3.0 million based on the achievement of research and development milestones, not to exceed research costs incurred by the Company. Any intellectual property developed by either party in the performance of the agreement would be owned or exclusively licensed by the Company.</w:t>
      </w:r>
    </w:p>
    <w:p>
      <w:pPr>
        <w:spacing w:after="0" w:line="188" w:lineRule="exact"/>
        <w:rPr>
          <w:sz w:val="20"/>
          <w:szCs w:val="20"/>
          <w:color w:val="auto"/>
        </w:rPr>
      </w:pPr>
    </w:p>
    <w:p>
      <w:pPr>
        <w:jc w:val="both"/>
        <w:ind w:right="240" w:firstLine="571"/>
        <w:spacing w:after="0" w:line="312" w:lineRule="auto"/>
        <w:rPr>
          <w:sz w:val="20"/>
          <w:szCs w:val="20"/>
          <w:color w:val="auto"/>
        </w:rPr>
      </w:pPr>
      <w:r>
        <w:rPr>
          <w:rFonts w:ascii="Arial" w:cs="Arial" w:eastAsia="Arial" w:hAnsi="Arial"/>
          <w:sz w:val="16"/>
          <w:szCs w:val="16"/>
          <w:color w:val="auto"/>
        </w:rPr>
        <w:t>Payments that the Company received to fund the collaboration efforts under the terms of the JDRF Agreement were recorded as restricted cash and current and long-term liabilities. The liabilities were recognized as an offset of research and development expenses straight-line over the remaining months until anticipated completion of the final milestone, only to the extent that the restricted cash was utilized to fund such development activities.</w:t>
      </w:r>
    </w:p>
    <w:p>
      <w:pPr>
        <w:spacing w:after="0" w:line="147" w:lineRule="exact"/>
        <w:rPr>
          <w:sz w:val="20"/>
          <w:szCs w:val="20"/>
          <w:color w:val="auto"/>
        </w:rPr>
      </w:pPr>
    </w:p>
    <w:p>
      <w:pPr>
        <w:ind w:right="20" w:firstLine="571"/>
        <w:spacing w:after="0" w:line="276" w:lineRule="auto"/>
        <w:rPr>
          <w:sz w:val="20"/>
          <w:szCs w:val="20"/>
          <w:color w:val="auto"/>
        </w:rPr>
      </w:pPr>
      <w:r>
        <w:rPr>
          <w:rFonts w:ascii="Arial" w:cs="Arial" w:eastAsia="Arial" w:hAnsi="Arial"/>
          <w:sz w:val="17"/>
          <w:szCs w:val="17"/>
          <w:color w:val="auto"/>
        </w:rPr>
        <w:t>In February 2016, the Company and JDRF entered into a termination agreement (“JDRF Termination Agreement”), where both parties mutually terminated the JDRF Agreement. As of December 31, 2015, milestone payment achievements totaled $0.7 million, and research and development costs were offset cumulatively by $0.5 million. Under the terms of the JDRF Termination Agreement, the Company agreed to repay JDRF $0.7 million, which is equal to the amount of milestone payments received by the Company to date. The Company accrued for the repayment in other current liabilities on the accompanying balance sheet as of December 31, 2015 and repaid such amount during the first quarter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ind w:right="140" w:firstLine="571"/>
        <w:spacing w:after="0" w:line="271" w:lineRule="auto"/>
        <w:rPr>
          <w:sz w:val="20"/>
          <w:szCs w:val="20"/>
          <w:color w:val="auto"/>
        </w:rPr>
      </w:pPr>
      <w:r>
        <w:rPr>
          <w:rFonts w:ascii="Arial" w:cs="Arial" w:eastAsia="Arial" w:hAnsi="Arial"/>
          <w:sz w:val="17"/>
          <w:szCs w:val="17"/>
          <w:color w:val="auto"/>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each of June 30, 2016 and December 31, 2015, there were no material matters for which the negative outcome was considered probable or estimable.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or this Quarterly Report.</w:t>
      </w:r>
    </w:p>
    <w:p>
      <w:pPr>
        <w:spacing w:after="0" w:line="170" w:lineRule="exact"/>
        <w:rPr>
          <w:sz w:val="20"/>
          <w:szCs w:val="20"/>
          <w:color w:val="auto"/>
        </w:rPr>
      </w:pPr>
    </w:p>
    <w:p>
      <w:pPr>
        <w:ind w:right="60" w:firstLine="571"/>
        <w:spacing w:after="0" w:line="276"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w:t>
      </w:r>
    </w:p>
    <w:p>
      <w:pPr>
        <w:spacing w:after="0" w:line="173"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results may be materially different and worse from what we expect.</w:t>
      </w:r>
    </w:p>
    <w:p>
      <w:pPr>
        <w:spacing w:after="0" w:line="178"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30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a family of products for people with insulin-dependent diabetes. Our advantage is rooted in our unique consumer-focused approach and proprietary technology platform. This allows us to deliver innovative hardware and software solutions to meet the various needs and preferences of people with diabetes and their healthcare providers. We currently manufacture and sell three insulin pump products in the United States that are designed to address large and differentiated segments of the insulin-dependent diabetes market:</w:t>
      </w:r>
    </w:p>
    <w:p>
      <w:pPr>
        <w:spacing w:after="0" w:line="188" w:lineRule="exact"/>
        <w:rPr>
          <w:sz w:val="20"/>
          <w:szCs w:val="20"/>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t:slim Insulin Delivery System, or t:slim, our flagship product that can easily and discreetly fit into a pocket,</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 and</w:t>
      </w:r>
    </w:p>
    <w:p>
      <w:pPr>
        <w:spacing w:after="0" w:line="9" w:lineRule="exact"/>
        <w:rPr>
          <w:rFonts w:ascii="Arial" w:cs="Arial" w:eastAsia="Arial" w:hAnsi="Arial"/>
          <w:sz w:val="18"/>
          <w:szCs w:val="18"/>
          <w:color w:val="auto"/>
        </w:rPr>
      </w:pPr>
    </w:p>
    <w:p>
      <w:pPr>
        <w:ind w:left="1420" w:right="340" w:hanging="386"/>
        <w:spacing w:after="0" w:line="261"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t:slim G4 Insulin Delivery System, or t:slim G4, the first Continuous Glucose Monitoring, CGM, enabled pump with touch-screen simplicity.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This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88"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technology platform features our patented Micro-Delivery technology, a miniaturized pumping mechanism which draws insulin from a flexible bag within the pump’s cartridge, rather than relying on a syringe and plunger mechanism. It also features an easy-to-navigate software architecture, a vivid color touch screen and a micro-USB connection that supports both a rechargeable battery and t:connect, our custom cloud-based data management application that provides a fast, easy and visual way to display therapy management data from the pump and supported blood glucose meters.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ind w:right="180" w:firstLine="571"/>
        <w:spacing w:after="0" w:line="276" w:lineRule="auto"/>
        <w:rPr>
          <w:sz w:val="20"/>
          <w:szCs w:val="20"/>
          <w:color w:val="auto"/>
        </w:rPr>
      </w:pPr>
      <w:r>
        <w:rPr>
          <w:rFonts w:ascii="Arial" w:cs="Arial" w:eastAsia="Arial" w:hAnsi="Arial"/>
          <w:sz w:val="17"/>
          <w:szCs w:val="17"/>
          <w:color w:val="auto"/>
        </w:rPr>
        <w:t>In July 2016, we received clearance from the FDA to begin offering the Tandem Device Updater, which is a Mac</w:t>
      </w:r>
      <w:r>
        <w:rPr>
          <w:rFonts w:ascii="Arial" w:cs="Arial" w:eastAsia="Arial" w:hAnsi="Arial"/>
          <w:sz w:val="14"/>
          <w:szCs w:val="14"/>
          <w:color w:val="auto"/>
        </w:rPr>
        <w:t>®</w:t>
      </w:r>
      <w:r>
        <w:rPr>
          <w:rFonts w:ascii="Arial" w:cs="Arial" w:eastAsia="Arial" w:hAnsi="Arial"/>
          <w:sz w:val="17"/>
          <w:szCs w:val="17"/>
          <w:color w:val="auto"/>
        </w:rPr>
        <w:t xml:space="preserve"> and PC-compatible tool for the remote update of Tandem insulin pump software. This tool allows us to provide our customers access to new and enhanced features faster than the industry has been able to in the past, and separate from the typical multi-year warranty hardware replacement cycle. The first use of the Tandem Device Updater will be for deployment of the latest t:slim Insulin Pump software to in-warranty t:slim Pumps purchased before April 2015. Future software improvements and enhancements will be implemented through the Tandem Device Updater as they are cleared for commercial distribution.</w:t>
      </w:r>
    </w:p>
    <w:p>
      <w:pPr>
        <w:spacing w:after="0" w:line="17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have a number of products and product enhancements that we plan to launch in the next 12 months, pending appropriate regulatory clearance. In the fourth quarter of 2016, we plan to begin shipping the t:slim X2</w:t>
      </w:r>
      <w:r>
        <w:rPr>
          <w:rFonts w:ascii="Arial" w:cs="Arial" w:eastAsia="Arial" w:hAnsi="Arial"/>
          <w:sz w:val="15"/>
          <w:szCs w:val="15"/>
          <w:color w:val="auto"/>
        </w:rPr>
        <w:t>TM</w:t>
      </w:r>
      <w:r>
        <w:rPr>
          <w:rFonts w:ascii="Arial" w:cs="Arial" w:eastAsia="Arial" w:hAnsi="Arial"/>
          <w:sz w:val="18"/>
          <w:szCs w:val="18"/>
          <w:color w:val="auto"/>
        </w:rPr>
        <w:t xml:space="preserve"> Insulin Pump, a next generation t:slim Pump that is intended to be updatable with PMA classified software, such as CGM integration, using the Tandem Device Updater. Also, during 2017 we plan to launch G5 sensor integration for the t:slim X2 Pump.</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began commercial sales of our first product, t:slim, in August 2012. During 2015, we commenced commercial sales of two additional insulin</w:t>
      </w:r>
    </w:p>
    <w:p>
      <w:pPr>
        <w:spacing w:after="0" w:line="35"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pumps: t:flex in May 2015 and t:slim G4 in September 2015. Since inception, we have derived nearly all of our revenue from the sale of insulin pumps and associated supplies in the United States. We consider the number of units shipped per quarter to be an important metric for managing our business. We have shipped more than 42,000 insulin pumps since the initiation of our commercial efforts in 2012. Pump shipments are broken down by product and by quarter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t:slim</w:t>
            </w:r>
          </w:p>
        </w:tc>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t:flex</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20"/>
                <w:szCs w:val="20"/>
                <w:color w:val="auto"/>
              </w:rPr>
            </w:pP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0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G4</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20"/>
                <w:szCs w:val="20"/>
                <w:color w:val="auto"/>
              </w:rPr>
            </w:pP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00" w:type="dxa"/>
            <w:vAlign w:val="bottom"/>
          </w:tcPr>
          <w:p>
            <w:pPr>
              <w:jc w:val="right"/>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 xml:space="preserve">2015 </w:t>
            </w:r>
            <w:r>
              <w:rPr>
                <w:rFonts w:ascii="Arial" w:cs="Arial" w:eastAsia="Arial" w:hAnsi="Arial"/>
                <w:sz w:val="15"/>
                <w:szCs w:val="15"/>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8,624</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occurred in the ordinary course of business.</w:t>
      </w:r>
    </w:p>
    <w:p>
      <w:pPr>
        <w:spacing w:after="0" w:line="23" w:lineRule="exact"/>
        <w:rPr>
          <w:rFonts w:ascii="Arial" w:cs="Arial" w:eastAsia="Arial" w:hAnsi="Arial"/>
          <w:sz w:val="18"/>
          <w:szCs w:val="18"/>
          <w:color w:val="auto"/>
        </w:rPr>
      </w:pPr>
    </w:p>
    <w:p>
      <w:pPr>
        <w:ind w:left="380" w:right="180" w:hanging="372"/>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fourth quarter of 2015, 148 t:slim pumps and two t:flex pumps originally shipped in the third quarter of 2015 were exchanged for t:slim G4 pumps under a limited product exchange program. Amounts for the fourth quarter of 2015 in the table above are adjusted to reflect the impact of the exchange program.</w:t>
      </w:r>
    </w:p>
    <w:p>
      <w:pPr>
        <w:spacing w:after="0" w:line="190" w:lineRule="exact"/>
        <w:rPr>
          <w:sz w:val="20"/>
          <w:szCs w:val="20"/>
          <w:color w:val="auto"/>
        </w:rPr>
      </w:pPr>
    </w:p>
    <w:p>
      <w:pPr>
        <w:jc w:val="both"/>
        <w:ind w:firstLine="571"/>
        <w:spacing w:after="0" w:line="312" w:lineRule="auto"/>
        <w:rPr>
          <w:sz w:val="20"/>
          <w:szCs w:val="20"/>
          <w:color w:val="auto"/>
        </w:rPr>
      </w:pPr>
      <w:r>
        <w:rPr>
          <w:rFonts w:ascii="Arial" w:cs="Arial" w:eastAsia="Arial" w:hAnsi="Arial"/>
          <w:sz w:val="16"/>
          <w:szCs w:val="16"/>
          <w:color w:val="auto"/>
        </w:rPr>
        <w:t>For the three months ended June 30, 2016 and 2015, our sales were $23.0 million and $15.7 million, respectively. For the three months ended June 30, 2016 and 2015, our net loss was $18.3 million and $19.5 million, respectively. For the six months ended June 30, 2016 and 2015, our sales were $43.0 million and $28.0 million, respectively. For the six months ended June 30, 2016 and 2015, our net loss was $38.8 million and $40.7 million,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60" w:firstLine="571"/>
        <w:spacing w:after="0" w:line="254" w:lineRule="auto"/>
        <w:rPr>
          <w:sz w:val="20"/>
          <w:szCs w:val="20"/>
          <w:color w:val="auto"/>
        </w:rPr>
      </w:pPr>
      <w:r>
        <w:rPr>
          <w:rFonts w:ascii="Arial" w:cs="Arial" w:eastAsia="Arial" w:hAnsi="Arial"/>
          <w:sz w:val="18"/>
          <w:szCs w:val="18"/>
          <w:color w:val="auto"/>
        </w:rPr>
        <w:t>A substantial portion of the purchase price of an insulin pump is typically paid for by third-party payors, including private insurance companies, preferred provider organizations and other managed care providers. Access to adequate coverage and reimbursement for our current and future products by third-party payors is essential to the acceptance of our products by customers. Future sales of our current and future products will be limited unless our customers can rely on third-party payors to pay for all or part of the associated purchase cost. For example,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However, in most circumstances in which we do not have contracts established with third-party payors, we utilize our network of national and regional distributors to service our customers.</w:t>
      </w:r>
    </w:p>
    <w:p>
      <w:pPr>
        <w:spacing w:after="0" w:line="192"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We believe we can ultimately achieve profitability because our proprietary technology platform will allow us to maximize efficiencies in the development, production and sale of our products. By offering a family of products, all of which are based on our proprietary technology platform, we believe we can develop and bring to market products more rapidly, while significantly reducing our design and development costs. Due to shared product design features, our production system is adaptable to new products and we intend to leverage our shared manufacturing infrastructure to reduce our product costs and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 productivity of our sales, clinical and marketing organization, and utilize the expertise of our customer, technical and support services, thereby improving our operating margin.</w:t>
      </w:r>
    </w:p>
    <w:p>
      <w:pPr>
        <w:spacing w:after="0" w:line="179"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We have experienced considerable sales growth since the commercial launch of t:slim in the third quarter of 2012, while incurring operating losses since our inception. Our operating results may fluctuate on a quarterly or annual basis in the future, in particular in the periods surrounding anticipated and actual regulatory approvals and initial stages of commercialization of new products, and our growth or operating results may not be consistent with predictions made by securities analysts.</w:t>
      </w:r>
    </w:p>
    <w:p>
      <w:pPr>
        <w:spacing w:after="0" w:line="187"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In anticipation of our future product launches over the next 12 months, we are offering a Technology Upgrade Program that provides eligible t:slim and t:slim G4 customers a path forward to the t:slim X2 platform under a variable pricing structure. The accounting treatment for this program will include the deferral of some portion, up to 100%, of revenues and cost of goods sold for shipments of eligible pumps beginning in the third quarter of 2016. The opportunity for a customer to receive future upgrades and services represents a right of return or guarantee at the time of the initial product purchase. We have not offered an upgrade program in the past and do not have sufficient history with similar upgrade programs to estimate the number of customers that will participate. As a result, we anticipate that sales and cost of goods sold for all eligible t:slim and t:slim G4 shipments will be subject to deferral. The amount of revenue and cost of goods sold deferred will vary based on type of the original pump and timing of the initial sales relative to the availability of future products. We expect to recognize the deferred amount of sales and costs of goods sold at the earlier of when the Company’s obligations under the Upgrade Program are satisfied or when the Upgrade Program expires on September 30, 2017. If a customer elects to participate in the Upgrade Program, the Company will recognize upgrade fees that it receives and the associated costs at the time of fulfilling the given obligation.</w:t>
      </w:r>
    </w:p>
    <w:p>
      <w:pPr>
        <w:spacing w:after="0" w:line="178" w:lineRule="exact"/>
        <w:rPr>
          <w:sz w:val="20"/>
          <w:szCs w:val="20"/>
          <w:color w:val="auto"/>
        </w:rPr>
      </w:pPr>
    </w:p>
    <w:p>
      <w:pPr>
        <w:ind w:right="20" w:firstLine="588"/>
        <w:spacing w:after="0" w:line="259" w:lineRule="auto"/>
        <w:rPr>
          <w:sz w:val="20"/>
          <w:szCs w:val="20"/>
          <w:color w:val="auto"/>
        </w:rPr>
      </w:pPr>
      <w:r>
        <w:rPr>
          <w:rFonts w:ascii="Arial" w:cs="Arial" w:eastAsia="Arial" w:hAnsi="Arial"/>
          <w:sz w:val="18"/>
          <w:szCs w:val="18"/>
          <w:color w:val="auto"/>
        </w:rPr>
        <w:t>We believe that the timing of the commercial launch of the t:slim X2 pump may negatively impact our aggregate pump shipments during the three months ended September 30, 2016 and may cause further fluctuations throughout the duration of the Technology Upgrade Program. In particular, in the period leading up to the commercial launch of the t:slim X2 pump, there will be an increasing number of customers anticipating its availability and may delay their purchasing decisions until they could include the t:slim X2 in their decision-making process.</w:t>
      </w:r>
    </w:p>
    <w:p>
      <w:pPr>
        <w:spacing w:after="0" w:line="187" w:lineRule="exact"/>
        <w:rPr>
          <w:sz w:val="20"/>
          <w:szCs w:val="20"/>
          <w:color w:val="auto"/>
        </w:rPr>
      </w:pPr>
    </w:p>
    <w:p>
      <w:pPr>
        <w:ind w:right="40" w:firstLine="588"/>
        <w:spacing w:after="0" w:line="288" w:lineRule="auto"/>
        <w:rPr>
          <w:sz w:val="20"/>
          <w:szCs w:val="20"/>
          <w:color w:val="auto"/>
        </w:rPr>
      </w:pPr>
      <w:r>
        <w:rPr>
          <w:rFonts w:ascii="Arial" w:cs="Arial" w:eastAsia="Arial" w:hAnsi="Arial"/>
          <w:sz w:val="16"/>
          <w:szCs w:val="16"/>
          <w:color w:val="auto"/>
        </w:rPr>
        <w:t>On June 30, 2016, we entered into a Lease Agreement for additional facilities to consolidate substantially all of our manufacturing, warehousing and other operational needs during 2017. The initial lease term is expected to commence on or about December 1, 2016 for an 84-month period. The initial monthly base rent for the premises is approximately $45,000 per month and will increase annually by 3.0%. No base rent will be due under the lease for a seven-month period, commencing on the later of February 1, 2017 or the actual lease commencement date. We are also required to pay certain ongoing expenses associated with the facility throughout the duration of the Lease Agreement, as well as a fee associated with access to an affiliated amenities center. The Lease Agreement allows for a tenant improvement allowance, the TI Allowance, of up to approximately $3.4 million to be applied to non-structural improvements to the building. Any amounts utilized by us from the TI Allowance will be subject to an interest accrual at a rate of 8.0% per annum and must be repaid in monthly installments paid concurrently with the base rent. We retain the right at any time during the lease term to prepay all or any portion of the TI Allowance drawn and outstanding without penalty. We currently intend to utilize the entire TI Allowance for improvements to the building over the next six to nine months. We also expect to make additional improvements to the building during this period.</w:t>
      </w:r>
    </w:p>
    <w:p>
      <w:pPr>
        <w:spacing w:after="0" w:line="169"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From inception through June 30, 2016, we have primarily financed our operations through sales of equity securities, and, to a lesser extent, debt financings. We expect to continue to incur net losses for the next several years, and may require additional capital through equity and debt financings in order to fund our operations until we achieve a level of revenue adequate to support our cost structure.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ind w:right="140" w:firstLine="571"/>
        <w:spacing w:after="0" w:line="255" w:lineRule="auto"/>
        <w:rPr>
          <w:sz w:val="20"/>
          <w:szCs w:val="20"/>
          <w:color w:val="auto"/>
        </w:rPr>
      </w:pPr>
      <w:r>
        <w:rPr>
          <w:rFonts w:ascii="Arial" w:cs="Arial" w:eastAsia="Arial" w:hAnsi="Arial"/>
          <w:sz w:val="18"/>
          <w:szCs w:val="18"/>
          <w:color w:val="auto"/>
        </w:rPr>
        <w:t>In the first quarter of 2016, we entered into a third amendment (the “Third Amendment”) to our Term Loan Agreement, as amended by Consent and Amendment Agreement, dated June 20, 2014, Omnibus Amendment Agreement No. 2, dated February 23, 2015 and Amendment No. 3 to Term Loan Agreement, dated January 8, 2016 (as amended, the “Term Loan Agreement”) with Capital Royalty Partners II, L.P. and its affiliate funds (“Capital Royalty Partners”). The Third Amendment granted us the right to borrow up to an additional $50.0 million. We borrowed $15.0 million of this amount in January 2016, and the Third Amendment provides us with a one-time option to draw up to an additional $35.0 million in increments of $5.0 million on or before December 31, 2016.</w:t>
      </w:r>
    </w:p>
    <w:p>
      <w:pPr>
        <w:spacing w:after="0" w:line="193"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We may not be able to achieve profitability in the future. For additional information about the risks and uncertainties associated with our business, see the section entitled “Risk Factors” in Part II, Item 1A of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80" w:firstLine="571"/>
        <w:spacing w:after="0" w:line="279" w:lineRule="auto"/>
        <w:rPr>
          <w:sz w:val="20"/>
          <w:szCs w:val="20"/>
          <w:color w:val="auto"/>
        </w:rPr>
      </w:pPr>
      <w:r>
        <w:rPr>
          <w:rFonts w:ascii="Arial" w:cs="Arial" w:eastAsia="Arial" w:hAnsi="Arial"/>
          <w:sz w:val="17"/>
          <w:szCs w:val="17"/>
          <w:color w:val="auto"/>
        </w:rPr>
        <w:t>We offer a family of products for people with insulin-dependent diabetes. We commenced commercial sales of t:slim in the United States in the third quarter of 2012. We launched our second insulin pump product, t:flex, in the second quarter of 2015, and launched our third insulin pump product, t:slim G4, in September 2015. Our products include these insulin pumps, as well as disposable cartridges and infusion sets. We also offer accessories including protective cases, belt clips, and power adapters. Sales of accessories since commercial launch have not been material.</w:t>
      </w:r>
    </w:p>
    <w:p>
      <w:pPr>
        <w:spacing w:after="0" w:line="171"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w:t>
      </w:r>
    </w:p>
    <w:p>
      <w:pPr>
        <w:spacing w:after="0" w:line="187"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We believe our recent expansion of our sales, clinical and marketing infrastructure will allow us to engage with more potential customers, their caregivers and healthcare providers on a more frequent basis to promote our products. Our quarterly sales may also fluctuate on a quarterly basis in the future due to a variety of factors, including the impact of:</w:t>
      </w:r>
    </w:p>
    <w:p>
      <w:pPr>
        <w:spacing w:after="0" w:line="181" w:lineRule="exact"/>
        <w:rPr>
          <w:sz w:val="20"/>
          <w:szCs w:val="20"/>
          <w:color w:val="auto"/>
        </w:rPr>
      </w:pPr>
    </w:p>
    <w:p>
      <w:pPr>
        <w:ind w:left="760" w:right="380" w:hanging="374"/>
        <w:spacing w:after="0" w:line="25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timing of sales force expansions,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and actual regulatory approvals of new products by us or our competitors,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recently announced Technology Upgrade Program and its related financial and accounting impact.</w:t>
      </w:r>
    </w:p>
    <w:p>
      <w:pPr>
        <w:spacing w:after="0" w:line="211"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We have experienced and expect to continue to experience sequential growth of product shipments in each quarter from the first quarter to the fourth quarter, and we also expect sequential product shipments from the fourth quarter to the following first quarter to decrease. In 2015, we believe that the timing of the regulatory approval and commercial launch of t:slim G4 contributed to our product shipments being weighted even more heavily towards the fourth quarter of the year. In 2016, we expect the quarterly product shipments distribution to be similar to what we have experienced historically, excluding the impact of the Technology Upgrade Program, due to the combined effect of the increasing productivity of our existing sales force and the newer members of our sales force that were added in the first quarter of 2016, the anticipated contribution from product enhancements, and pump renewal opportunities that will begin in the fourth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571"/>
        <w:spacing w:after="0" w:line="293" w:lineRule="auto"/>
        <w:rPr>
          <w:sz w:val="20"/>
          <w:szCs w:val="20"/>
          <w:color w:val="auto"/>
        </w:rPr>
      </w:pPr>
      <w:r>
        <w:rPr>
          <w:rFonts w:ascii="Arial" w:cs="Arial" w:eastAsia="Arial" w:hAnsi="Arial"/>
          <w:sz w:val="16"/>
          <w:szCs w:val="16"/>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and scrap and inventory obsolescence. Manufacturing overhead expenses are currently a significant portion of our per-unit costs but continue to decline as our production volumes grow. These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firstLine="571"/>
        <w:spacing w:after="0" w:line="270" w:lineRule="auto"/>
        <w:rPr>
          <w:sz w:val="20"/>
          <w:szCs w:val="20"/>
          <w:color w:val="auto"/>
        </w:rPr>
      </w:pPr>
      <w:r>
        <w:rPr>
          <w:rFonts w:ascii="Arial" w:cs="Arial" w:eastAsia="Arial" w:hAnsi="Arial"/>
          <w:sz w:val="17"/>
          <w:szCs w:val="17"/>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among our pump products that utilize the same core infrastructure. However, we do expect our overall gross margin to fluctuate in future quarterly periods as a result of numerous factors besides those associated with production volumes, such as the Technology Upgrade Program and its related financial and accounting impact, the changing mix of products sold with different gross margins, the changing percentage of products sold to distributors versus directly to individual customers, varying levels of reimbursement among third-party payors, the timing and success of new product launches, warranty and training costs, and changes in our manufacturing processes, costs or output, changes in our manufacturing capacity or output as well as the impact of implementing additional automated manufacturing equipment and expanding our manufacturing facilities as we attempt to manufacture our products on a larger scale.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selling, general and administrative or SG&amp;A expenses primarily consist of salary, cash-based incentive compensation, fringe benefits and non-cash stock-based compensation for our executive, financial, marketing, sales, business development, regulatory affairs and administrative functions.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We expect our SG&amp;A expenses to increase as our business expands, including potential future expansions of the number of sales territories in which we operate.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R&amp;D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payments under our licensing, development and commercialization agreements and other indirect costs. We expect our R&amp;D expenses, including clinical trial costs, to increase as we initiate and advance our development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other income and expense primarily consists of interest expense and amortization of debt discount and debt issuance costs associated with the Term Loan Agreement. At June 30, 2016, there was $45.6 million of outstanding principal under the Term Loan Agreement, which accrues interest at a rate of 11.5% per annum. We expect interest expense to increase in 2016 as a result of additional borrowings under the Term Loan Agreement (see the section below entitled “Indebtedness”).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304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4"/>
                <w:szCs w:val="14"/>
                <w:color w:val="auto"/>
              </w:rPr>
            </w:pPr>
          </w:p>
        </w:tc>
        <w:tc>
          <w:tcPr>
            <w:tcW w:w="1100" w:type="dxa"/>
            <w:vAlign w:val="bottom"/>
          </w:tcPr>
          <w:p>
            <w:pPr>
              <w:jc w:val="right"/>
              <w:ind w:right="430"/>
              <w:spacing w:after="0" w:line="156" w:lineRule="exact"/>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30"/>
              <w:spacing w:after="0" w:line="156" w:lineRule="exact"/>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30"/>
              <w:spacing w:after="0" w:line="156" w:lineRule="exact"/>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30"/>
              <w:spacing w:after="0" w:line="156" w:lineRule="exact"/>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Sales</w:t>
            </w:r>
          </w:p>
        </w:tc>
        <w:tc>
          <w:tcPr>
            <w:tcW w:w="244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vMerge w:val="continue"/>
          </w:tcPr>
          <w:p>
            <w:pPr>
              <w:spacing w:after="0"/>
              <w:rPr>
                <w:sz w:val="19"/>
                <w:szCs w:val="19"/>
                <w:color w:val="auto"/>
              </w:rPr>
            </w:pPr>
          </w:p>
        </w:tc>
        <w:tc>
          <w:tcPr>
            <w:tcW w:w="244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22,985</w:t>
            </w:r>
          </w:p>
        </w:tc>
        <w:tc>
          <w:tcPr>
            <w:tcW w:w="38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15,706</w:t>
            </w:r>
          </w:p>
        </w:tc>
        <w:tc>
          <w:tcPr>
            <w:tcW w:w="3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43,043</w:t>
            </w:r>
          </w:p>
        </w:tc>
        <w:tc>
          <w:tcPr>
            <w:tcW w:w="3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14,809</w:t>
            </w:r>
          </w:p>
        </w:tc>
        <w:tc>
          <w:tcPr>
            <w:tcW w:w="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w:t>
            </w:r>
          </w:p>
        </w:tc>
        <w:tc>
          <w:tcPr>
            <w:tcW w:w="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27,939</w:t>
            </w:r>
          </w:p>
        </w:tc>
        <w:tc>
          <w:tcPr>
            <w:tcW w:w="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21,087</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19,599</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3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w:t>
            </w:r>
          </w:p>
        </w:tc>
        <w:tc>
          <w:tcPr>
            <w:tcW w:w="3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25,229</w:t>
            </w:r>
          </w:p>
        </w:tc>
        <w:tc>
          <w:tcPr>
            <w:tcW w:w="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23,472</w:t>
            </w:r>
          </w:p>
        </w:tc>
        <w:tc>
          <w:tcPr>
            <w:tcW w:w="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51,394</w:t>
            </w:r>
          </w:p>
        </w:tc>
        <w:tc>
          <w:tcPr>
            <w:tcW w:w="3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(17,053)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(18,671)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(36,290)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Interest and other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(1,379)</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(923)</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(2,744)</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3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3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(18,325)</w:t>
            </w:r>
          </w:p>
        </w:tc>
        <w:tc>
          <w:tcPr>
            <w:tcW w:w="3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(19,533)</w:t>
            </w:r>
          </w:p>
        </w:tc>
        <w:tc>
          <w:tcPr>
            <w:tcW w:w="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(38,809)</w:t>
            </w:r>
          </w:p>
        </w:tc>
        <w:tc>
          <w:tcPr>
            <w:tcW w:w="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Comparison of the Three Months Ended June 30, 2016 and 2015</w:t>
      </w:r>
    </w:p>
    <w:p>
      <w:pPr>
        <w:spacing w:after="0" w:line="229" w:lineRule="exact"/>
        <w:rPr>
          <w:sz w:val="20"/>
          <w:szCs w:val="20"/>
          <w:color w:val="auto"/>
        </w:rPr>
      </w:pPr>
    </w:p>
    <w:p>
      <w:pPr>
        <w:ind w:right="80" w:firstLine="571"/>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Sales for the three months ended June 30, 2016 were $23.0 million, representing an increase of 46% compared to sales of $15.7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2015.</w:t>
      </w:r>
    </w:p>
    <w:p>
      <w:pPr>
        <w:spacing w:after="0" w:line="170" w:lineRule="exact"/>
        <w:rPr>
          <w:sz w:val="20"/>
          <w:szCs w:val="20"/>
          <w:color w:val="auto"/>
        </w:rPr>
      </w:pPr>
    </w:p>
    <w:p>
      <w:pPr>
        <w:ind w:right="180" w:firstLine="571"/>
        <w:spacing w:after="0" w:line="264" w:lineRule="auto"/>
        <w:rPr>
          <w:sz w:val="20"/>
          <w:szCs w:val="20"/>
          <w:color w:val="auto"/>
        </w:rPr>
      </w:pPr>
      <w:r>
        <w:rPr>
          <w:rFonts w:ascii="Arial" w:cs="Arial" w:eastAsia="Arial" w:hAnsi="Arial"/>
          <w:sz w:val="18"/>
          <w:szCs w:val="18"/>
          <w:color w:val="auto"/>
        </w:rPr>
        <w:t>For the three months ended June 30, 2016 and 2015, sales of insulin pumps accounted for 79% and 83% of sales, respectively, while sales of pump-related supplies primarily accounted for the remainder of our sales during those periods. Sales of accessories were not material in either of the reported periods.</w:t>
      </w:r>
    </w:p>
    <w:p>
      <w:pPr>
        <w:spacing w:after="0" w:line="181" w:lineRule="exact"/>
        <w:rPr>
          <w:sz w:val="20"/>
          <w:szCs w:val="20"/>
          <w:color w:val="auto"/>
        </w:rPr>
      </w:pPr>
    </w:p>
    <w:p>
      <w:pPr>
        <w:jc w:val="both"/>
        <w:ind w:right="40" w:firstLine="571"/>
        <w:spacing w:after="0" w:line="312" w:lineRule="auto"/>
        <w:rPr>
          <w:sz w:val="20"/>
          <w:szCs w:val="20"/>
          <w:color w:val="auto"/>
        </w:rPr>
      </w:pPr>
      <w:r>
        <w:rPr>
          <w:rFonts w:ascii="Arial" w:cs="Arial" w:eastAsia="Arial" w:hAnsi="Arial"/>
          <w:sz w:val="16"/>
          <w:szCs w:val="16"/>
          <w:color w:val="auto"/>
        </w:rPr>
        <w:t>The increase in sales during the three months ended June 30, 2016 compared to the same period in 2015 was primarily attributable to a 38% increase in pump shipments from 3,331 in the second quarter of 2015 to 4,582 in the second quarter of 2016. The increase in sales during the three months ended June 30, 2016 compared to the same period in 2015 was also attributable to an increase in sales of pump supplies from our growing installed base.</w:t>
      </w:r>
    </w:p>
    <w:p>
      <w:pPr>
        <w:spacing w:after="0" w:line="147"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Sales to distributors accounted for 75% and 78% of our total sales for the three months ended June 30, 2016 and 2015, respectively. The percentage of sales to distributors versus direct customers is principally determined by the mix of customers ordering our products within the period and whether or not we have a contractual arrangement with their underlying third-party insurance payor. We anticipate sales to distributors as a percentage of our total sales to decrease modestly as a result of UnitedHealthcare’s decision to designate one of our competitors as their preferred, in-network durable medical equipment provider of insulin pumps for most customers over the age of 18.</w:t>
      </w:r>
    </w:p>
    <w:p>
      <w:pPr>
        <w:spacing w:after="0" w:line="188" w:lineRule="exact"/>
        <w:rPr>
          <w:sz w:val="20"/>
          <w:szCs w:val="20"/>
          <w:color w:val="auto"/>
        </w:rPr>
      </w:pPr>
    </w:p>
    <w:p>
      <w:pPr>
        <w:ind w:right="200" w:firstLine="571"/>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June 30, 2016 was $14.8 million, representing an increase of 36%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$10.9 million for the same period in 2015. Gross profit for the three months ended June 30, 2016 was $8.2 million and gross margin was 36%, compared to gross profit of $4.8 million and gross margin of 31% for the same period in 2015.</w:t>
      </w:r>
    </w:p>
    <w:p>
      <w:pPr>
        <w:spacing w:after="0" w:line="181" w:lineRule="exact"/>
        <w:rPr>
          <w:sz w:val="20"/>
          <w:szCs w:val="20"/>
          <w:color w:val="auto"/>
        </w:rPr>
      </w:pPr>
    </w:p>
    <w:p>
      <w:pPr>
        <w:ind w:right="20" w:firstLine="588"/>
        <w:spacing w:after="0" w:line="270" w:lineRule="auto"/>
        <w:rPr>
          <w:sz w:val="20"/>
          <w:szCs w:val="20"/>
          <w:color w:val="auto"/>
        </w:rPr>
      </w:pPr>
      <w:r>
        <w:rPr>
          <w:rFonts w:ascii="Arial" w:cs="Arial" w:eastAsia="Arial" w:hAnsi="Arial"/>
          <w:sz w:val="17"/>
          <w:szCs w:val="17"/>
          <w:color w:val="auto"/>
        </w:rPr>
        <w:t>The increase in our gross margin for the three months ended June 30, 2016 from the comparable period in 2015 was primarily due to a decrease in per-unit manufacturing overhead costs of our products, which was driven by increased production volumes and manufacturing efficiencies. We continue to increase our manufacturing operations and costs as we address increasing production volume requirements. Our manufacturing overhead costs have been, and we expect they will continue to be, a significant component of the costs of our products. As a result our manufacturing overhead costs have impacted, and may continue to impact, our gross margins as we attempt to manufacture our products on a larger scale, change our manufacturing processes, change our manufacturing capacity or output, implement additional automated manufacturing equipment and expand our manufacturing facilities. The gross margin was also positively impacted by the percentage of products sold to distributors versus directly to individual customers and the varying levels of reimbursement among third-party payors on our direct business. This increase was partially offset by an increase in sales of pump-related supplies, which generally have lower gross margins than our insulin pumps.</w:t>
      </w:r>
    </w:p>
    <w:p>
      <w:pPr>
        <w:spacing w:after="0" w:line="182"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Gross margin for both pumps and cartridges improved during the three months ended June 30, 2016 as compared to the same period in 2015. Our gross margin on the insulin pumps was higher than our gross margin on pump-related supplies for the quarters ended June 30, 2016 and 2015, and is expected to remain higher in the future. Other factors that impact our gross margins include warranty and training costs, new product launch scale-up, and other changes in our manufacturing processes, costs and output.</w:t>
      </w:r>
    </w:p>
    <w:p>
      <w:pPr>
        <w:spacing w:after="0" w:line="187"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8% to $21.1 million for the three months ended June 30, 2016 from $19.6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2015. The increase in SG&amp;A expenses was primarily associated with the expansion of our commercial operations during the first quarter of 2016. We expanded the number of our sales territories from 60 to 72 during the first quarter of 2016, as well as increased our customer and technical support personnel to service our growing customer base. Territories are maintained by sales representatives and field clinical specialists, and supported by managed care liaisons, additional sales management and other customer support personnel. Employee-related expenses for our sales, general and administrative functions comprise the majority of the SG&amp;A expenses. Employee-related expenses in the second quarter of 2016 increased $1.4 million, including an increase of $1.7 million in salaries, offset by a decrease in non-cash stock-based compensation of $0.2 million.</w:t>
      </w:r>
    </w:p>
    <w:p>
      <w:pPr>
        <w:spacing w:after="0" w:line="167" w:lineRule="exact"/>
        <w:rPr>
          <w:sz w:val="20"/>
          <w:szCs w:val="20"/>
          <w:color w:val="auto"/>
        </w:rPr>
      </w:pPr>
    </w:p>
    <w:p>
      <w:pPr>
        <w:ind w:right="240" w:firstLine="571"/>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7% to $4.1 million for the three months ended June 30, 2016 from $3.9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2015, primarily associated with an increase in employee-related expenses.</w:t>
      </w:r>
    </w:p>
    <w:p>
      <w:pPr>
        <w:spacing w:after="0" w:line="170" w:lineRule="exact"/>
        <w:rPr>
          <w:sz w:val="20"/>
          <w:szCs w:val="20"/>
          <w:color w:val="auto"/>
        </w:rPr>
      </w:pPr>
    </w:p>
    <w:p>
      <w:pPr>
        <w:ind w:right="80" w:firstLine="571"/>
        <w:spacing w:after="0" w:line="302" w:lineRule="auto"/>
        <w:rPr>
          <w:sz w:val="20"/>
          <w:szCs w:val="20"/>
          <w:color w:val="auto"/>
        </w:rPr>
      </w:pPr>
      <w:r>
        <w:rPr>
          <w:rFonts w:ascii="Arial" w:cs="Arial" w:eastAsia="Arial" w:hAnsi="Arial"/>
          <w:sz w:val="16"/>
          <w:szCs w:val="16"/>
          <w:i w:val="1"/>
          <w:iCs w:val="1"/>
          <w:color w:val="auto"/>
        </w:rPr>
        <w:t>Other Income and Expense</w:t>
      </w:r>
      <w:r>
        <w:rPr>
          <w:rFonts w:ascii="Arial" w:cs="Arial" w:eastAsia="Arial" w:hAnsi="Arial"/>
          <w:sz w:val="16"/>
          <w:szCs w:val="16"/>
          <w:color w:val="auto"/>
        </w:rPr>
        <w:t>. Other expense for the three months ended June 30, 2016 and 2015 was $1.4 million and $0.9 million, respectively.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for both periods was primarily comprised of interest expense associated with the Term Loan Agreement. The increase in expense was due to $15.0 million of additional borrowing under the Third Amendment in 2016. Interest currently accrues at a rate of 11.5% of the outstanding principal balances of $45.6 million and $30.0 million as of June 30, 2016 and June 30, 2015, respectively. Other income for both periods presented was not material.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Comparison of the Six Months Ended June 30, 2016 and 2015</w:t>
      </w:r>
    </w:p>
    <w:p>
      <w:pPr>
        <w:spacing w:after="0" w:line="229" w:lineRule="exact"/>
        <w:rPr>
          <w:sz w:val="20"/>
          <w:szCs w:val="20"/>
          <w:color w:val="auto"/>
        </w:rPr>
      </w:pPr>
    </w:p>
    <w:p>
      <w:pPr>
        <w:ind w:right="200" w:firstLine="588"/>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Sales for the six months ended June 30, 2016 were $43.0 million, representing an increase of 54% compared to sales of $28.0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2015.</w:t>
      </w:r>
    </w:p>
    <w:p>
      <w:pPr>
        <w:spacing w:after="0" w:line="170" w:lineRule="exact"/>
        <w:rPr>
          <w:sz w:val="20"/>
          <w:szCs w:val="20"/>
          <w:color w:val="auto"/>
        </w:rPr>
      </w:pPr>
    </w:p>
    <w:p>
      <w:pPr>
        <w:ind w:right="320" w:firstLine="588"/>
        <w:spacing w:after="0" w:line="264" w:lineRule="auto"/>
        <w:rPr>
          <w:sz w:val="20"/>
          <w:szCs w:val="20"/>
          <w:color w:val="auto"/>
        </w:rPr>
      </w:pPr>
      <w:r>
        <w:rPr>
          <w:rFonts w:ascii="Arial" w:cs="Arial" w:eastAsia="Arial" w:hAnsi="Arial"/>
          <w:sz w:val="18"/>
          <w:szCs w:val="18"/>
          <w:color w:val="auto"/>
        </w:rPr>
        <w:t>For the six months ended June 30, 2016 and 2015, sales of insulin pumps accounted for 80% and 82% of sales, respectively, while sales of pump-related supplies primarily accounted for the remainder of our sales during those periods. Sales of accessories were not material in either of the reported periods.</w:t>
      </w:r>
    </w:p>
    <w:p>
      <w:pPr>
        <w:spacing w:after="0" w:line="181"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increase in sales during the six months ended June 30, 2016 compared to the same period in 2015 was primarily attributable to a 48% increase in pump shipments from 5,818 in the first six months of 2015 to 8,624 in the first six months of 2016. During the first six months of 2016, we expanded from 60 to 72 sales territories. The increase in sales during the six months ended June 30, 2016 compared to the same period in 2015 was also attributable to an increase in sales of pump supplies from our growing installed base.</w:t>
      </w:r>
    </w:p>
    <w:p>
      <w:pPr>
        <w:spacing w:after="0" w:line="187" w:lineRule="exact"/>
        <w:rPr>
          <w:sz w:val="20"/>
          <w:szCs w:val="20"/>
          <w:color w:val="auto"/>
        </w:rPr>
      </w:pPr>
    </w:p>
    <w:p>
      <w:pPr>
        <w:ind w:firstLine="633"/>
        <w:spacing w:after="0" w:line="264" w:lineRule="auto"/>
        <w:rPr>
          <w:sz w:val="20"/>
          <w:szCs w:val="20"/>
          <w:color w:val="auto"/>
        </w:rPr>
      </w:pPr>
      <w:r>
        <w:rPr>
          <w:rFonts w:ascii="Arial" w:cs="Arial" w:eastAsia="Arial" w:hAnsi="Arial"/>
          <w:sz w:val="18"/>
          <w:szCs w:val="18"/>
          <w:color w:val="auto"/>
        </w:rPr>
        <w:t>Sales to distributors accounted for 76% and 77% of our total sales for the six months ended June 30, 2016 and 2015, respectively. The mix of sales to distributors versus direct customers is principally determined by whether or not we have a contractual arrangement with the underlying third-party insurance payor.</w:t>
      </w:r>
    </w:p>
    <w:p>
      <w:pPr>
        <w:spacing w:after="0" w:line="181" w:lineRule="exact"/>
        <w:rPr>
          <w:sz w:val="20"/>
          <w:szCs w:val="20"/>
          <w:color w:val="auto"/>
        </w:rPr>
      </w:pPr>
    </w:p>
    <w:p>
      <w:pPr>
        <w:ind w:right="300" w:firstLine="588"/>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six months ended June 30, 2016 was $27.9 million, representing an increase of 37%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$20.4 million for the same period in 2015. Gross profit for the six months ended June 30, 2016 was $15.1 million and gross margin was 35% compared to gross profit of $7.6 million and gross margin of 27% for the same period in 2015.</w:t>
      </w:r>
    </w:p>
    <w:p>
      <w:pPr>
        <w:spacing w:after="0" w:line="181" w:lineRule="exact"/>
        <w:rPr>
          <w:sz w:val="20"/>
          <w:szCs w:val="20"/>
          <w:color w:val="auto"/>
        </w:rPr>
      </w:pPr>
    </w:p>
    <w:p>
      <w:pPr>
        <w:ind w:right="40" w:firstLine="588"/>
        <w:spacing w:after="0" w:line="257" w:lineRule="auto"/>
        <w:rPr>
          <w:sz w:val="20"/>
          <w:szCs w:val="20"/>
          <w:color w:val="auto"/>
        </w:rPr>
      </w:pPr>
      <w:r>
        <w:rPr>
          <w:rFonts w:ascii="Arial" w:cs="Arial" w:eastAsia="Arial" w:hAnsi="Arial"/>
          <w:sz w:val="18"/>
          <w:szCs w:val="18"/>
          <w:color w:val="auto"/>
        </w:rPr>
        <w:t>The increase in our gross margin for the six months ended June 30, 2016 from the comparable period in 2015, was primarily due to a decrease in per-unit manufacturing overhead costs of our products, which was driven by increased production volumes and manufacturing efficiencies. The gross margin was also positively impacted by the percentage of products sold to distributors versus directly to individual customers and the varying levels of reimbursement among third-party payors on our direct business. This increase was partially offset by an increase in sales of pump-related supplies, which generally have lower gross margins than our insulin pumps.</w:t>
      </w:r>
    </w:p>
    <w:p>
      <w:pPr>
        <w:spacing w:after="0" w:line="188" w:lineRule="exact"/>
        <w:rPr>
          <w:sz w:val="20"/>
          <w:szCs w:val="20"/>
          <w:color w:val="auto"/>
        </w:rPr>
      </w:pPr>
    </w:p>
    <w:p>
      <w:pPr>
        <w:ind w:right="200" w:firstLine="588"/>
        <w:spacing w:after="0" w:line="28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11% to $43.1 million for the six months ended June 30, 2016 from $39.0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2015. The increase in SG&amp;A expenses was primarily associated with the expansion of our commercial operations during the first quarter of 2016. Employee-related expenses for our sales, general and administrative functions comprise the majority of the SG&amp;A expenses. Such employee-related expenses increased $3.2 million in the six months ended June 30, 2016 as compared to the same period in 2015, including an increase of $3.4 million in salaries and $0.7 million in sales commissions and bonuses, offset by a decrease in non-cash stock-based compensation of $0.9</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million. SG&amp;A expenses also increased $0.9 million associated with outside services, marketing and promotional activities, tradeshows and travel expenses.</w:t>
      </w:r>
    </w:p>
    <w:p>
      <w:pPr>
        <w:spacing w:after="0" w:line="234" w:lineRule="exact"/>
        <w:rPr>
          <w:sz w:val="20"/>
          <w:szCs w:val="20"/>
          <w:color w:val="auto"/>
        </w:rPr>
      </w:pPr>
    </w:p>
    <w:p>
      <w:pPr>
        <w:ind w:right="40" w:firstLine="647"/>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7% to $8.3 million for the six months ended June 30, 2016 from $7.7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2015, primarily associated with an increase in employee-related expenses and expenses for outside services.</w:t>
      </w:r>
    </w:p>
    <w:p>
      <w:pPr>
        <w:spacing w:after="0" w:line="170" w:lineRule="exact"/>
        <w:rPr>
          <w:sz w:val="20"/>
          <w:szCs w:val="20"/>
          <w:color w:val="auto"/>
        </w:rPr>
      </w:pPr>
    </w:p>
    <w:p>
      <w:pPr>
        <w:ind w:right="220" w:firstLine="571"/>
        <w:spacing w:after="0" w:line="257" w:lineRule="auto"/>
        <w:rPr>
          <w:sz w:val="20"/>
          <w:szCs w:val="20"/>
          <w:color w:val="auto"/>
        </w:rPr>
      </w:pPr>
      <w:r>
        <w:rPr>
          <w:rFonts w:ascii="Arial" w:cs="Arial" w:eastAsia="Arial" w:hAnsi="Arial"/>
          <w:sz w:val="18"/>
          <w:szCs w:val="18"/>
          <w:i w:val="1"/>
          <w:iCs w:val="1"/>
          <w:color w:val="auto"/>
        </w:rPr>
        <w:t xml:space="preserve">Other Income and Expense. </w:t>
      </w:r>
      <w:r>
        <w:rPr>
          <w:rFonts w:ascii="Arial" w:cs="Arial" w:eastAsia="Arial" w:hAnsi="Arial"/>
          <w:sz w:val="18"/>
          <w:szCs w:val="18"/>
          <w:color w:val="auto"/>
        </w:rPr>
        <w:t>Other expense for the six months ended June 30, 2016 and 2015 was $2.7 million and $1.8 million, respectively.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both periods was primarily comprised of interest expense associated with the Term Loan Agreement. The increase in expense was due to $15.0 million of additional borrowing under the Third Amendment in the six months ended June 30, 2016. Interest currently accrues at a rate of 11.5% of the outstanding principal balances of $45.6 million and $30.2 million as of June 30, 2016 and December 31, 2015, respectively. Other income for both periods presented was not material.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At June 30, 2016, we had $56.3 million in cash, cash equivalents and short-term investments, which included $2.0 million of restricted cash. We believe that our cash on hand, cash generated from operations, cash available under the Term Loan Agreement, proceeds from the exercise of options and warrants, and proceeds from employee contributions for the purchase of our common stock through our ESPP will be sufficient to satisfy our liquidity requirements for at least the next 12 months. We expect that our sales performance and the resulting operating income or loss, as well as the status of each of our new product development programs, will significantly impact our cash management decisions. We have utilized, and may continue to utilize, debt arrangements with debt providers and financial institutions to finance our operations. Factors such as interest rates, repayment terms and available cash will impact our decision regarding whether to continue to utilize debt arrangements as a source of cash, including whether to draw additional amounts available to us under the Term Loan Agreement. In November 2013, we completed an initial public offering of common stock that resulted in net proceeds of approximately $125.0 million, and in the first quarter of 2015 we completed a public offering of common stock that resulted in net proceeds of approximately $64.9 million. In the future, we may give consideration to additional public offerings of equity securities as a source of financing. In December 2014, we filed a registration statement on Form S-3 with the Securities and Exchange Commission (“SEC”), which was declared effective on December 19, 2014. Under this shelf registration statement, we may from time to time offer and sell any combination of common stock, preferred stock, warrants or units in one or more offerings.</w:t>
      </w:r>
    </w:p>
    <w:p>
      <w:pPr>
        <w:spacing w:after="0" w:line="188" w:lineRule="exact"/>
        <w:rPr>
          <w:sz w:val="20"/>
          <w:szCs w:val="20"/>
          <w:color w:val="auto"/>
        </w:rPr>
      </w:pPr>
    </w:p>
    <w:p>
      <w:pPr>
        <w:ind w:right="40" w:firstLine="571"/>
        <w:spacing w:after="0" w:line="25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arrangements, and cash generated from operations. Our historical cash outflows have primarily been associated with cash used for operating activities such as the expansion and support of our sales and marketing infrastructure, an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six months ended June 30,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Six Months Ended</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 2016</w:t>
            </w: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ind w:right="878"/>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jc w:val="right"/>
              <w:ind w:right="8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FF0FC"/>
            </w:tcBorders>
            <w:shd w:val="clear" w:color="auto" w:fill="000000"/>
          </w:tcPr>
          <w:p>
            <w:pPr>
              <w:spacing w:after="0" w:line="20" w:lineRule="exact"/>
              <w:rPr>
                <w:sz w:val="1"/>
                <w:szCs w:val="1"/>
                <w:color w:val="auto"/>
              </w:rPr>
            </w:pPr>
          </w:p>
        </w:tc>
        <w:tc>
          <w:tcPr>
            <w:tcW w:w="3480" w:type="dxa"/>
            <w:vAlign w:val="bottom"/>
            <w:tcBorders>
              <w:bottom w:val="single" w:sz="8" w:color="CFF0FC"/>
            </w:tcBorders>
          </w:tcPr>
          <w:p>
            <w:pPr>
              <w:spacing w:after="0" w:line="20" w:lineRule="exact"/>
              <w:rPr>
                <w:sz w:val="1"/>
                <w:szCs w:val="1"/>
                <w:color w:val="auto"/>
              </w:rPr>
            </w:pPr>
          </w:p>
        </w:tc>
        <w:tc>
          <w:tcPr>
            <w:tcW w:w="210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6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(29,437)</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(34,180)</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4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(12,838)</w:t>
            </w:r>
          </w:p>
        </w:tc>
        <w:tc>
          <w:tcPr>
            <w:tcW w:w="4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71"/>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$29.4 million for the six months ended June 30, 2016, compared to $34.2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2015. The change in net cash used in operating activities was primarily associated with a decrease in our operating loss and changes in working capital. The changes in working capital were primarily due to improvement in cash collection from accounts receivable and changes in accounts payable, employee-related liabilities and other current liabilities, and offset by an increase in inventory to meet higher production volumes, including those associated with new products, and an increase in prepaid expenses.</w:t>
      </w:r>
    </w:p>
    <w:p>
      <w:pPr>
        <w:spacing w:after="0" w:line="188"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was $45,000 for the six months ended June 30, 2016, which was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of $22.7 million of short-term investments and $4.0 million of property and equipment, offset by proceeds from maturities of short-term investments of $26.8 million. Net cash used in investing activities was $18.0 million for the six months ended June 30, 2015, which was primarily related to the net purchase of $59.0 million in short-term investments and $2.4 million of property and equipment, offset by proceeds from maturities of short-term investments of $43.5 million.</w:t>
      </w:r>
    </w:p>
    <w:p>
      <w:pPr>
        <w:spacing w:after="0" w:line="188" w:lineRule="exact"/>
        <w:rPr>
          <w:sz w:val="20"/>
          <w:szCs w:val="20"/>
          <w:color w:val="auto"/>
        </w:rPr>
      </w:pPr>
    </w:p>
    <w:p>
      <w:pPr>
        <w:ind w:right="60" w:firstLine="571"/>
        <w:spacing w:after="0" w:line="297"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provided by financing activities was $16.6 million for the six months ended June 30, 2016, which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net proceeds in the amount of $15.0 million in connection with the Third Amendment and $1.6 million in proceeds from the issuance of common stock through our ESPP, as well as the exercise of outstanding stock options and warrants. Net cash provided by financing activities was $66.9 million for the six months ended June 30, 2015, which was primarily the result of the net proceeds from a public offering of our common stock in the amount of $64.9 million and $2.0 million in proceeds from the issuance of common stock through our ESPP, as well as the exercise of outstanding stock options and warrants.</w:t>
      </w:r>
    </w:p>
    <w:p>
      <w:pPr>
        <w:spacing w:after="0" w:line="158" w:lineRule="exact"/>
        <w:rPr>
          <w:sz w:val="20"/>
          <w:szCs w:val="20"/>
          <w:color w:val="auto"/>
        </w:rPr>
      </w:pPr>
    </w:p>
    <w:p>
      <w:pPr>
        <w:ind w:right="40" w:firstLine="571"/>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For example, our cash inflow and outflow may be impacted by the following:</w:t>
      </w:r>
    </w:p>
    <w:p>
      <w:pPr>
        <w:spacing w:after="0" w:line="170" w:lineRule="exact"/>
        <w:rPr>
          <w:sz w:val="20"/>
          <w:szCs w:val="20"/>
          <w:color w:val="auto"/>
        </w:rPr>
      </w:pPr>
    </w:p>
    <w:p>
      <w:pPr>
        <w:ind w:left="1520" w:hanging="378"/>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and the timing of those sales from period to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working capital; and</w:t>
      </w:r>
    </w:p>
    <w:p>
      <w:pPr>
        <w:spacing w:after="0" w:line="225" w:lineRule="exact"/>
        <w:rPr>
          <w:rFonts w:ascii="Arial" w:cs="Arial" w:eastAsia="Arial" w:hAnsi="Arial"/>
          <w:sz w:val="18"/>
          <w:szCs w:val="18"/>
          <w:color w:val="auto"/>
        </w:rPr>
      </w:pPr>
    </w:p>
    <w:p>
      <w:pPr>
        <w:ind w:left="580" w:right="3120" w:firstLine="562"/>
        <w:spacing w:after="0" w:line="563" w:lineRule="auto"/>
        <w:tabs>
          <w:tab w:leader="none" w:pos="15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decision whether to draw additional amounts available under the Term Loan Agreement. Our primary short-term capital needs, which are subject to change, include expenditures related to:</w:t>
      </w:r>
    </w:p>
    <w:p>
      <w:pPr>
        <w:spacing w:after="0" w:line="1" w:lineRule="exact"/>
        <w:rPr>
          <w:rFonts w:ascii="Arial" w:cs="Arial" w:eastAsia="Arial" w:hAnsi="Arial"/>
          <w:sz w:val="16"/>
          <w:szCs w:val="16"/>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Technology Upgrade Program;</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our manufacturing capacity and efficiency;</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research and product development efforts;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of equipment and other fixed assets;</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expansion needs; and</w:t>
      </w:r>
    </w:p>
    <w:p>
      <w:pPr>
        <w:spacing w:after="0" w:line="225" w:lineRule="exact"/>
        <w:rPr>
          <w:rFonts w:ascii="Arial" w:cs="Arial" w:eastAsia="Arial" w:hAnsi="Arial"/>
          <w:sz w:val="18"/>
          <w:szCs w:val="18"/>
          <w:color w:val="auto"/>
        </w:rPr>
      </w:pPr>
    </w:p>
    <w:p>
      <w:pPr>
        <w:ind w:left="1520" w:hanging="378"/>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Although we believe the foregoing items reflect our most likely uses of cash in the short-term, we cannot predict with certainty all of our particular short-term cash uses or the timing or amount of cash used. If cash generated from operations is insufficient to satisfy our working capital and capital expenditure requirements, we may be required to sell additional equity or debt securities or obtain additional credit facilities. There can be no assurance that equity or debt financing will be available on satisfactory terms, or at all. Further, any additional equity financing may be dilutive to stockholders, and debt financing, if available, may include restrictive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December 31, 2015, we had $30.2 million aggregate borrowings outstanding under the Term Loan Agreement. In January 2016, we entered into a third amendment to our Term Loan Agreement, which allowed us to borrow up to an additional $50.0 million. We borrowed $15.0 million in January 2016, and the Third Amendment provides us with a one-time option to draw up to an additional $35.0 million in increments of $5.0 million on or before December 31, 2016.</w:t>
      </w:r>
    </w:p>
    <w:p>
      <w:pPr>
        <w:spacing w:after="0" w:line="187" w:lineRule="exact"/>
        <w:rPr>
          <w:sz w:val="20"/>
          <w:szCs w:val="20"/>
          <w:color w:val="auto"/>
        </w:rPr>
      </w:pPr>
    </w:p>
    <w:p>
      <w:pPr>
        <w:ind w:right="60" w:firstLine="571"/>
        <w:spacing w:after="0" w:line="297" w:lineRule="auto"/>
        <w:rPr>
          <w:sz w:val="20"/>
          <w:szCs w:val="20"/>
          <w:color w:val="auto"/>
        </w:rPr>
      </w:pPr>
      <w:r>
        <w:rPr>
          <w:rFonts w:ascii="Arial" w:cs="Arial" w:eastAsia="Arial" w:hAnsi="Arial"/>
          <w:sz w:val="16"/>
          <w:szCs w:val="16"/>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Term Loan Agreement provided for prepayment fees in an amount equal to 1.0% of the outstanding balance of the loan if the loan is repaid prior to March 31, 2017, after which there is no prepayment fee.</w:t>
      </w:r>
    </w:p>
    <w:p>
      <w:pPr>
        <w:spacing w:after="0" w:line="158" w:lineRule="exact"/>
        <w:rPr>
          <w:sz w:val="20"/>
          <w:szCs w:val="20"/>
          <w:color w:val="auto"/>
        </w:rPr>
      </w:pPr>
    </w:p>
    <w:p>
      <w:pPr>
        <w:ind w:right="20" w:firstLine="571"/>
        <w:spacing w:after="0" w:line="302" w:lineRule="auto"/>
        <w:rPr>
          <w:sz w:val="20"/>
          <w:szCs w:val="20"/>
          <w:color w:val="auto"/>
        </w:rPr>
      </w:pPr>
      <w:r>
        <w:rPr>
          <w:rFonts w:ascii="Arial" w:cs="Arial" w:eastAsia="Arial" w:hAnsi="Arial"/>
          <w:sz w:val="16"/>
          <w:szCs w:val="16"/>
          <w:color w:val="auto"/>
        </w:rPr>
        <w:t>We had elected to pay interest in cash at a rate of 11.5% per annum through September 30, 2015. For the six months ended June 30, 2016 and the three months ended December 31, 2015, we elected to pay interest in cash at a rate of 9.5% per annum and to have a rate of 2.0% per annum added to the principal of the loan. As a result, $442,000 and $153,000 was added to the principal of the loan for the six months ended June 30, 2016 and the three months ended December 31, 2015, respectively. As of June 30, 2016, we had $45.6 million of aggregate borrowings outstanding under the Term Loan Agreement.</w:t>
      </w:r>
    </w:p>
    <w:p>
      <w:pPr>
        <w:spacing w:after="0" w:line="154" w:lineRule="exact"/>
        <w:rPr>
          <w:sz w:val="20"/>
          <w:szCs w:val="20"/>
          <w:color w:val="auto"/>
        </w:rPr>
      </w:pPr>
    </w:p>
    <w:p>
      <w:pPr>
        <w:ind w:right="180" w:firstLine="571"/>
        <w:spacing w:after="0" w:line="312" w:lineRule="auto"/>
        <w:rPr>
          <w:sz w:val="20"/>
          <w:szCs w:val="20"/>
          <w:color w:val="auto"/>
        </w:rPr>
      </w:pPr>
      <w:r>
        <w:rPr>
          <w:rFonts w:ascii="Arial" w:cs="Arial" w:eastAsia="Arial" w:hAnsi="Arial"/>
          <w:sz w:val="16"/>
          <w:szCs w:val="16"/>
          <w:color w:val="auto"/>
        </w:rPr>
        <w:t>The loan is collateralized by all of our assets. The Term Loan Agreement also imposes various affirmative and negative covenants on us. The principal financial covenants require that we attain minimum annual revenues of $65.0 million in 2016, $80.0 million in 2017 and $95.0 million each year thereafter until the end of the term of the loan. At June 30, 2016, we were in compliance with all of the covenants in the Term Loan Agreement.</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3" w:name="page24"/>
    <w:bookmarkEnd w:id="23"/>
    <w:p>
      <w:pPr>
        <w:ind w:firstLine="571"/>
        <w:spacing w:after="0" w:line="286" w:lineRule="auto"/>
        <w:rPr>
          <w:sz w:val="20"/>
          <w:szCs w:val="20"/>
          <w:color w:val="auto"/>
        </w:rPr>
      </w:pPr>
      <w:r>
        <w:rPr>
          <w:rFonts w:ascii="Arial" w:cs="Arial" w:eastAsia="Arial" w:hAnsi="Arial"/>
          <w:sz w:val="17"/>
          <w:szCs w:val="17"/>
          <w:color w:val="auto"/>
        </w:rPr>
        <w:t>Under the Third Amendment, we have agreed to pay, on the earlier of (i) the Maturity Date; (ii) the date that the loan under the Term Loan Agreement becomes due, and (iii) the date on which we make a voluntary pre-payment of the loan, a financing fee equal to three percent (3.0%) of the sum of (x) the aggregate amount drawn under the Third Amendment, and (y) any PIK Loans issued in relation to the Third Amendment.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2016, we did not have any off-balance sheet arrangements.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June 30, 2016, this change would not have had a material effect on the fair value of our investment portfolio as of that date.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do not currently have any material exposure to foreign currency rate fluctuations.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As of June 30, 2016,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June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June 30, 2016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20" w:firstLine="571"/>
        <w:spacing w:after="0" w:line="286" w:lineRule="auto"/>
        <w:rPr>
          <w:sz w:val="20"/>
          <w:szCs w:val="20"/>
          <w:color w:val="auto"/>
        </w:rPr>
      </w:pPr>
      <w:r>
        <w:rPr>
          <w:rFonts w:ascii="Arial" w:cs="Arial" w:eastAsia="Arial" w:hAnsi="Arial"/>
          <w:sz w:val="17"/>
          <w:szCs w:val="17"/>
          <w:color w:val="auto"/>
        </w:rPr>
        <w:t>From time to time we may be involved in various disputes and litigation matters that arise in the ordinary course of business. We are currently not a party to any material legal proceedings. There can be no assurance that existing or future legal proceedings arising in the ordinary course of business or otherwise will not have a material adverse effect on our business, financial position,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The following sets forth certain risk factors associated with our business. The risk factors set forth below marked with an asterisk (*) next to the title contain changes to the description of the risk factors associated with our business previously disclosed in Part I, Item 1A of our Annual Report on Form 10-K for the year ended December 31, 2015.</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June 30, 2016, we had an accumulated deficit of $359.9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research and development of our products, the scaling of manufacturing operations and our commercial organization, the commercial launch of our products, and the assembly of a management team to manage our business.</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began commercial sales of our first commercial product, the t:slim pump, in the third quarter of 2012. We began commercial sales of the t:flex pump in the second quarter of 2015 and the t:slim G4 pump in the third quarter of 2015. Since the first quarter of 2013, we have been able to manufacture and sell our insulin pump products at a cost and in volumes sufficient to allow us to achieve a positive overall gross margin. For the years ended December 31, 2015 and 2014, our gross profit was $26.6 million and $15.2 million, respectively. For the three months ended June 30, 2016 and 2015, our gross profit was $8.2 million and $4.8 million, respectively. However, although we have achieved a positive overall gross margin, we still operate at a substantial net loss and expect that we will continue to do so for the next several years.</w:t>
      </w:r>
    </w:p>
    <w:p>
      <w:pPr>
        <w:spacing w:after="0" w:line="193"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To implement our business strategy we need to, among other things, grow our sales, clinical and marketing infrastructure to increase sales of our products, fund ongoing research and development activities, expand our manufacturing capabilities, and obtain regulatory clearance or approval to commercialize our products currently under development. We expect our expenses to increase significantly as we pursue these objectives. The extent of our future operating losses and the timing of profitability are highly uncertain, especially given that we intend to launch several new products and product features, and offer a Technology Upgrade Program, which makes forecasting our sales more difficult. Any additional operating losses will have an adverse effect on our stockholders’ equity, and we cannot assure you that we will ever be able to achieve or sustain profitability.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implementation of our Technology Update Program may result in unanticipated difficulties or costs, which may harm our financial condition or operating results; the Update Program will result in accounting complexities that may be difficult for investors to understand and may lead to confusion when comparing our historical and future financial results. *</w:t>
      </w:r>
    </w:p>
    <w:p>
      <w:pPr>
        <w:spacing w:after="0" w:line="181"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In July 2016, we announced the implementation of a Technology Upgrade Program that will allow eligible t:slim and t:slim G4 Pump customers the ability to upgrade from their existing pump to a t:slim X2 Pump, subject to the conditions specified in the Upgrade Program. The Upgrade Program is being offered to provide our existing customers the ability to upgrade to the features and capabilities of the t:slim X2 Pump once it is commercially launched.</w:t>
      </w:r>
    </w:p>
    <w:p>
      <w:pPr>
        <w:ind w:right="960"/>
        <w:spacing w:after="0" w:line="261" w:lineRule="auto"/>
        <w:rPr>
          <w:sz w:val="20"/>
          <w:szCs w:val="20"/>
          <w:color w:val="auto"/>
        </w:rPr>
      </w:pPr>
      <w:r>
        <w:rPr>
          <w:rFonts w:ascii="Arial" w:cs="Arial" w:eastAsia="Arial" w:hAnsi="Arial"/>
          <w:sz w:val="18"/>
          <w:szCs w:val="18"/>
          <w:color w:val="auto"/>
        </w:rPr>
        <w:t>However, we do not have any experience implementing exchange programs of this type and we may encounter unexpected difficulties or costs in administering or fulfilling our obligations under the Upgrade Program.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right="100" w:firstLine="518"/>
        <w:spacing w:after="0" w:line="308" w:lineRule="auto"/>
        <w:rPr>
          <w:sz w:val="20"/>
          <w:szCs w:val="20"/>
          <w:color w:val="auto"/>
        </w:rPr>
      </w:pPr>
      <w:r>
        <w:rPr>
          <w:rFonts w:ascii="Arial" w:cs="Arial" w:eastAsia="Arial" w:hAnsi="Arial"/>
          <w:sz w:val="17"/>
          <w:szCs w:val="17"/>
          <w:color w:val="auto"/>
        </w:rPr>
        <w:t>If we incur unexpected difficulties or costs in administering the Upgrade Program, or if we do not derive the anticipated benefits to our business from offering the Upgrade Program to our customers, it could have a material adverse effect on our financial condition and operating results.</w:t>
      </w:r>
    </w:p>
    <w:p>
      <w:pPr>
        <w:spacing w:after="0" w:line="14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Furthermore, the implementation of the Upgrade Program will result in a number of accounting complexities that will make comparisons of our future and historical financial results more difficult. In particular, United States generally accepted accounting principles (“GAAP”) prevent the Company from recognizing, at the time of sale, the full amount of the revenue and cost of goods sold associated with the sale of t:slim and t:slim G4 pumps made to eligible customers during the Upgrade Program. Instead, depending on the type of pump sold, the Company will be required to defer some or all of the revenues and costs of goods sold until a later date, which will generally be the earlier of when our obligations under the Upgrade Program are satisfied or when the Upgrade Program expires. The amount and timing of the deferred revenues and cost of goods sold will depend on multiple factors that are based on future events that are difficult to estimate or predict. In addition, because we have not offered a similar exchange program in the past, we do not have the experience necessary to predict some of these factors. Accordingly, it is very difficult for us to estimate the amount of the deferrals with any level of certainty, which makes it very difficult for us to predict our GAAP results, including revenues and operating margins, with any level of certainty.</w:t>
      </w:r>
    </w:p>
    <w:p>
      <w:pPr>
        <w:spacing w:after="0" w:line="16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Despite our efforts to explain the anticipated accounting treatment, it is possible that investors or analysts will view the accounting treatment or the resulting impact on our GAAP financial results negatively, or it may lead to confusion when comparing our historical and future financial results, which may cause our stock price to decline. In addition, the complexities associated with the accounting treatment, or with the Upgrade Program generally, may cause investors to avoid purchasing our common stock until the impact of the Upgrade Program is better understood or the Company financial results and trends are more predictable, which also may adversely impact our stock price. Finally, while the anticipated accounting treatment for the Upgrade Program as described above represents our current expectations based on information currently available, it is preliminary and subject to change in the future.</w:t>
      </w:r>
    </w:p>
    <w:p>
      <w:pPr>
        <w:spacing w:after="0" w:line="165"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 *</w:t>
      </w:r>
    </w:p>
    <w:p>
      <w:pPr>
        <w:spacing w:after="0" w:line="101"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color w:val="auto"/>
        </w:rPr>
        <w:t>We believe that our ability to reduce the per-unit cost of our insulin pump products and related cartridges will have a significant impact on our ability to achieve profitability. Due to our existing production volumes relative to our potential production capacity, manufacturing costs are currently a significant portion of our per-unit costs. Our manufacturing costs include raw material procurement costs, labor costs, product-training expenses and expected warranty expenses. They also include manufacturing overhead costs, including expenses relating to quality assurance, inventory control, facilities, equipment, information technology, and operations management. If we are unable to sustain or reduce our overall manufacturing costs, including through arrangements such as volume purchase discounts, negotiation of improved pricing, more efficient training programs for customers, and improved warranty performance, it will be difficult to reduce our per unit manufacturing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expected per unit costs. If we are unable to effectively manage our overall manufacturing costs, while increasing our production volumes, we may not be able to achieve or sustain profitability, which would have an adverse impact on our business and financial condition.</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 *</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We generate a significant majority of our commercial revenue from the sale of our family of insulin pump products, which include our t:slim, t:flex and t:slim G4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of our insulin pumps may be negatively impacted by many factors, including:</w:t>
      </w:r>
    </w:p>
    <w:p>
      <w:pPr>
        <w:spacing w:after="0" w:line="225" w:lineRule="exact"/>
        <w:rPr>
          <w:sz w:val="20"/>
          <w:szCs w:val="20"/>
          <w:color w:val="auto"/>
        </w:rPr>
      </w:pPr>
    </w:p>
    <w:p>
      <w:pPr>
        <w:ind w:left="1040" w:right="48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rates or policies relating to insulin pumps or similar products or technologies by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ind w:left="1040" w:right="50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rFonts w:ascii="Arial" w:cs="Arial" w:eastAsia="Arial" w:hAnsi="Arial"/>
          <w:sz w:val="18"/>
          <w:szCs w:val="18"/>
          <w:color w:val="auto"/>
        </w:rPr>
      </w:pPr>
    </w:p>
    <w:p>
      <w:pPr>
        <w:ind w:left="1040" w:right="88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of our Tandem Device Updater to accurately and timely provide customers with remote access to new product features as anticipated;</w:t>
      </w:r>
    </w:p>
    <w:p>
      <w:pPr>
        <w:spacing w:after="0" w:line="170" w:lineRule="exact"/>
        <w:rPr>
          <w:rFonts w:ascii="Arial" w:cs="Arial" w:eastAsia="Arial" w:hAnsi="Arial"/>
          <w:sz w:val="18"/>
          <w:szCs w:val="18"/>
          <w:color w:val="auto"/>
        </w:rPr>
      </w:pPr>
    </w:p>
    <w:p>
      <w:pPr>
        <w:ind w:left="1040" w:right="56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 products obsolete or less desirable;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In addition, sales of any of our current or future insulin pump products with integration of CGM, such as the t:slim G4, are subject to the continuation of our applicable agreements with DexCom, which are subject to termination by DexCom, with or without cause, on relatively short notice.</w:t>
      </w:r>
    </w:p>
    <w:p>
      <w:pPr>
        <w:spacing w:after="0" w:line="14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 *</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current business strategy is highly dependent on our family of insulin pump products, which include t:slim, t:flex and t:slim G4, achieving and maintaining market acceptance. In order for us to sell our products to people with insulin-dependent diabetes, we must convince them, their caregivers and healthcare providers that it is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as to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040" w:right="44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our products to achieve wide acceptance among people with insulin-dependent diabetes, their caregivers, insulin-prescribing healthcare providers, third-party payors and key opinion leaders in the diabetes treatment community;</w:t>
      </w:r>
    </w:p>
    <w:p>
      <w:pPr>
        <w:spacing w:after="0" w:line="170" w:lineRule="exact"/>
        <w:rPr>
          <w:rFonts w:ascii="Arial" w:cs="Arial" w:eastAsia="Arial" w:hAnsi="Arial"/>
          <w:sz w:val="18"/>
          <w:szCs w:val="18"/>
          <w:color w:val="auto"/>
        </w:rPr>
      </w:pPr>
    </w:p>
    <w:p>
      <w:pPr>
        <w:ind w:left="1040" w:right="42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associated with the use of our insulin pump products or similar products or technologies generally;</w:t>
      </w:r>
    </w:p>
    <w:p>
      <w:pPr>
        <w:spacing w:after="0" w:line="225"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clinical studies relating to t:slim, t:flex, t:slim G4 or similar competitive products.</w:t>
      </w:r>
    </w:p>
    <w:p>
      <w:pPr>
        <w:spacing w:after="0" w:line="225"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In addition, t:slim, t:flex and t:slim G4 may be perceived by people with insulin-dependent diabetes, their caregivers or healthcare providers to be more complicated, less reliable or less effective than traditional insulin therapies, including MDI, and people may be unwilling to change their current treatment regimens.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Moreover, we believe that healthcare providers tend to be slow to change their medical treatment practices because of perceived liability risks arising from the use of new products and the uncertainty of third-party reimbursement. Accordingly, healthcare providers may not recommend our products until there is sufficient evidence to convince them to alter the treatment methods they typically recommend, such as receiving recommendations from prominent healthcare providers or other key opinion leaders in the diabetes treatment community that our products are effective in providing insulin therapy. Additionally, payors may have more stringent requirements for reimbursement.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20" w:firstLine="518"/>
        <w:spacing w:after="0" w:line="293" w:lineRule="auto"/>
        <w:rPr>
          <w:sz w:val="20"/>
          <w:szCs w:val="20"/>
          <w:color w:val="auto"/>
        </w:rPr>
      </w:pPr>
      <w:r>
        <w:rPr>
          <w:rFonts w:ascii="Arial" w:cs="Arial" w:eastAsia="Arial" w:hAnsi="Arial"/>
          <w:sz w:val="16"/>
          <w:szCs w:val="16"/>
          <w:color w:val="auto"/>
        </w:rPr>
        <w:t>Further, even if we are able to convince people with insulin-dependent diabetes, their caregivers or healthcare providers that our products compare favorably to the products and treatment alternatives offered by our competitors,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third quarter of 2015 there were consumers interested in purchasing one of our insulin pump products who may have delayed the purchase decision in anticipation of the release of t:slim G4. It is also possible that consumers interested in purchasing any of our future products currently in development, such as the t:slim X2, may delay the purchase of one of our current products.</w:t>
      </w:r>
    </w:p>
    <w:p>
      <w:pPr>
        <w:spacing w:after="0" w:line="165"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projected amounts. If our sales do not meet our projections, we may fail to meet our strategic objectives, and our business, financial condition and operating results could be materially and adversely affected.</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have derived nearly all of our revenue from sales of t:slim, t:flex and t:slim G4 pumps and associated supplies, and expect to continue to do so until we are able to commercialize our other products that are currently under development.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Because we only recently initiated commercial sales of t:flex and t:slim G4, there remains some uncertainty regarding the coverage that third-party payors will offer for these products, particularly for individuals with type 2 diabetes where coverage requirements may necessitate additional laboratory tests or other information to support a determination of medical necessity. Access to adequate coverage and reimbursement for our current and future products by third-party payors is essential to the acceptance of our products by customers.</w:t>
      </w:r>
    </w:p>
    <w:p>
      <w:pPr>
        <w:spacing w:after="0" w:line="179"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Many third-party payors use coverage decisions and payment amounts determined by the Centers for Medicare and Medicaid Services, or CMS, which administers the U.S. Medicare program, as guidelines in setting their coverage and reimbursement policies. Medicare periodically reviews its reimbursement practices for diabetes-related products. Medicare implemented a competitive bidding process for blood glucose strip reimbursement, which resulted in a significant reduction in the reimbursement rate for those products. More recently, Medicare has also initiated a competitive bidding process for insulin pumps in limited geographies.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payors may adopt similar policies in the future, which would adversely impact our ability to sell our products.</w:t>
      </w:r>
    </w:p>
    <w:p>
      <w:pPr>
        <w:spacing w:after="0" w:line="16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156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addition,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 *</w:t>
      </w:r>
    </w:p>
    <w:p>
      <w:pPr>
        <w:spacing w:after="0" w:line="170"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or technologies, or other activities of industry participants. We expect our products will compete directly with a number of traditional insulin pumps as well as other methods for the treatment of diabetes. In particular, we expect that the competitive landscape for t:flex, t:slim G4 and our products under development will be similar to that of t:slim.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ind w:firstLine="518"/>
        <w:spacing w:after="0" w:line="279" w:lineRule="auto"/>
        <w:rPr>
          <w:sz w:val="20"/>
          <w:szCs w:val="20"/>
          <w:color w:val="auto"/>
        </w:rPr>
      </w:pPr>
      <w:r>
        <w:rPr>
          <w:rFonts w:ascii="Arial" w:cs="Arial" w:eastAsia="Arial" w:hAnsi="Arial"/>
          <w:sz w:val="17"/>
          <w:szCs w:val="17"/>
          <w:color w:val="auto"/>
        </w:rPr>
        <w:t>Many of our existing and potential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There are also newer companies entering the field.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Many of these more established competitors enjoy several competitive advantages over us, including:</w:t>
      </w:r>
    </w:p>
    <w:p>
      <w:pPr>
        <w:spacing w:after="0" w:line="225" w:lineRule="exact"/>
        <w:rPr>
          <w:sz w:val="20"/>
          <w:szCs w:val="20"/>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and product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and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some cases, an established base of long-time customers;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some instances, our competitors also offer products that include features that we do not currently offer. For instance, Medtronic currently offers a traditional insulin pump that is integrated with a CGM system with a threshold suspend feature, and Insulet offers an insulin pump with a tubeless delivery system that does not utilize an infusion set. Medtronic also recently announced that it has submitted for FDA approval of a new insulin pump product with additional functionality and a new CGM system. For these and other reasons, we may not be able to compete successfully against our current or potential future competitors. As a result, we may fail to meet our strategic objectives and forecasted budget, and our business, financial condition and operating results could be materially and adversely affected.</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breakthroughs for the monitoring, treatment or prevention of diabetes or technological developments may render our products obsolete or less desirable.</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ability to achieve our strategic objectives will depend, among other things, on our ability to develop and commercialize products for the treatment of diabetes that offer distinct features,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technological or treatment advancements could occur in the future could cause consumers to delay the purchase of our products.</w:t>
      </w:r>
    </w:p>
    <w:p>
      <w:pPr>
        <w:spacing w:after="0" w:line="16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the entry of multiple new products has led some of our competitors to employ pricing strategies, including the use of discounts, rebates, low cost product upgrades or other financial incentives that could adversely affect sales of our products. If a competitor develops a product that competes with or is perceived to be superior to our own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40" w:firstLine="518"/>
        <w:spacing w:after="0" w:line="302" w:lineRule="auto"/>
        <w:rPr>
          <w:sz w:val="20"/>
          <w:szCs w:val="20"/>
          <w:color w:val="auto"/>
        </w:rPr>
      </w:pPr>
      <w:r>
        <w:rPr>
          <w:rFonts w:ascii="Arial" w:cs="Arial" w:eastAsia="Arial" w:hAnsi="Arial"/>
          <w:sz w:val="16"/>
          <w:szCs w:val="16"/>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continual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selling and training new customers on the use of our products, which could harm our ability to achieve our sales and service objectives.*</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only limited experience marketing and selling our products as well as training new customers on their use. For example, we do not have significant experience training new customers on the use of continuous glucose monitoring, which we are required to provide to customers in connection with the commercialization of t:slim G4. As a result, we may face unexpected challenges marketing and selling t:slim G4 and any future products that utilize continuous glucose monitoring. In addition, the vast majority of our existing customers are individuals with type 1 diabetes, and we have only limited experience marketing and selling our products to customers with type 2 diabetes. As a result, we may face unexpected challenges marketing and selling t:flex.</w:t>
      </w:r>
    </w:p>
    <w:p>
      <w:pPr>
        <w:spacing w:after="0" w:line="158"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expect to derive nearly all of our revenue from the sale of t:slim, t:flex, t:slim G4 and pump-related supplies unless and until we receive regulatory clearance or approval for other products currently in development. As a result, our financial condition and operating results are and will continue to be highly dependent on the ability of our sales representatives to adequately promote, market and sell our current family of insulin pumps,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marketing and clinical infrastructure effectively and on a timely basis, we may fail to increase our sales to meet our forecasts.*</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 key element of our business strategy is the continued expansion of our sales, clinical and marketing infrastructure to drive adoption of our products, which includes our team of diabetes educators that trains new customers on the use of our products. We have rapidly increased the number of sales, marketing and clinical personnel employed by us since the initial commercial launch of t:slim in 2012. However, we have faced considerable challenges in growing and managing our sales, marketing and clinical force over the past 12-18 months, including with respect to recruiting, training and assimilation of new territories and accounts. We expect to continue to face significant challenges as we manage and grow our sales, marketing and clinical infrastructure and work to motivate and retain the individuals who make up those networks. These challenges may be even greater in light of our plans to further expand our commercial organization during 2016, especially because newly hired sales, clinical and marketing representatives require training and take time to achieve full productivity. Moreover, the expansion of our sales force has disrupted, and we expect that it will continue to disrupt the productivity of our existing sales representatives. Unexpected turnover, especially during a period of anticipated expansion,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we may not be able to successfully train new customers on the use of our products,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-351155</wp:posOffset>
            </wp:positionV>
            <wp:extent cx="28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expect that the management and future expansion of our sales, marketing and clinical personnel will continue to place significant burdens on our management team. If we are unable to retain and expand our sales, marketing and clinical capabilities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sales and marketing efforts are dependent on independent distributors who are free to market products that compete with our own. If we are unable to maintain or expand our network of independent distributors, our sales may be negatively affected.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ind w:firstLine="518"/>
        <w:spacing w:after="0" w:line="289" w:lineRule="auto"/>
        <w:rPr>
          <w:sz w:val="20"/>
          <w:szCs w:val="20"/>
          <w:color w:val="auto"/>
        </w:rPr>
      </w:pPr>
      <w:r>
        <w:rPr>
          <w:rFonts w:ascii="Arial" w:cs="Arial" w:eastAsia="Arial" w:hAnsi="Arial"/>
          <w:sz w:val="16"/>
          <w:szCs w:val="16"/>
          <w:color w:val="auto"/>
        </w:rPr>
        <w:t>For the year ended December 31, 2015, sales to approximately 40 independent distributors represented approximately 77% of our sales. While our goal is to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on a direct basis.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Some of our independent distributors account for a significant portion of our sales volume. For the year ended December 31, 2015, our two largest independent distributors comprised approximately 35% of our sales. If any of our key independent distributors were to cease to distribute our products,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 *</w:t>
      </w:r>
    </w:p>
    <w:p>
      <w:pPr>
        <w:spacing w:after="0" w:line="170" w:lineRule="exact"/>
        <w:rPr>
          <w:sz w:val="20"/>
          <w:szCs w:val="20"/>
          <w:color w:val="auto"/>
        </w:rPr>
      </w:pPr>
    </w:p>
    <w:p>
      <w:pPr>
        <w:ind w:right="140" w:firstLine="571"/>
        <w:spacing w:after="0" w:line="272"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these third parties on a timely basis or on acceptable terms, or these third parties do not successfully carry out their contractual duties or regulatory obligations or meet expected deadlines,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7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patients in our current and anticipated clinical trials and other third parties to manage such trials and to perform related data collection and analysis, and, as a result, we may face costs and delays that are outside of our control. *</w:t>
      </w:r>
    </w:p>
    <w:p>
      <w:pPr>
        <w:spacing w:after="0" w:line="18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The failure to retain a high percentage of our customers would negatively impact our revenue growth and may have a material adverse effect on our business, financial condition and operating results.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right="64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right="240" w:firstLine="518"/>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rapidly.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Moreover, even if our market research has allowed us to better understand the features consumers are seeking in an insulin pump to improve management of their diabetes therapy, there can be no assurance that consumers will actually purchase our products or that our competitors will not develop products with similar features.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may face difficulties encountered by companies early in their commercialization in competitive and rapidly evolving markets.</w:t>
      </w:r>
    </w:p>
    <w:p>
      <w:pPr>
        <w:spacing w:after="0" w:line="170"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especially with respect to the impact of t:flex and t:slim G4 on our mix of product sales and our overall growth rate.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158" w:lineRule="exact"/>
        <w:rPr>
          <w:sz w:val="20"/>
          <w:szCs w:val="20"/>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 and improve the productivity of our sales, clinical and marketing infrastructure to grow sales of our existing and proposed products;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awareness of our brand and build loyalty among people with insulin-dependent diabetes, their caregivers and healthcare providers;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expanding operations, including complying with a broad range of legal requirements within a highly regulated industry;</w:t>
      </w:r>
    </w:p>
    <w:p>
      <w:pPr>
        <w:spacing w:after="0" w:line="225"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manufacturing capabilities, including increasing production of current products efficiently while maintaining quality standards and adapting our manufacturing facilities to the production of new products;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commercialize proposed products and enhance our existing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ind w:right="120" w:firstLine="518"/>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risks may adversely affect our ability to manufacture products and could negatively impact our sales and operating margins. *</w:t>
      </w:r>
    </w:p>
    <w:p>
      <w:pPr>
        <w:spacing w:after="0" w:line="23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81"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 of implementing and maintaining acceptable quality systems while experiencing rapid growth;</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modify production lines to enable us to efficiently produce future products or implement changes in current products in response to regulatory requirements;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These risks are likely to be exacerbated by our limited experience with our current products and manufacturing processes. 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derive the anticipated improvements from these investments. We recently entered into a new lease agreement for additional facilities to consolidate substantially all of our manufacturing, warehousing and other operational needs, and any transition of our current manufacturing, warehousing and other operations to a new facility is subject to additional risk and uncertainty. If we fail to increase our production capacity efficiently while also maintaining quality requirements, our sales may not increase in line with our forecasts and our operating margins could fluctuate or decline.</w:t>
      </w:r>
    </w:p>
    <w:p>
      <w:pPr>
        <w:spacing w:after="0" w:line="19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addition, although we expect some of our products in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It may not be possible for us to manufacture these products at a cost or in quantities sufficient to make these products commercially viable.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components, and the loss of any of these suppliers, or their inability to provide us with an adequate supply of materials, could harm our business.</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 upon specifications, at acceptable costs and on a timely basis. Increases in our product sales, whether forecasted or unanticipated, could strain the ability of our suppliers to deliver an increasingly large supply of components in a manner that meets these various requirements.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right="20" w:firstLine="518"/>
        <w:spacing w:after="0" w:line="255" w:lineRule="auto"/>
        <w:rPr>
          <w:sz w:val="20"/>
          <w:szCs w:val="20"/>
          <w:color w:val="auto"/>
        </w:rPr>
      </w:pPr>
      <w:r>
        <w:rPr>
          <w:rFonts w:ascii="Arial" w:cs="Arial" w:eastAsia="Arial" w:hAnsi="Arial"/>
          <w:sz w:val="18"/>
          <w:szCs w:val="18"/>
          <w:color w:val="auto"/>
        </w:rPr>
        <w:t>We do not have long-term supply agreements with most of our suppliers and, in many cases, we make our purchases on a purchase order basis. Under most of our supply agreements, we have no obligation to buy any given quantity of products, and our suppliers have no obligation to manufacture for us or sell to us any given quantity of products. As a result, our ability to purchase adequate quantities of our products may be limited. Additionally, our suppliers may encounter problems that limit their ability to manufacture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w:t>
      </w:r>
    </w:p>
    <w:p>
      <w:pPr>
        <w:spacing w:after="0" w:line="19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generally use a small number of suppliers for our products. Depending on a limited number of suppliers exposes us to risks, including limited control over pricing, availability, quality and delivery schedules. Moreover, due to the recent commercialization of our products and the limited amount of our sales to date,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16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may also have difficulty obtaining similar components from other suppliers that are acceptable to the FDA, or other regulatory agencies, and the failure of our suppliers to comply with strictly enforced regulatory requirements could expose us to regulatory action including warning letters, product recalls, termination of distribution, product seizures or civil penalties. It could also require us to cease using the components, seek alternative components or technologies and modify our products to incorporate alternative components or technologies, which could result in a requirement to seek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a single location comprised of five buildings, and any disruption at this location could adversely affect our business and operating results.</w:t>
      </w:r>
    </w:p>
    <w:p>
      <w:pPr>
        <w:spacing w:after="0" w:line="17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or finished goods, cause substantial delays in our operations, result in the loss of key information, and cause us to incur additional expenses. Our insurance may not cover our losses in any particular case. In addition, regardless of the level of insurance coverage, damage to our facilities may have a material adverse effect on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our product offerings through our research and development efforts, we may fail to effectively compete or become profitable.</w:t>
      </w:r>
    </w:p>
    <w:p>
      <w:pPr>
        <w:spacing w:after="0" w:line="24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158" w:lineRule="exact"/>
        <w:rPr>
          <w:sz w:val="20"/>
          <w:szCs w:val="20"/>
          <w:color w:val="auto"/>
        </w:rPr>
      </w:pPr>
    </w:p>
    <w:p>
      <w:pPr>
        <w:ind w:left="1040" w:right="34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product features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If we fail to generate demand by developing products that incorporate features requested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and commercial launch,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t:slim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w:t>
      </w:r>
    </w:p>
    <w:p>
      <w:pPr>
        <w:spacing w:after="0" w:line="18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7"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Moreover, we monitor and investigate incoming customer complaints on an ongoing basis, particularly following the launch of new products or changes to our existing products. Changes to our existing products may include changes to hardware or software, including remote software updates made using our Tandem Device Updater, or changes to manufacturing methods or procedures. 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93"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and existing and potential collaborators, and could adversely affect our operating results and cause a decline in our stock price.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166"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Additionally, we may not be in a position to exercise sole decision 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our collaborators and us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6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example, we entered into a Development and Commercialization Agreement with DexCom, which provides us a non-exclusive license to integrate the DexCom G4 PLATINUM CGM System with t:slim G4 during the term of the agreement. This agreement currently runs until January 4, 2018, with automatic one-year renewals. The license granted covers the United States and other territories may be added from time to time. Under certain circumstances, the agreement may be terminated by either party without cause or on short notice. Termination of this agreement could require us to redesign t:slim G4 and attempt to integrate an alternative CGM system into our insulin pump systems, which would require significant development and regulatory activities that could result in an interruption in the availability of the product to our customers.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there are significant disruptions in our information technology systems, our business, financial condition and operating results could be adversely affected.*</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our cloud-based data management application, and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 marketed insulin pumps, and our products currently in development contain software, which could be subject to computer virus or hacker attacks or other failures. As a result of the recent FDA clearance of our Tandem Device Updater, which enables customers to remotely update the software on their insulin pumps, these risks are significantly increased.</w:t>
      </w:r>
    </w:p>
    <w:p>
      <w:pPr>
        <w:spacing w:after="0" w:line="17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updated software for our pumps, which we anticipate will allow customers remote access to new and enhanced features, including future continuous glucose monitoring integration and artificial pancreas pump algorithms. The failure of our Tandem Device Updater to provide software updates as we anticipate, including as a result of our inability to secure and maintain necessary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Our rapid growth has placed, and we expect that it will continue to place, a significant strain on our management team and financial resources. For example, between December 31, 2014 and December 31, 2015 our employee base increased approximately 10% and we expect to continue to experience growth of our employee base during 2016. In addition, during late 2015 and early 2016 we experienced turnover among key employees in our sales, marketing and clinical functions, including the recent hiring of a new Chief Commercial Officer. Our failure to manage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the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124"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these funds may not be available on acceptable terms or at all. *</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At June 30, 2016, we had $56.3 million in cash, cash equivalents and short-term investments, which included $2.0 million of restricted cash. We believe that our cash on hand, cash available under the Term Loan Agreement, cash generated from operations, and cash proceeds from the exercise of warrants and options will be sufficient to satisfy our liquidity requirements for at least the next 12 months. However, the continued growth of our business, including the expansion of our sales, clinical and marketing infrastructure, research and development activities, and manufacturing capabilities, will continue to increase our expenses. In addition, the amount of our future product sales is difficult to predict and actual sales may not be in line with our forecasts. As a result, we may seek additional funds in the future. Our future capital requirements will depend on many factors, including:</w:t>
      </w:r>
    </w:p>
    <w:p>
      <w:pPr>
        <w:spacing w:after="0" w:line="165" w:lineRule="exact"/>
        <w:rPr>
          <w:sz w:val="20"/>
          <w:szCs w:val="20"/>
          <w:color w:val="auto"/>
        </w:rPr>
      </w:pPr>
    </w:p>
    <w:p>
      <w:pPr>
        <w:ind w:left="1040" w:hanging="384"/>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revenue generated by sales of our family of insulin pump products, and any other future products that we may develop and commercialize;</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sales and marketing infrastructure;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we incur in maintaining our manufacturing facility and adding additional manufacturing equipment and capacity;</w:t>
      </w:r>
    </w:p>
    <w:p>
      <w:pPr>
        <w:spacing w:after="0" w:line="225" w:lineRule="exact"/>
        <w:rPr>
          <w:rFonts w:ascii="Arial" w:cs="Arial" w:eastAsia="Arial" w:hAnsi="Arial"/>
          <w:sz w:val="18"/>
          <w:szCs w:val="18"/>
          <w:color w:val="auto"/>
        </w:rPr>
      </w:pPr>
    </w:p>
    <w:p>
      <w:pPr>
        <w:ind w:left="1040" w:right="580" w:hanging="384"/>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associated with developing and commercializing our proposed products or technologies, including any costs associated with the Technology Upgrade Program;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current or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we incur in connection with potential litigation or governmental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a result of these and other factors, we do not know the extent to which we may be required to raise additional capital. We may in the future seek additional capital from public or private offerings of our capital stock, we may elect to borrow additional amounts under the Term Loan Agreement under new credit lines or other sources. In particular, we have an effective shelf registration statement on file with the SEC, under which we may offer to sell equity securities.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If we are unable to raise additional capital, we may not be able to expand our sales and marketing infrastructure, enhance our current products or develop new products, take advantage of future opportunities, or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 *</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81" w:lineRule="exact"/>
        <w:rPr>
          <w:sz w:val="20"/>
          <w:szCs w:val="20"/>
          <w:color w:val="auto"/>
        </w:rPr>
      </w:pPr>
    </w:p>
    <w:p>
      <w:pPr>
        <w:ind w:left="1040" w:right="6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sales of our currently available insulin pump products and to commercialize and sell our future products, and the number of our products sold in each quarter;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accounting impact of our Technology Upgrade Program;</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pricing of our products and competitive products, including the use of discounts, rebates or other financial incentives by our competitors;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grow an effective sales, clinical and marketing infrastructure;</w:t>
      </w:r>
    </w:p>
    <w:p>
      <w:pPr>
        <w:spacing w:after="0" w:line="225" w:lineRule="exact"/>
        <w:rPr>
          <w:rFonts w:ascii="Arial" w:cs="Arial" w:eastAsia="Arial" w:hAnsi="Arial"/>
          <w:sz w:val="18"/>
          <w:szCs w:val="18"/>
          <w:color w:val="auto"/>
        </w:rPr>
      </w:pPr>
    </w:p>
    <w:p>
      <w:pPr>
        <w:ind w:left="1040" w:right="32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and reliability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revenue recognition associated with our product sales pursuant to applicable accounting standards.</w:t>
      </w:r>
    </w:p>
    <w:p>
      <w:pPr>
        <w:spacing w:after="0" w:line="225" w:lineRule="exact"/>
        <w:rPr>
          <w:sz w:val="20"/>
          <w:szCs w:val="20"/>
          <w:color w:val="auto"/>
        </w:rPr>
      </w:pPr>
    </w:p>
    <w:p>
      <w:pPr>
        <w:ind w:right="100" w:firstLine="588"/>
        <w:spacing w:after="0" w:line="279" w:lineRule="auto"/>
        <w:rPr>
          <w:sz w:val="20"/>
          <w:szCs w:val="20"/>
          <w:color w:val="auto"/>
        </w:rPr>
      </w:pPr>
      <w:r>
        <w:rPr>
          <w:rFonts w:ascii="Arial" w:cs="Arial" w:eastAsia="Arial" w:hAnsi="Arial"/>
          <w:sz w:val="17"/>
          <w:szCs w:val="17"/>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the t:slim X2 pump, there will be an increasing number of customers anticipating its availability and they may delay their purchasing decisions until they could include the t:slim X2 in their decision-making process.</w:t>
      </w:r>
    </w:p>
    <w:p>
      <w:pPr>
        <w:spacing w:after="0" w:line="17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addition, we will continue to increase our operating expenses as we expand our business. Accordingly, we may experience substantial variability in our operating results from quarter to quarter, including anticipated or unanticipated quarterly losses.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our indebtedness, which currently consists of our credit facility with Capital Royalty Partners. *</w:t>
      </w:r>
    </w:p>
    <w:p>
      <w:pPr>
        <w:spacing w:after="0" w:line="260" w:lineRule="exact"/>
        <w:rPr>
          <w:sz w:val="20"/>
          <w:szCs w:val="20"/>
          <w:color w:val="auto"/>
        </w:rPr>
      </w:pPr>
    </w:p>
    <w:p>
      <w:pPr>
        <w:ind w:firstLine="571"/>
        <w:spacing w:after="0" w:line="269" w:lineRule="auto"/>
        <w:rPr>
          <w:sz w:val="20"/>
          <w:szCs w:val="20"/>
          <w:color w:val="auto"/>
        </w:rPr>
      </w:pPr>
      <w:r>
        <w:rPr>
          <w:rFonts w:ascii="Arial" w:cs="Arial" w:eastAsia="Arial" w:hAnsi="Arial"/>
          <w:sz w:val="17"/>
          <w:szCs w:val="17"/>
          <w:color w:val="auto"/>
        </w:rPr>
        <w:t>At December 31, 2015, we had $30.2 million aggregate borrowings outstanding under the Term Loan Agreement. In January 2016, we entered into a third amendment to our Term Loan Agreement, which allowed us to borrow up to an additional $50.0 million. We borrowed $15.0 million in January 2016, and the Third Amendment provides us with a one-time option to draw up to an additional $35.0 million in increments of $5.0 million on or before December 31, 2016.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 If our cash balances or cash flows from operations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In addition, in the event of our breach of the Term Loan Agreement, we may be required to repay any outstanding amounts earlier than anticipated.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w:t>
      </w:r>
    </w:p>
    <w:p>
      <w:pPr>
        <w:spacing w:after="0" w:line="22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therefore may not be able to engage in any of the foregoing transactions unless we obtain the consent of the lenders or terminate the applicable Term Loan Agreement. 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our agreement. Further, there is no guarantee that future working capital, borrowings or equity financing will be available to repay or refinance the amounts outstanding under a given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 *</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June 30, 2016, our patent portfolio consisted of approximately 45 issued U.S. patents and 50 pending U.S. patent applications. Of these, our issued U.S. patents expire between approximately 2021 and 2034. We are also seeking patent protection for our proprietary technology in other countries throughout the world. In addition, we own two pending U.S. trademark applications as well as 22 trademark registrations, including nine U.S. trademark registrations and 13 foreign trademark registrations.</w:t>
      </w:r>
    </w:p>
    <w:p>
      <w:pPr>
        <w:spacing w:after="0" w:line="18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w:t>
      </w:r>
    </w:p>
    <w:p>
      <w:pPr>
        <w:spacing w:after="0" w:line="178"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We rely on our trademarks and trade names to distinguish our products from the products of our competitors, and have registered or applied to register many of these trademarks. We cannot assure you that our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8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desire to defend our patents or trademarks against challenges or to enforce our intellectual property rights. Litigation also puts our patents at risk of being invalidated or interpreted narrowly and our patent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3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From time to time, we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24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2" w:name="page43"/>
    <w:bookmarkEnd w:id="42"/>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8"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initially received pre-market clearance for t:slim under Section 510(k) of the FDCA in November 2011. We obtained 510(k) clearance for t:connect and t:flex in February 2013 and January 2015, respectively. From time to time, we may make modifications to these products that may require a new 510(k). We received 510(k) clearance for modifications to t:slim and its associated cartridge during 2014 and we are pursuing, and expect to continue to pursue, 510(k) clearance for additional modifications to t:slim and t:flex in the future. For instance, in July 2016 we received 510(k) clearance to reduce the age in our indications for use of the t:slim to age six. Also in July 2016, we received 510(k) clearance for the first use of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In addition, the FDA may determine that future products will require the more costly, lengthy and uncertain PMA process.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25"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products are safe and effective for their intended users;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we may evaluate international expansion opportunities in the future.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comply any such requirements, our international expansion and business could be significantly harmed.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ind w:right="22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pre-market approvals, or may require us to cease marketing or recall the modified products until clearances are obtained.</w:t>
      </w:r>
    </w:p>
    <w:p>
      <w:pPr>
        <w:spacing w:after="0" w:line="17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previously concluded that new clearances or approvals were not necessary, we may be required to cease marketing or to recall the modified product until we obtain clearance or approval, and we may be subject to significant regulatory fines or penalties.</w:t>
      </w:r>
    </w:p>
    <w:p>
      <w:pPr>
        <w:spacing w:after="0" w:line="17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Further, the FDA’s ongoing review of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our third-party suppliers or we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Our third-party suppliers and we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our suppliers or we have significant non-compliance issues or if any corrective action plan that our suppliers or we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and have an adverse effect on our reputation, financial condition and operating results, which could impair our ability to produce our products in a cost-effective and timely manner.</w:t>
      </w:r>
    </w:p>
    <w:p>
      <w:pPr>
        <w:spacing w:after="0" w:line="17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left="1040" w:right="180" w:hanging="384"/>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healthcare programs’ Anti-Kickback Law,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040" w:right="34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040" w:right="1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HIPAA of 1996, which created federal criminal laws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 and</w:t>
      </w:r>
    </w:p>
    <w:p>
      <w:pPr>
        <w:spacing w:after="0" w:line="225"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 person or entity can now be found guilty under the PPACA without actual knowledge of the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statutes. Possible sanctions for violation of these anti-kickback laws include monetary fines, civil and criminal penalties, exclusion from Medicare and Medicaid programs and forfeiture of amounts collected in violation of those prohibitions. Any violations of these laws, or any action against us for violation of these laws, even if we successfully defend against it, could result in a material adverse effect on our reputation, business, financial condition and operating results.</w:t>
      </w:r>
    </w:p>
    <w:p>
      <w:pPr>
        <w:spacing w:after="0" w:line="19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off-label promotion of our products.</w:t>
      </w:r>
    </w:p>
    <w:p>
      <w:pPr>
        <w:spacing w:after="0" w:line="225"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Product liability claims are expensive to defend and could result in substantial damage awards against us and harm our reputation.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Legislative or regulatory healthcare reforms may make it more difficult and costly for us to obtain regulatory clearance or approval of our products.</w:t>
      </w:r>
    </w:p>
    <w:p>
      <w:pPr>
        <w:spacing w:after="0" w:line="24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Recent political, economic and regulatory influences are subjecting the healthcare industry to fundamental changes. 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contain or reduce the cost of healthcare. This legislation and regulation may result in decreased reimbursement for medical devices, which may further exacerbate industry-wide pressure to reduce the prices charged for medical devices. This could harm our ability to market our products and generate sales.</w:t>
      </w:r>
    </w:p>
    <w:p>
      <w:pPr>
        <w:spacing w:after="0" w:line="19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products. Delays in receipt of or failure to receive regulatory clearances or approvals for our proposed products would have a material adverse effect on our business, financial condition and operating results.</w:t>
      </w:r>
    </w:p>
    <w:p>
      <w:pPr>
        <w:spacing w:after="0" w:line="18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Federal and state governments in the United States have enacted legislation to overhaul the nation’s healthcare system. While the goal of healthcare reform is to expand coverage to more individuals, it also involves increased government price controls, additional regulatory mandates and other measures designed to constrain medical costs. The PPACA substantially changes the way healthcare is financed by both governmental and private insurers, encourages improvements in the quality of healthcare items and services and significantly impacts the medical device industries. Among other things, the PPACA:</w:t>
      </w:r>
    </w:p>
    <w:p>
      <w:pPr>
        <w:spacing w:after="0" w:line="154" w:lineRule="exact"/>
        <w:rPr>
          <w:sz w:val="20"/>
          <w:szCs w:val="20"/>
          <w:color w:val="auto"/>
        </w:rPr>
      </w:pPr>
    </w:p>
    <w:p>
      <w:pPr>
        <w:ind w:left="1040" w:right="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identify priorities in and conduct comparative clinical effectiveness research;</w:t>
      </w:r>
    </w:p>
    <w:p>
      <w:pPr>
        <w:spacing w:after="0" w:line="170" w:lineRule="exact"/>
        <w:rPr>
          <w:rFonts w:ascii="Arial" w:cs="Arial" w:eastAsia="Arial" w:hAnsi="Arial"/>
          <w:sz w:val="18"/>
          <w:szCs w:val="18"/>
          <w:color w:val="auto"/>
        </w:rPr>
      </w:pPr>
    </w:p>
    <w:p>
      <w:pPr>
        <w:ind w:left="1040" w:right="400" w:hanging="384"/>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23"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creates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Most recently, on August 2, 2011, the President signed into law the Budget Control Act of 2011, which, among other things, creates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commenced in 2013. The uncertainties regarding the ultimate features of the PPACA and other healthcare reform initiatives and their enactment and implementation may have an adverse effect on our customers’ purchasing decisions regarding our products. In the coming years,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or the PPACA, may have on our business and operations, and any of these impacts may be adverse on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PPACA imposes, among other things, an annual excise tax of 2.3% on any entity that manufactures or imports medical devices offered for sale in the United States beginning in 2013. Under these provisions, the Congressional Research Service predicts that the total cost to the medical device industry may be up to $20 billion over the next decade. We do not believe that our current products are currently subject to this tax based on the retail exemption under applicable Treasury Regulations. However, the availability of this exemption is subject to interpretation by the IRS, and the IRS may disagree with our analysis. In addition, future products that we manufacture, produce or import may be subject to this tax. The financial impact this tax may have on our business is unclear and there can be no assurance that our business will not be materially adversely affected by 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certain of our executive officers, directors and principal stockholders will be able to exert control over us and our significant corporate decisions. *</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Based on an aggregate of 30,613,173 shares of our common stock outstanding as of June 30, 2016, our executive officers and directors, and their affiliates owned, in the aggregate, approximately 39%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70"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040" w:right="2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040" w:right="26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then by the affirmative vote of the holders of a majority of the outstanding shares;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As of December 31, 2015, we had federal net operating loss, or NOL, carryforwards of approximately $226.3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which we refer to as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58" w:lineRule="exact"/>
        <w:rPr>
          <w:sz w:val="20"/>
          <w:szCs w:val="20"/>
          <w:color w:val="auto"/>
        </w:rPr>
      </w:pPr>
    </w:p>
    <w:p>
      <w:pPr>
        <w:jc w:val="both"/>
        <w:ind w:right="220" w:firstLine="518"/>
        <w:spacing w:after="0" w:line="288" w:lineRule="auto"/>
        <w:rPr>
          <w:sz w:val="20"/>
          <w:szCs w:val="20"/>
          <w:color w:val="auto"/>
        </w:rPr>
      </w:pPr>
      <w:r>
        <w:rPr>
          <w:rFonts w:ascii="Arial" w:cs="Arial" w:eastAsia="Arial" w:hAnsi="Arial"/>
          <w:sz w:val="16"/>
          <w:szCs w:val="16"/>
          <w:color w:val="auto"/>
        </w:rPr>
        <w:t>Although we have determined that it is more likely than not that an ownership change occurred in March 2015, we have not completed an update of our Section 382 analysis subsequent to December 31, 2013. When this analysis is finalized, we will reassess the amount of net operating losses and credits subject to limitation under Section 382.We may also experience ownership changes in the future as a result of subsequent shifts in our stock ownership.</w:t>
      </w:r>
    </w:p>
    <w:p>
      <w:pPr>
        <w:jc w:val="both"/>
        <w:ind w:right="240"/>
        <w:spacing w:after="0" w:line="261" w:lineRule="auto"/>
        <w:rPr>
          <w:sz w:val="20"/>
          <w:szCs w:val="20"/>
          <w:color w:val="auto"/>
        </w:rPr>
      </w:pPr>
      <w:r>
        <w:rPr>
          <w:rFonts w:ascii="Arial" w:cs="Arial" w:eastAsia="Arial" w:hAnsi="Arial"/>
          <w:sz w:val="18"/>
          <w:szCs w:val="18"/>
          <w:color w:val="auto"/>
        </w:rPr>
        <w:t>Accordingly, if we earn net taxable income, our ability to use net operating loss carryforwards to offset U.S. federal taxable income may become subject to limitations, which could potentially result in increases in our future tax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we are precluded from paying any cash dividends. Accordingly, you may have to sell some or all of your shares of our common stock in order to generate cash flow from your investment. You may not receive a gain on your investment when you sell shares and you may lose the entire amount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Stock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ind w:right="460"/>
        <w:spacing w:after="0" w:line="277" w:lineRule="auto"/>
        <w:rPr>
          <w:sz w:val="20"/>
          <w:szCs w:val="20"/>
          <w:color w:val="auto"/>
        </w:rPr>
      </w:pPr>
      <w:r>
        <w:rPr>
          <w:rFonts w:ascii="Arial" w:cs="Arial" w:eastAsia="Arial" w:hAnsi="Arial"/>
          <w:sz w:val="18"/>
          <w:szCs w:val="18"/>
          <w:b w:val="1"/>
          <w:bCs w:val="1"/>
          <w:i w:val="1"/>
          <w:iCs w:val="1"/>
          <w:color w:val="auto"/>
        </w:rPr>
        <w:t>New 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On August 22, 2012, the SEC adopted a new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are currently investigating the use of conflict materials, if any, within our supply chain.</w:t>
      </w:r>
    </w:p>
    <w:p>
      <w:pPr>
        <w:spacing w:after="0" w:line="16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225" w:lineRule="exact"/>
        <w:rPr>
          <w:rFonts w:ascii="Arial" w:cs="Arial" w:eastAsia="Arial" w:hAnsi="Arial"/>
          <w:sz w:val="18"/>
          <w:szCs w:val="18"/>
          <w:color w:val="auto"/>
        </w:rPr>
      </w:pPr>
    </w:p>
    <w:p>
      <w:pPr>
        <w:ind w:left="1040" w:right="44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we will rely on these exemptions. If some investors find our common stock less attractive as a result, there may be a less active trading market for our common stock, which could result in a reduction in the price of our common stock.</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Pursuant to the JOBS Act, our independent registered public accounting firm will not be required to attest to the effectiveness of our internal control over financial reporting for so long as we are an “emerging growth company.”</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Under existing SEC rules and regulations, we will be required to disclose changes made in our internal control over financial reporting on a quarterly basis and management will be required to assess the effectiveness of our controls annually. However, under the JOBS Act, our independent registered public accounting firm will not be required to attest to the effectiveness of our internal control over financial reporting pursuant to Section 404(b) of the Sarbanes-Oxley Act until we are no longer an “emerging growth company.” We could be an “emerging growth company” for up to five years from our November 2013 initial public offering.</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ind w:right="120" w:firstLine="518"/>
        <w:spacing w:after="0" w:line="273" w:lineRule="auto"/>
        <w:rPr>
          <w:sz w:val="20"/>
          <w:szCs w:val="20"/>
          <w:color w:val="auto"/>
        </w:rPr>
      </w:pPr>
      <w:r>
        <w:rPr>
          <w:rFonts w:ascii="Arial" w:cs="Arial" w:eastAsia="Arial" w:hAnsi="Arial"/>
          <w:sz w:val="17"/>
          <w:szCs w:val="17"/>
          <w:color w:val="auto"/>
        </w:rPr>
        <w:t>We are required to disclose changes made in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Prior to our initial public offering in November 2013, there was no public market for our common stock. The trading price of our common stock is likely to be volatile for the foreseeable future. Our stock price could be subject to wide fluctuations in response to a variety of factors, including the following:</w:t>
      </w:r>
    </w:p>
    <w:p>
      <w:pPr>
        <w:spacing w:after="0" w:line="181" w:lineRule="exact"/>
        <w:rPr>
          <w:sz w:val="20"/>
          <w:szCs w:val="20"/>
          <w:color w:val="auto"/>
        </w:rPr>
      </w:pPr>
    </w:p>
    <w:p>
      <w:pPr>
        <w:ind w:left="1040" w:right="76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 including the financial and accounting impact of the Technology Upgrade Program;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introduction of proposed products, or announcements of significant contracts, licenses or acquisitions,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shares of our common stock could materially reduce the market price of our common stock.*</w:t>
      </w:r>
    </w:p>
    <w:p>
      <w:pPr>
        <w:spacing w:after="0" w:line="24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We had outstanding 30,613,173 shares of common stock as of June 30, 2016, of which approximately 11,981,965 shares are restricted securities that may be sold only in accordance with the resale restrictions under Rule 144 of the Securities Act. In addition, as of June 30, 2016, we had outstanding options to purchase 6,774,815 shares of common stock and warrants to purchase 990,031 shares of common stock that, if exercised, will result in these additional shares becoming available for sale. As of June 30, 2016, there are also an aggregate of 2,578,711 shares of our common stock reserved for future grant or issuance under the 2013 Plan and the ESPP.</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ind w:firstLine="518"/>
        <w:spacing w:after="0" w:line="257" w:lineRule="auto"/>
        <w:rPr>
          <w:sz w:val="20"/>
          <w:szCs w:val="20"/>
          <w:color w:val="auto"/>
        </w:rPr>
      </w:pPr>
      <w:r>
        <w:rPr>
          <w:rFonts w:ascii="Arial" w:cs="Arial" w:eastAsia="Arial" w:hAnsi="Arial"/>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sold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8"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In the future, we also may issue our securities if we need to raise additional capital. The number of new shares of our common stock issued in connection with raising additional capital could constitute a material portion of the then-outstanding shares of our common stock.</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9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70"/>
        </w:trPr>
        <w:tc>
          <w:tcPr>
            <w:tcW w:w="9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3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3960" w:type="dxa"/>
            <w:vAlign w:val="bottom"/>
            <w:vMerge w:val="restart"/>
          </w:tcPr>
          <w:p>
            <w:pPr>
              <w:ind w:left="140"/>
              <w:spacing w:after="0"/>
              <w:rPr>
                <w:sz w:val="20"/>
                <w:szCs w:val="20"/>
                <w:color w:val="auto"/>
              </w:rPr>
            </w:pPr>
            <w:r>
              <w:rPr>
                <w:rFonts w:ascii="Arial" w:cs="Arial" w:eastAsia="Arial" w:hAnsi="Arial"/>
                <w:sz w:val="18"/>
                <w:szCs w:val="18"/>
                <w:color w:val="auto"/>
                <w:w w:val="93"/>
              </w:rPr>
              <w:t>Amended and Restated Certificate of Incorporation</w:t>
            </w:r>
          </w:p>
        </w:tc>
        <w:tc>
          <w:tcPr>
            <w:tcW w:w="0" w:type="dxa"/>
            <w:vAlign w:val="bottom"/>
          </w:tcPr>
          <w:p>
            <w:pPr>
              <w:spacing w:after="0"/>
              <w:rPr>
                <w:sz w:val="1"/>
                <w:szCs w:val="1"/>
                <w:color w:val="auto"/>
              </w:rPr>
            </w:pPr>
          </w:p>
        </w:tc>
      </w:tr>
      <w:tr>
        <w:trPr>
          <w:trHeight w:val="215"/>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3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3960" w:type="dxa"/>
            <w:vAlign w:val="bottom"/>
            <w:vMerge w:val="restart"/>
          </w:tcPr>
          <w:p>
            <w:pPr>
              <w:ind w:left="140"/>
              <w:spacing w:after="0"/>
              <w:rPr>
                <w:sz w:val="20"/>
                <w:szCs w:val="20"/>
                <w:color w:val="auto"/>
              </w:rPr>
            </w:pPr>
            <w:r>
              <w:rPr>
                <w:rFonts w:ascii="Arial" w:cs="Arial" w:eastAsia="Arial" w:hAnsi="Arial"/>
                <w:sz w:val="18"/>
                <w:szCs w:val="18"/>
                <w:color w:val="auto"/>
              </w:rPr>
              <w:t>as currently in effect.</w:t>
            </w:r>
          </w:p>
        </w:tc>
        <w:tc>
          <w:tcPr>
            <w:tcW w:w="0" w:type="dxa"/>
            <w:vAlign w:val="bottom"/>
          </w:tcPr>
          <w:p>
            <w:pPr>
              <w:spacing w:after="0"/>
              <w:rPr>
                <w:sz w:val="1"/>
                <w:szCs w:val="1"/>
                <w:color w:val="auto"/>
              </w:rPr>
            </w:pPr>
          </w:p>
        </w:tc>
      </w:tr>
      <w:tr>
        <w:trPr>
          <w:trHeight w:val="107"/>
        </w:trPr>
        <w:tc>
          <w:tcPr>
            <w:tcW w:w="90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3960" w:type="dxa"/>
            <w:vAlign w:val="bottom"/>
          </w:tcPr>
          <w:p>
            <w:pPr>
              <w:ind w:left="140"/>
              <w:spacing w:after="0"/>
              <w:rPr>
                <w:sz w:val="20"/>
                <w:szCs w:val="20"/>
                <w:color w:val="auto"/>
              </w:rPr>
            </w:pPr>
            <w:r>
              <w:rPr>
                <w:rFonts w:ascii="Arial" w:cs="Arial" w:eastAsia="Arial" w:hAnsi="Arial"/>
                <w:sz w:val="18"/>
                <w:szCs w:val="18"/>
                <w:color w:val="auto"/>
                <w:w w:val="89"/>
              </w:rPr>
              <w:t>Amended and Restated Bylaws as currently in effect.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w w:val="93"/>
              </w:rPr>
              <w:t>Employee Offer Letter, dated January 12, 2016, by</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3960" w:type="dxa"/>
            <w:vAlign w:val="bottom"/>
          </w:tcPr>
          <w:p>
            <w:pPr>
              <w:ind w:left="140"/>
              <w:spacing w:after="0"/>
              <w:rPr>
                <w:sz w:val="20"/>
                <w:szCs w:val="20"/>
                <w:color w:val="auto"/>
              </w:rPr>
            </w:pPr>
            <w:r>
              <w:rPr>
                <w:rFonts w:ascii="Arial" w:cs="Arial" w:eastAsia="Arial" w:hAnsi="Arial"/>
                <w:sz w:val="18"/>
                <w:szCs w:val="18"/>
                <w:color w:val="auto"/>
                <w:w w:val="91"/>
              </w:rPr>
              <w:t>and between Tandem Diabetes Care, Inc. and Brian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B. Hansen.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w w:val="91"/>
              </w:rPr>
              <w:t>Employment Severance Agreement, dated February</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3960" w:type="dxa"/>
            <w:vAlign w:val="bottom"/>
          </w:tcPr>
          <w:p>
            <w:pPr>
              <w:ind w:left="140"/>
              <w:spacing w:after="0"/>
              <w:rPr>
                <w:sz w:val="20"/>
                <w:szCs w:val="20"/>
                <w:color w:val="auto"/>
              </w:rPr>
            </w:pPr>
            <w:r>
              <w:rPr>
                <w:rFonts w:ascii="Arial" w:cs="Arial" w:eastAsia="Arial" w:hAnsi="Arial"/>
                <w:sz w:val="18"/>
                <w:szCs w:val="18"/>
                <w:color w:val="auto"/>
                <w:w w:val="88"/>
              </w:rPr>
              <w:t>1, 2016, by and between Tandem Diabetes Care, Inc.</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and Brian B. Hansen.</w:t>
            </w:r>
          </w:p>
        </w:tc>
        <w:tc>
          <w:tcPr>
            <w:tcW w:w="0" w:type="dxa"/>
            <w:vAlign w:val="bottom"/>
          </w:tcPr>
          <w:p>
            <w:pPr>
              <w:spacing w:after="0"/>
              <w:rPr>
                <w:sz w:val="1"/>
                <w:szCs w:val="1"/>
                <w:color w:val="auto"/>
              </w:rPr>
            </w:pPr>
          </w:p>
        </w:tc>
      </w:tr>
      <w:tr>
        <w:trPr>
          <w:trHeight w:val="647"/>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960" w:type="dxa"/>
            <w:vAlign w:val="bottom"/>
          </w:tcPr>
          <w:p>
            <w:pPr>
              <w:ind w:left="140"/>
              <w:spacing w:after="0"/>
              <w:rPr>
                <w:sz w:val="20"/>
                <w:szCs w:val="20"/>
                <w:color w:val="auto"/>
              </w:rPr>
            </w:pPr>
            <w:r>
              <w:rPr>
                <w:rFonts w:ascii="Arial" w:cs="Arial" w:eastAsia="Arial" w:hAnsi="Arial"/>
                <w:sz w:val="18"/>
                <w:szCs w:val="18"/>
                <w:color w:val="auto"/>
                <w:w w:val="99"/>
              </w:rPr>
              <w:t>Lease Agreement, dated June 30, 2016,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w w:val="93"/>
              </w:rPr>
              <w:t>between Tandem Diabetes Care, Inc. and ARE-SD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REGION NO. 36, LLC.</w:t>
            </w:r>
          </w:p>
        </w:tc>
        <w:tc>
          <w:tcPr>
            <w:tcW w:w="0" w:type="dxa"/>
            <w:vAlign w:val="bottom"/>
          </w:tcPr>
          <w:p>
            <w:pPr>
              <w:spacing w:after="0"/>
              <w:rPr>
                <w:sz w:val="1"/>
                <w:szCs w:val="1"/>
                <w:color w:val="auto"/>
              </w:rPr>
            </w:pPr>
          </w:p>
        </w:tc>
      </w:tr>
      <w:tr>
        <w:trPr>
          <w:trHeight w:val="647"/>
        </w:trPr>
        <w:tc>
          <w:tcPr>
            <w:tcW w:w="900" w:type="dxa"/>
            <w:vAlign w:val="bottom"/>
          </w:tcPr>
          <w:p>
            <w:pPr>
              <w:spacing w:after="0"/>
              <w:rPr>
                <w:sz w:val="24"/>
                <w:szCs w:val="24"/>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Certification of Kim D. Blickenstaff, Chief</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960" w:type="dxa"/>
            <w:vAlign w:val="bottom"/>
          </w:tcPr>
          <w:p>
            <w:pPr>
              <w:ind w:left="140"/>
              <w:spacing w:after="0"/>
              <w:rPr>
                <w:sz w:val="20"/>
                <w:szCs w:val="20"/>
                <w:color w:val="auto"/>
              </w:rPr>
            </w:pPr>
            <w:r>
              <w:rPr>
                <w:rFonts w:ascii="Arial" w:cs="Arial" w:eastAsia="Arial" w:hAnsi="Arial"/>
                <w:sz w:val="18"/>
                <w:szCs w:val="18"/>
                <w:color w:val="auto"/>
                <w:w w:val="98"/>
              </w:rPr>
              <w:t>Executive Officer, pursuant to Section 302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Certification of John Cajigas, Chief Financial</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960" w:type="dxa"/>
            <w:vAlign w:val="bottom"/>
          </w:tcPr>
          <w:p>
            <w:pPr>
              <w:ind w:left="140"/>
              <w:spacing w:after="0"/>
              <w:rPr>
                <w:sz w:val="20"/>
                <w:szCs w:val="20"/>
                <w:color w:val="auto"/>
              </w:rPr>
            </w:pPr>
            <w:r>
              <w:rPr>
                <w:rFonts w:ascii="Arial" w:cs="Arial" w:eastAsia="Arial" w:hAnsi="Arial"/>
                <w:sz w:val="18"/>
                <w:szCs w:val="18"/>
                <w:color w:val="auto"/>
                <w:w w:val="97"/>
              </w:rPr>
              <w:t>Officer, pursuant to Section 302 of the Sarbanes-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Certification of Kim D. Blickenstaff, Chief</w:t>
            </w:r>
          </w:p>
        </w:tc>
        <w:tc>
          <w:tcPr>
            <w:tcW w:w="0" w:type="dxa"/>
            <w:vAlign w:val="bottom"/>
          </w:tcPr>
          <w:p>
            <w:pPr>
              <w:spacing w:after="0"/>
              <w:rPr>
                <w:sz w:val="1"/>
                <w:szCs w:val="1"/>
                <w:color w:val="auto"/>
              </w:rPr>
            </w:pPr>
          </w:p>
        </w:tc>
      </w:tr>
      <w:tr>
        <w:trPr>
          <w:trHeight w:val="216"/>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7"/>
              </w:rPr>
              <w:t>32.1**</w:t>
            </w:r>
          </w:p>
        </w:tc>
        <w:tc>
          <w:tcPr>
            <w:tcW w:w="3960" w:type="dxa"/>
            <w:vAlign w:val="bottom"/>
          </w:tcPr>
          <w:p>
            <w:pPr>
              <w:ind w:left="140"/>
              <w:spacing w:after="0"/>
              <w:rPr>
                <w:sz w:val="20"/>
                <w:szCs w:val="20"/>
                <w:color w:val="auto"/>
              </w:rPr>
            </w:pPr>
            <w:r>
              <w:rPr>
                <w:rFonts w:ascii="Arial" w:cs="Arial" w:eastAsia="Arial" w:hAnsi="Arial"/>
                <w:sz w:val="18"/>
                <w:szCs w:val="18"/>
                <w:color w:val="auto"/>
                <w:w w:val="92"/>
              </w:rPr>
              <w:t>Executive Officer, pursuant to U.S.C. Section 1350,</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3960" w:type="dxa"/>
            <w:vAlign w:val="bottom"/>
            <w:vMerge w:val="restart"/>
          </w:tcPr>
          <w:p>
            <w:pPr>
              <w:ind w:left="140"/>
              <w:spacing w:after="0"/>
              <w:rPr>
                <w:sz w:val="20"/>
                <w:szCs w:val="20"/>
                <w:color w:val="auto"/>
              </w:rPr>
            </w:pPr>
            <w:r>
              <w:rPr>
                <w:rFonts w:ascii="Arial" w:cs="Arial" w:eastAsia="Arial" w:hAnsi="Arial"/>
                <w:sz w:val="18"/>
                <w:szCs w:val="18"/>
                <w:color w:val="auto"/>
                <w:w w:val="89"/>
              </w:rPr>
              <w:t>as adopted pursuant to Section 906 of the Sarbanes-</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Certification of John Cajigas, Chief Financial</w:t>
            </w:r>
          </w:p>
        </w:tc>
        <w:tc>
          <w:tcPr>
            <w:tcW w:w="0" w:type="dxa"/>
            <w:vAlign w:val="bottom"/>
          </w:tcPr>
          <w:p>
            <w:pPr>
              <w:spacing w:after="0"/>
              <w:rPr>
                <w:sz w:val="1"/>
                <w:szCs w:val="1"/>
                <w:color w:val="auto"/>
              </w:rPr>
            </w:pPr>
          </w:p>
        </w:tc>
      </w:tr>
      <w:tr>
        <w:trPr>
          <w:trHeight w:val="216"/>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7"/>
              </w:rPr>
              <w:t>32.2**</w:t>
            </w:r>
          </w:p>
        </w:tc>
        <w:tc>
          <w:tcPr>
            <w:tcW w:w="3960" w:type="dxa"/>
            <w:vAlign w:val="bottom"/>
          </w:tcPr>
          <w:p>
            <w:pPr>
              <w:ind w:left="140"/>
              <w:spacing w:after="0"/>
              <w:rPr>
                <w:sz w:val="20"/>
                <w:szCs w:val="20"/>
                <w:color w:val="auto"/>
              </w:rPr>
            </w:pPr>
            <w:r>
              <w:rPr>
                <w:rFonts w:ascii="Arial" w:cs="Arial" w:eastAsia="Arial" w:hAnsi="Arial"/>
                <w:sz w:val="18"/>
                <w:szCs w:val="18"/>
                <w:color w:val="auto"/>
                <w:w w:val="90"/>
              </w:rPr>
              <w:t>Officer, pursuant to U.S.C. Section 1350, as adopted</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3960" w:type="dxa"/>
            <w:vAlign w:val="bottom"/>
            <w:vMerge w:val="restart"/>
          </w:tcPr>
          <w:p>
            <w:pPr>
              <w:ind w:left="140"/>
              <w:spacing w:after="0"/>
              <w:rPr>
                <w:sz w:val="20"/>
                <w:szCs w:val="20"/>
                <w:color w:val="auto"/>
              </w:rPr>
            </w:pPr>
            <w:r>
              <w:rPr>
                <w:rFonts w:ascii="Arial" w:cs="Arial" w:eastAsia="Arial" w:hAnsi="Arial"/>
                <w:sz w:val="18"/>
                <w:szCs w:val="18"/>
                <w:color w:val="auto"/>
                <w:w w:val="93"/>
              </w:rPr>
              <w:t>pursuant to Section 906 of the Sarbanes-Oxley Act</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39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3960" w:type="dxa"/>
            <w:vAlign w:val="bottom"/>
          </w:tcPr>
          <w:p>
            <w:pPr>
              <w:ind w:left="140"/>
              <w:spacing w:after="0"/>
              <w:rPr>
                <w:sz w:val="20"/>
                <w:szCs w:val="20"/>
                <w:color w:val="auto"/>
              </w:rPr>
            </w:pPr>
            <w:r>
              <w:rPr>
                <w:rFonts w:ascii="Arial" w:cs="Arial" w:eastAsia="Arial" w:hAnsi="Arial"/>
                <w:sz w:val="18"/>
                <w:szCs w:val="18"/>
                <w:color w:val="auto"/>
                <w:w w:val="99"/>
              </w:rPr>
              <w:t>XBRL Taxonomy Extension Schema Document.</w:t>
            </w:r>
          </w:p>
        </w:tc>
        <w:tc>
          <w:tcPr>
            <w:tcW w:w="0" w:type="dxa"/>
            <w:vAlign w:val="bottom"/>
          </w:tcPr>
          <w:p>
            <w:pPr>
              <w:spacing w:after="0"/>
              <w:rPr>
                <w:sz w:val="1"/>
                <w:szCs w:val="1"/>
                <w:color w:val="auto"/>
              </w:rPr>
            </w:pPr>
          </w:p>
        </w:tc>
      </w:tr>
      <w:tr>
        <w:trPr>
          <w:trHeight w:val="216"/>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7"/>
              </w:rPr>
              <w:t>101.CAL</w:t>
            </w:r>
          </w:p>
        </w:tc>
        <w:tc>
          <w:tcPr>
            <w:tcW w:w="3960" w:type="dxa"/>
            <w:vAlign w:val="bottom"/>
          </w:tcPr>
          <w:p>
            <w:pPr>
              <w:ind w:left="140"/>
              <w:spacing w:after="0"/>
              <w:rPr>
                <w:sz w:val="20"/>
                <w:szCs w:val="20"/>
                <w:color w:val="auto"/>
              </w:rPr>
            </w:pPr>
            <w:r>
              <w:rPr>
                <w:rFonts w:ascii="Arial" w:cs="Arial" w:eastAsia="Arial" w:hAnsi="Arial"/>
                <w:sz w:val="18"/>
                <w:szCs w:val="18"/>
                <w:color w:val="auto"/>
                <w:w w:val="97"/>
              </w:rPr>
              <w:t>XBRL Taxonomy Extension Calculation Linkbase</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396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101.DEF</w:t>
            </w:r>
          </w:p>
        </w:tc>
        <w:tc>
          <w:tcPr>
            <w:tcW w:w="3840" w:type="dxa"/>
            <w:vAlign w:val="bottom"/>
          </w:tcPr>
          <w:p>
            <w:pPr>
              <w:ind w:left="140"/>
              <w:spacing w:after="0"/>
              <w:rPr>
                <w:sz w:val="20"/>
                <w:szCs w:val="20"/>
                <w:color w:val="auto"/>
              </w:rPr>
            </w:pPr>
            <w:r>
              <w:rPr>
                <w:rFonts w:ascii="Arial" w:cs="Arial" w:eastAsia="Arial" w:hAnsi="Arial"/>
                <w:sz w:val="18"/>
                <w:szCs w:val="18"/>
                <w:color w:val="auto"/>
                <w:w w:val="97"/>
              </w:rPr>
              <w:t>XBRL Taxonomy Extension Definition Linkbase</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384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80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101.LAB</w:t>
            </w:r>
          </w:p>
        </w:tc>
        <w:tc>
          <w:tcPr>
            <w:tcW w:w="384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384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80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101.PRE</w:t>
            </w:r>
          </w:p>
        </w:tc>
        <w:tc>
          <w:tcPr>
            <w:tcW w:w="3840" w:type="dxa"/>
            <w:vAlign w:val="bottom"/>
          </w:tcPr>
          <w:p>
            <w:pPr>
              <w:ind w:left="140"/>
              <w:spacing w:after="0"/>
              <w:rPr>
                <w:sz w:val="20"/>
                <w:szCs w:val="20"/>
                <w:color w:val="auto"/>
              </w:rPr>
            </w:pPr>
            <w:r>
              <w:rPr>
                <w:rFonts w:ascii="Arial" w:cs="Arial" w:eastAsia="Arial" w:hAnsi="Arial"/>
                <w:sz w:val="18"/>
                <w:szCs w:val="18"/>
                <w:color w:val="auto"/>
                <w:w w:val="91"/>
              </w:rPr>
              <w:t>XBRL Taxonomy Extension Presentation Linkbase</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384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Date of First</w:t>
            </w:r>
          </w:p>
        </w:tc>
      </w:tr>
      <w:tr>
        <w:trPr>
          <w:trHeight w:val="234"/>
        </w:trPr>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rPr>
              <w:t>File No.</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r>
      <w:tr>
        <w:trPr>
          <w:trHeight w:val="338"/>
        </w:trPr>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1-Nov-13</w:t>
            </w:r>
          </w:p>
        </w:tc>
      </w:tr>
      <w:tr>
        <w:trPr>
          <w:trHeight w:val="338"/>
        </w:trPr>
        <w:tc>
          <w:tcPr>
            <w:tcW w:w="10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1-Nov-13</w:t>
            </w:r>
          </w:p>
        </w:tc>
      </w:tr>
      <w:tr>
        <w:trPr>
          <w:trHeight w:val="446"/>
        </w:trPr>
        <w:tc>
          <w:tcPr>
            <w:tcW w:w="10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2-Feb-16</w:t>
            </w:r>
          </w:p>
        </w:tc>
      </w:tr>
      <w:tr>
        <w:trPr>
          <w:trHeight w:val="662"/>
        </w:trPr>
        <w:tc>
          <w:tcPr>
            <w:tcW w:w="10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001-36189</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2-Feb-16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Number</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3.4</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firstLine="10"/>
        <w:spacing w:after="0" w:line="347" w:lineRule="auto"/>
        <w:rPr>
          <w:sz w:val="20"/>
          <w:szCs w:val="20"/>
          <w:color w:val="auto"/>
        </w:rPr>
      </w:pPr>
      <w:r>
        <w:rPr>
          <w:rFonts w:ascii="Arial" w:cs="Arial" w:eastAsia="Arial" w:hAnsi="Arial"/>
          <w:sz w:val="16"/>
          <w:szCs w:val="16"/>
          <w:b w:val="1"/>
          <w:bCs w:val="1"/>
          <w:color w:val="auto"/>
        </w:rPr>
        <w:t>Provided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X</w:t>
      </w:r>
    </w:p>
    <w:p>
      <w:pPr>
        <w:spacing w:after="0" w:line="728" w:lineRule="exact"/>
        <w:rPr>
          <w:sz w:val="20"/>
          <w:szCs w:val="20"/>
          <w:color w:val="auto"/>
        </w:rPr>
      </w:pPr>
    </w:p>
    <w:p>
      <w:pPr>
        <w:sectPr>
          <w:pgSz w:w="11900" w:h="16838" w:orient="portrait"/>
          <w:cols w:equalWidth="0" w:num="4">
            <w:col w:w="4860" w:space="180"/>
            <w:col w:w="3820" w:space="180"/>
            <w:col w:w="1240" w:space="180"/>
            <w:col w:w="940"/>
          </w:cols>
          <w:pgMar w:left="240" w:top="121" w:right="259" w:bottom="1440" w:gutter="0" w:footer="0" w:header="0"/>
        </w:sectPr>
      </w:pPr>
    </w:p>
    <w:p>
      <w:pPr>
        <w:spacing w:after="0" w:line="37" w:lineRule="exact"/>
        <w:rPr>
          <w:sz w:val="20"/>
          <w:szCs w:val="20"/>
          <w:color w:val="auto"/>
        </w:rPr>
      </w:pPr>
    </w:p>
    <w:p>
      <w:pPr>
        <w:ind w:left="520" w:right="16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2320"/>
              <w:spacing w:after="0"/>
              <w:rPr>
                <w:sz w:val="20"/>
                <w:szCs w:val="20"/>
                <w:color w:val="auto"/>
              </w:rPr>
            </w:pPr>
            <w:r>
              <w:rPr>
                <w:rFonts w:ascii="Arial" w:cs="Arial" w:eastAsia="Arial" w:hAnsi="Arial"/>
                <w:sz w:val="18"/>
                <w:szCs w:val="18"/>
                <w:color w:val="auto"/>
              </w:rPr>
              <w:t>Tandem Diabetes Care, Inc.</w:t>
            </w:r>
          </w:p>
        </w:tc>
      </w:tr>
      <w:tr>
        <w:trPr>
          <w:trHeight w:val="459"/>
        </w:trPr>
        <w:tc>
          <w:tcPr>
            <w:tcW w:w="3840" w:type="dxa"/>
            <w:vAlign w:val="bottom"/>
          </w:tcPr>
          <w:p>
            <w:pPr>
              <w:spacing w:after="0"/>
              <w:rPr>
                <w:sz w:val="20"/>
                <w:szCs w:val="20"/>
                <w:color w:val="auto"/>
              </w:rPr>
            </w:pPr>
            <w:r>
              <w:rPr>
                <w:rFonts w:ascii="Arial" w:cs="Arial" w:eastAsia="Arial" w:hAnsi="Arial"/>
                <w:sz w:val="18"/>
                <w:szCs w:val="18"/>
                <w:color w:val="auto"/>
              </w:rPr>
              <w:t>Dated: July 28, 2016</w:t>
            </w:r>
          </w:p>
        </w:tc>
        <w:tc>
          <w:tcPr>
            <w:tcW w:w="2780" w:type="dxa"/>
            <w:vAlign w:val="bottom"/>
          </w:tcPr>
          <w:p>
            <w:pPr>
              <w:ind w:left="23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38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840" w:type="dxa"/>
            <w:vAlign w:val="bottom"/>
          </w:tcPr>
          <w:p>
            <w:pPr>
              <w:spacing w:after="0"/>
              <w:rPr>
                <w:sz w:val="24"/>
                <w:szCs w:val="24"/>
                <w:color w:val="auto"/>
              </w:rPr>
            </w:pPr>
          </w:p>
        </w:tc>
        <w:tc>
          <w:tcPr>
            <w:tcW w:w="2780" w:type="dxa"/>
            <w:vAlign w:val="bottom"/>
          </w:tcPr>
          <w:p>
            <w:pPr>
              <w:ind w:left="23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Cajigas</w:t>
            </w:r>
          </w:p>
        </w:tc>
      </w:tr>
      <w:tr>
        <w:trPr>
          <w:trHeight w:val="211"/>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John Cajigas</w:t>
            </w:r>
          </w:p>
        </w:tc>
      </w:tr>
    </w:tbl>
    <w:p>
      <w:pPr>
        <w:ind w:left="662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8"/>
          <w:szCs w:val="18"/>
          <w:color w:val="auto"/>
        </w:rPr>
        <w:t>Exhibit 10.3</w:t>
      </w:r>
    </w:p>
    <w:p>
      <w:pPr>
        <w:jc w:val="center"/>
        <w:ind w:right="20"/>
        <w:spacing w:after="0"/>
        <w:rPr>
          <w:sz w:val="20"/>
          <w:szCs w:val="20"/>
          <w:color w:val="auto"/>
        </w:rPr>
      </w:pPr>
      <w:r>
        <w:rPr>
          <w:rFonts w:ascii="Arial" w:cs="Arial" w:eastAsia="Arial" w:hAnsi="Arial"/>
          <w:sz w:val="18"/>
          <w:szCs w:val="18"/>
          <w:b w:val="1"/>
          <w:bCs w:val="1"/>
          <w:color w:val="auto"/>
        </w:rPr>
        <w:t>LEASE AGREEMENT</w:t>
      </w:r>
    </w:p>
    <w:p>
      <w:pPr>
        <w:spacing w:after="0" w:line="190" w:lineRule="exact"/>
        <w:rPr>
          <w:sz w:val="20"/>
          <w:szCs w:val="20"/>
          <w:color w:val="auto"/>
        </w:rPr>
      </w:pPr>
    </w:p>
    <w:p>
      <w:pPr>
        <w:ind w:right="20" w:firstLine="877"/>
        <w:spacing w:after="0" w:line="271"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xml:space="preserve">”) is made this 30th day of June, 2016, between </w:t>
      </w:r>
      <w:r>
        <w:rPr>
          <w:rFonts w:ascii="Arial" w:cs="Arial" w:eastAsia="Arial" w:hAnsi="Arial"/>
          <w:sz w:val="18"/>
          <w:szCs w:val="18"/>
          <w:b w:val="1"/>
          <w:bCs w:val="1"/>
          <w:color w:val="auto"/>
        </w:rPr>
        <w:t>ARE-SD REGION NO. 36,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TANDEM DIABETES CARE,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ectPr>
          <w:pgSz w:w="11900" w:h="16838" w:orient="portrait"/>
          <w:cols w:equalWidth="0" w:num="1">
            <w:col w:w="11440"/>
          </w:cols>
          <w:pgMar w:left="240" w:top="134" w:right="21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10151 Barnes Canyon Road, San Diego, California</w:t>
      </w:r>
    </w:p>
    <w:p>
      <w:pPr>
        <w:spacing w:after="0" w:line="200" w:lineRule="exact"/>
        <w:rPr>
          <w:sz w:val="20"/>
          <w:szCs w:val="20"/>
          <w:color w:val="auto"/>
        </w:rPr>
      </w:pPr>
    </w:p>
    <w:p>
      <w:pPr>
        <w:sectPr>
          <w:pgSz w:w="11900" w:h="16838" w:orient="portrait"/>
          <w:cols w:equalWidth="0" w:num="2">
            <w:col w:w="1480" w:space="720"/>
            <w:col w:w="9240"/>
          </w:cols>
          <w:pgMar w:left="240" w:top="134" w:right="21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Premises: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The Building, containing approximately 48,880 rentable square feet, as determined by Landlord,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5" w:lineRule="exact"/>
        <w:rPr>
          <w:sz w:val="20"/>
          <w:szCs w:val="20"/>
          <w:color w:val="auto"/>
        </w:rPr>
      </w:pPr>
    </w:p>
    <w:p>
      <w:pPr>
        <w:sectPr>
          <w:pgSz w:w="11900" w:h="16838" w:orient="portrait"/>
          <w:cols w:equalWidth="0" w:num="2">
            <w:col w:w="1480" w:space="720"/>
            <w:col w:w="9240"/>
          </w:cols>
          <w:pgMar w:left="240" w:top="134" w:right="2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Project: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The real property on which the Building in which the Premises are located, together with all improvements thereon and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75" w:lineRule="exact"/>
        <w:rPr>
          <w:sz w:val="20"/>
          <w:szCs w:val="20"/>
          <w:color w:val="auto"/>
        </w:rPr>
      </w:pPr>
    </w:p>
    <w:p>
      <w:pPr>
        <w:sectPr>
          <w:pgSz w:w="11900" w:h="16838" w:orient="portrait"/>
          <w:cols w:equalWidth="0" w:num="2">
            <w:col w:w="1480" w:space="720"/>
            <w:col w:w="9240"/>
          </w:cols>
          <w:pgMar w:left="240" w:top="134" w:right="2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Base Rent: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$0.92 per rentable square foot of the Premises per month</w:t>
      </w:r>
    </w:p>
    <w:p>
      <w:pPr>
        <w:spacing w:after="0" w:line="200" w:lineRule="exact"/>
        <w:rPr>
          <w:sz w:val="20"/>
          <w:szCs w:val="20"/>
          <w:color w:val="auto"/>
        </w:rPr>
      </w:pPr>
    </w:p>
    <w:p>
      <w:pPr>
        <w:sectPr>
          <w:pgSz w:w="11900" w:h="16838" w:orient="portrait"/>
          <w:cols w:equalWidth="0" w:num="2">
            <w:col w:w="1480" w:space="720"/>
            <w:col w:w="9240"/>
          </w:cols>
          <w:pgMar w:left="240" w:top="134" w:right="219" w:bottom="1440" w:gutter="0" w:footer="0" w:header="0"/>
          <w:type w:val="continuous"/>
        </w:sectPr>
      </w:pP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48,880 sq. ft.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Rentable Area of Project: </w:t>
      </w:r>
      <w:r>
        <w:rPr>
          <w:rFonts w:ascii="Arial" w:cs="Arial" w:eastAsia="Arial" w:hAnsi="Arial"/>
          <w:sz w:val="18"/>
          <w:szCs w:val="18"/>
          <w:color w:val="auto"/>
        </w:rPr>
        <w:t>102,392 sq. ft.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Tenant’s Share of Operating Expenses of Building: </w:t>
      </w:r>
      <w:r>
        <w:rPr>
          <w:rFonts w:ascii="Arial" w:cs="Arial" w:eastAsia="Arial" w:hAnsi="Arial"/>
          <w:sz w:val="18"/>
          <w:szCs w:val="18"/>
          <w:color w:val="auto"/>
        </w:rPr>
        <w:t>100%</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Building’s Share of Operating Expenses of Project: </w:t>
      </w:r>
      <w:r>
        <w:rPr>
          <w:rFonts w:ascii="Arial" w:cs="Arial" w:eastAsia="Arial" w:hAnsi="Arial"/>
          <w:sz w:val="18"/>
          <w:szCs w:val="18"/>
          <w:color w:val="auto"/>
        </w:rPr>
        <w:t>47.74%</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None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Rent Adjustment Percentage: </w:t>
      </w:r>
      <w:r>
        <w:rPr>
          <w:rFonts w:ascii="Arial" w:cs="Arial" w:eastAsia="Arial" w:hAnsi="Arial"/>
          <w:sz w:val="18"/>
          <w:szCs w:val="18"/>
          <w:color w:val="auto"/>
        </w:rPr>
        <w:t>3%</w:t>
      </w:r>
    </w:p>
    <w:p>
      <w:pPr>
        <w:spacing w:after="0" w:line="212" w:lineRule="exact"/>
        <w:rPr>
          <w:sz w:val="20"/>
          <w:szCs w:val="20"/>
          <w:color w:val="auto"/>
        </w:rPr>
      </w:pPr>
    </w:p>
    <w:p>
      <w:pPr>
        <w:jc w:val="both"/>
        <w:ind w:left="2200" w:right="20" w:hanging="2187"/>
        <w:spacing w:after="0" w:line="246" w:lineRule="auto"/>
        <w:tabs>
          <w:tab w:leader="none" w:pos="2180" w:val="left"/>
        </w:tabs>
        <w:rPr>
          <w:sz w:val="20"/>
          <w:szCs w:val="20"/>
          <w:color w:val="auto"/>
        </w:rPr>
      </w:pPr>
      <w:r>
        <w:rPr>
          <w:rFonts w:ascii="Arial" w:cs="Arial" w:eastAsia="Arial" w:hAnsi="Arial"/>
          <w:sz w:val="18"/>
          <w:szCs w:val="18"/>
          <w:b w:val="1"/>
          <w:bCs w:val="1"/>
          <w:color w:val="auto"/>
        </w:rPr>
        <w:t>Base Term:</w:t>
      </w:r>
      <w:r>
        <w:rPr>
          <w:sz w:val="20"/>
          <w:szCs w:val="20"/>
          <w:color w:val="auto"/>
        </w:rPr>
        <w:tab/>
      </w:r>
      <w:r>
        <w:rPr>
          <w:rFonts w:ascii="Arial" w:cs="Arial" w:eastAsia="Arial" w:hAnsi="Arial"/>
          <w:sz w:val="18"/>
          <w:szCs w:val="18"/>
          <w:color w:val="auto"/>
        </w:rPr>
        <w:t>Beginning on the Commencement Date and ending 84 months from the first day of the first full month following the Rent Commencement Date.</w:t>
      </w:r>
    </w:p>
    <w:p>
      <w:pPr>
        <w:spacing w:after="0" w:line="197" w:lineRule="exact"/>
        <w:rPr>
          <w:sz w:val="20"/>
          <w:szCs w:val="20"/>
          <w:color w:val="auto"/>
        </w:rPr>
      </w:pPr>
    </w:p>
    <w:p>
      <w:pPr>
        <w:jc w:val="both"/>
        <w:ind w:left="2200" w:right="20" w:hanging="2187"/>
        <w:spacing w:after="0" w:line="239" w:lineRule="auto"/>
        <w:tabs>
          <w:tab w:leader="none" w:pos="2180" w:val="left"/>
        </w:tabs>
        <w:rPr>
          <w:sz w:val="20"/>
          <w:szCs w:val="20"/>
          <w:color w:val="auto"/>
        </w:rPr>
      </w:pPr>
      <w:r>
        <w:rPr>
          <w:rFonts w:ascii="Arial" w:cs="Arial" w:eastAsia="Arial" w:hAnsi="Arial"/>
          <w:sz w:val="18"/>
          <w:szCs w:val="18"/>
          <w:b w:val="1"/>
          <w:bCs w:val="1"/>
          <w:color w:val="auto"/>
        </w:rPr>
        <w:t>Permitted Use:</w:t>
      </w:r>
      <w:r>
        <w:rPr>
          <w:sz w:val="20"/>
          <w:szCs w:val="20"/>
          <w:color w:val="auto"/>
        </w:rPr>
        <w:tab/>
      </w:r>
      <w:r>
        <w:rPr>
          <w:rFonts w:ascii="Arial" w:cs="Arial" w:eastAsia="Arial" w:hAnsi="Arial"/>
          <w:sz w:val="18"/>
          <w:szCs w:val="18"/>
          <w:color w:val="auto"/>
        </w:rPr>
        <w:t>Light manufacturing including, without limitation, the manufacturing of ambulatory pumps and related accessories, research and development, sales, marketing, office and other related uses consistent with the character of the Project; provided however, that any uses of the Project shall comply with applicable Legal Requirements and all of the provisions of this Lease.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20"/>
                <w:szCs w:val="20"/>
                <w:color w:val="auto"/>
              </w:rPr>
            </w:pPr>
            <w:r>
              <w:rPr>
                <w:rFonts w:ascii="Arial" w:cs="Arial" w:eastAsia="Arial" w:hAnsi="Arial"/>
                <w:sz w:val="18"/>
                <w:szCs w:val="18"/>
                <w:b w:val="1"/>
                <w:bCs w:val="1"/>
                <w:color w:val="auto"/>
              </w:rPr>
              <w:t>Address for Rent Payment:</w:t>
            </w:r>
          </w:p>
        </w:tc>
        <w:tc>
          <w:tcPr>
            <w:tcW w:w="5800" w:type="dxa"/>
            <w:vAlign w:val="bottom"/>
          </w:tcPr>
          <w:p>
            <w:pPr>
              <w:ind w:left="2180"/>
              <w:spacing w:after="0"/>
              <w:rPr>
                <w:sz w:val="20"/>
                <w:szCs w:val="20"/>
                <w:color w:val="auto"/>
              </w:rPr>
            </w:pPr>
            <w:r>
              <w:rPr>
                <w:rFonts w:ascii="Arial" w:cs="Arial" w:eastAsia="Arial" w:hAnsi="Arial"/>
                <w:sz w:val="18"/>
                <w:szCs w:val="18"/>
                <w:b w:val="1"/>
                <w:bCs w:val="1"/>
                <w:color w:val="auto"/>
              </w:rPr>
              <w:t>Landlord’s Notice Address:</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Alexandria Real Estate Equities, Inc.</w:t>
            </w:r>
          </w:p>
        </w:tc>
        <w:tc>
          <w:tcPr>
            <w:tcW w:w="5800" w:type="dxa"/>
            <w:vAlign w:val="bottom"/>
          </w:tcPr>
          <w:p>
            <w:pPr>
              <w:ind w:left="2760"/>
              <w:spacing w:after="0" w:line="202" w:lineRule="exact"/>
              <w:rPr>
                <w:sz w:val="20"/>
                <w:szCs w:val="20"/>
                <w:color w:val="auto"/>
              </w:rPr>
            </w:pPr>
            <w:r>
              <w:rPr>
                <w:rFonts w:ascii="Arial" w:cs="Arial" w:eastAsia="Arial" w:hAnsi="Arial"/>
                <w:sz w:val="18"/>
                <w:szCs w:val="18"/>
                <w:color w:val="auto"/>
                <w:w w:val="99"/>
              </w:rPr>
              <w:t>385 E. Colorado Boulevard, Suite 299</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Dept. LA 23447</w:t>
            </w:r>
          </w:p>
        </w:tc>
        <w:tc>
          <w:tcPr>
            <w:tcW w:w="5800" w:type="dxa"/>
            <w:vAlign w:val="bottom"/>
          </w:tcPr>
          <w:p>
            <w:pPr>
              <w:ind w:left="1100"/>
              <w:spacing w:after="0" w:line="202" w:lineRule="exact"/>
              <w:rPr>
                <w:sz w:val="20"/>
                <w:szCs w:val="20"/>
                <w:color w:val="auto"/>
              </w:rPr>
            </w:pPr>
            <w:r>
              <w:rPr>
                <w:rFonts w:ascii="Arial" w:cs="Arial" w:eastAsia="Arial" w:hAnsi="Arial"/>
                <w:sz w:val="18"/>
                <w:szCs w:val="18"/>
                <w:color w:val="auto"/>
              </w:rPr>
              <w:t>Pasadena, CA 91101</w:t>
            </w: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Pasadena, CA 91185-3447</w:t>
            </w:r>
          </w:p>
        </w:tc>
        <w:tc>
          <w:tcPr>
            <w:tcW w:w="5800" w:type="dxa"/>
            <w:vAlign w:val="bottom"/>
          </w:tcPr>
          <w:p>
            <w:pPr>
              <w:ind w:left="2020"/>
              <w:spacing w:after="0"/>
              <w:rPr>
                <w:sz w:val="20"/>
                <w:szCs w:val="20"/>
                <w:color w:val="auto"/>
              </w:rPr>
            </w:pPr>
            <w:r>
              <w:rPr>
                <w:rFonts w:ascii="Arial" w:cs="Arial" w:eastAsia="Arial" w:hAnsi="Arial"/>
                <w:sz w:val="18"/>
                <w:szCs w:val="18"/>
                <w:color w:val="auto"/>
              </w:rPr>
              <w:t>Attention: Corporate Secretary</w:t>
            </w:r>
          </w:p>
        </w:tc>
      </w:tr>
      <w:tr>
        <w:trPr>
          <w:trHeight w:val="404"/>
        </w:trPr>
        <w:tc>
          <w:tcPr>
            <w:tcW w:w="4040" w:type="dxa"/>
            <w:vAlign w:val="bottom"/>
          </w:tcPr>
          <w:p>
            <w:pPr>
              <w:spacing w:after="0"/>
              <w:rPr>
                <w:sz w:val="20"/>
                <w:szCs w:val="20"/>
                <w:color w:val="auto"/>
              </w:rPr>
            </w:pPr>
            <w:r>
              <w:rPr>
                <w:rFonts w:ascii="Arial" w:cs="Arial" w:eastAsia="Arial" w:hAnsi="Arial"/>
                <w:sz w:val="18"/>
                <w:szCs w:val="18"/>
                <w:b w:val="1"/>
                <w:bCs w:val="1"/>
                <w:color w:val="auto"/>
              </w:rPr>
              <w:t>Tenant’s Notice Address:</w:t>
            </w:r>
          </w:p>
        </w:tc>
        <w:tc>
          <w:tcPr>
            <w:tcW w:w="5800" w:type="dxa"/>
            <w:vAlign w:val="bottom"/>
          </w:tcPr>
          <w:p>
            <w:pPr>
              <w:spacing w:after="0"/>
              <w:rPr>
                <w:sz w:val="24"/>
                <w:szCs w:val="24"/>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11045 Roselle Street, Suite 200</w:t>
            </w:r>
          </w:p>
        </w:tc>
        <w:tc>
          <w:tcPr>
            <w:tcW w:w="5800" w:type="dxa"/>
            <w:vAlign w:val="bottom"/>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San Diego, California 92121</w:t>
            </w:r>
          </w:p>
        </w:tc>
        <w:tc>
          <w:tcPr>
            <w:tcW w:w="5800" w:type="dxa"/>
            <w:vAlign w:val="bottom"/>
          </w:tcPr>
          <w:p>
            <w:pPr>
              <w:spacing w:after="0"/>
              <w:rPr>
                <w:sz w:val="17"/>
                <w:szCs w:val="17"/>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8"/>
                <w:szCs w:val="18"/>
                <w:color w:val="auto"/>
              </w:rPr>
              <w:t>Attention: Kim D. Blickenstaff</w:t>
            </w:r>
          </w:p>
        </w:tc>
        <w:tc>
          <w:tcPr>
            <w:tcW w:w="58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20" w:type="dxa"/>
            <w:vAlign w:val="bottom"/>
          </w:tcPr>
          <w:p>
            <w:pPr>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 PREMISES DESCRIPTION</w:t>
            </w:r>
          </w:p>
        </w:tc>
        <w:tc>
          <w:tcPr>
            <w:tcW w:w="6020" w:type="dxa"/>
            <w:vAlign w:val="bottom"/>
          </w:tcPr>
          <w:p>
            <w:pPr>
              <w:ind w:left="160"/>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 DESCRIPTION OF PROJECT</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 WORK LETTER</w:t>
            </w:r>
          </w:p>
        </w:tc>
        <w:tc>
          <w:tcPr>
            <w:tcW w:w="602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 COMMENCEMENT DATE</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E</w:t>
            </w:r>
            <w:r>
              <w:rPr>
                <w:rFonts w:ascii="Arial" w:cs="Arial" w:eastAsia="Arial" w:hAnsi="Arial"/>
                <w:sz w:val="17"/>
                <w:szCs w:val="17"/>
                <w:color w:val="auto"/>
              </w:rPr>
              <w:t xml:space="preserve"> - RULES AND REGULATIONS</w:t>
            </w:r>
          </w:p>
        </w:tc>
        <w:tc>
          <w:tcPr>
            <w:tcW w:w="602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 TENANT’S PERSONAL PROPERTY</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 INTENTIONALLY OMITTED</w:t>
            </w:r>
          </w:p>
        </w:tc>
        <w:tc>
          <w:tcPr>
            <w:tcW w:w="602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H</w:t>
            </w:r>
            <w:r>
              <w:rPr>
                <w:rFonts w:ascii="Arial" w:cs="Arial" w:eastAsia="Arial" w:hAnsi="Arial"/>
                <w:sz w:val="17"/>
                <w:szCs w:val="17"/>
                <w:color w:val="auto"/>
              </w:rPr>
              <w:t xml:space="preserve"> - LANDLORD’S WORK/SCHEDULE</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 TENANT MAINTENANCE OBLIGATIONS</w:t>
            </w:r>
          </w:p>
        </w:tc>
        <w:tc>
          <w:tcPr>
            <w:tcW w:w="6020" w:type="dxa"/>
            <w:vAlign w:val="bottom"/>
          </w:tcPr>
          <w:p>
            <w:pPr>
              <w:ind w:left="160"/>
              <w:spacing w:after="0" w:line="189" w:lineRule="exact"/>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J</w:t>
            </w:r>
            <w:r>
              <w:rPr>
                <w:rFonts w:ascii="Arial" w:cs="Arial" w:eastAsia="Arial" w:hAnsi="Arial"/>
                <w:sz w:val="17"/>
                <w:szCs w:val="17"/>
                <w:color w:val="auto"/>
              </w:rPr>
              <w:t xml:space="preserve"> - HAZARDOUS MATERIALS LIST</w:t>
            </w:r>
          </w:p>
        </w:tc>
      </w:tr>
      <w:tr>
        <w:trPr>
          <w:trHeight w:val="225"/>
        </w:trPr>
        <w:tc>
          <w:tcPr>
            <w:tcW w:w="5420" w:type="dxa"/>
            <w:vAlign w:val="bottom"/>
          </w:tcPr>
          <w:p>
            <w:pPr>
              <w:ind w:left="2720"/>
              <w:spacing w:after="0"/>
              <w:rPr>
                <w:sz w:val="20"/>
                <w:szCs w:val="20"/>
                <w:color w:val="auto"/>
              </w:rPr>
            </w:pPr>
            <w:r>
              <w:rPr>
                <w:rFonts w:ascii="Arial" w:cs="Arial" w:eastAsia="Arial" w:hAnsi="Arial"/>
                <w:sz w:val="17"/>
                <w:szCs w:val="17"/>
                <w:color w:val="auto"/>
              </w:rPr>
              <w:t xml:space="preserve">[X] </w:t>
            </w:r>
            <w:r>
              <w:rPr>
                <w:rFonts w:ascii="Arial" w:cs="Arial" w:eastAsia="Arial" w:hAnsi="Arial"/>
                <w:sz w:val="17"/>
                <w:szCs w:val="17"/>
                <w:b w:val="1"/>
                <w:bCs w:val="1"/>
                <w:color w:val="auto"/>
              </w:rPr>
              <w:t>EXHIBIT K</w:t>
            </w:r>
            <w:r>
              <w:rPr>
                <w:rFonts w:ascii="Arial" w:cs="Arial" w:eastAsia="Arial" w:hAnsi="Arial"/>
                <w:sz w:val="17"/>
                <w:szCs w:val="17"/>
                <w:color w:val="auto"/>
              </w:rPr>
              <w:t xml:space="preserve"> - PIPE CLUSTER</w:t>
            </w:r>
          </w:p>
        </w:tc>
        <w:tc>
          <w:tcPr>
            <w:tcW w:w="6020" w:type="dxa"/>
            <w:vAlign w:val="bottom"/>
          </w:tcPr>
          <w:p>
            <w:pPr>
              <w:spacing w:after="0"/>
              <w:rPr>
                <w:sz w:val="19"/>
                <w:szCs w:val="19"/>
                <w:color w:val="auto"/>
              </w:rPr>
            </w:pPr>
          </w:p>
        </w:tc>
      </w:tr>
      <w:tr>
        <w:trPr>
          <w:trHeight w:val="970"/>
        </w:trPr>
        <w:tc>
          <w:tcPr>
            <w:tcW w:w="542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-496570</wp:posOffset>
            </wp:positionV>
            <wp:extent cx="242697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type w:val="continuous"/>
        </w:sectPr>
      </w:pPr>
    </w:p>
    <w:bookmarkStart w:id="55" w:name="page56"/>
    <w:bookmarkEnd w:id="55"/>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w:t>
      </w:r>
    </w:p>
    <w:p>
      <w:pPr>
        <w:spacing w:after="0" w:line="17" w:lineRule="exact"/>
        <w:rPr>
          <w:sz w:val="20"/>
          <w:szCs w:val="20"/>
          <w:color w:val="auto"/>
        </w:rPr>
      </w:pPr>
    </w:p>
    <w:p>
      <w:pPr>
        <w:jc w:val="both"/>
        <w:ind w:firstLine="885"/>
        <w:spacing w:after="0" w:line="236" w:lineRule="auto"/>
        <w:tabs>
          <w:tab w:leader="none" w:pos="232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Lease of Premises</w:t>
      </w:r>
      <w:r>
        <w:rPr>
          <w:rFonts w:ascii="Arial" w:cs="Arial" w:eastAsia="Arial" w:hAnsi="Arial"/>
          <w:sz w:val="18"/>
          <w:szCs w:val="18"/>
          <w:color w:val="auto"/>
        </w:rPr>
        <w:t>. Upon and subject to all of the terms and conditions hereof, Landlord hereby leases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Tenant and Tenant hereby leases the Premises from Landlord. The portions of the Project which are for the non-exclusive use of tenants of the Project are collectively referred to herein as the “</w:t>
      </w:r>
      <w:r>
        <w:rPr>
          <w:rFonts w:ascii="Arial" w:cs="Arial" w:eastAsia="Arial" w:hAnsi="Arial"/>
          <w:sz w:val="18"/>
          <w:szCs w:val="18"/>
          <w:b w:val="1"/>
          <w:bCs w:val="1"/>
          <w:color w:val="auto"/>
        </w:rPr>
        <w:t>Common Areas</w:t>
      </w:r>
      <w:r>
        <w:rPr>
          <w:rFonts w:ascii="Arial" w:cs="Arial" w:eastAsia="Arial" w:hAnsi="Arial"/>
          <w:sz w:val="18"/>
          <w:szCs w:val="18"/>
          <w:color w:val="auto"/>
        </w:rPr>
        <w:t>.” Landlord grants Tenant the non-exclusive right to use the Common Areas during the Term. Landlord reserves the right to modify Common Areas, provided that such modifications do not materially and adversely affect Tenant’s access to or use and enjoyment of the Premises for the Permitted Use or reduce the number of parking spaces available for Tenant’s use other than on a temporary basis. From and after the Commencement Date through the expiration of the Term, Tenant shall have access to the Building and the Premises 24 hours a day, 7 days a week, except in the case of emergencies, as the result of Legal Requirements, the performance by Landlord of any installation, maintenance or repairs, or any other temporary interruptions, and otherwise subject to the terms of this Lease.</w:t>
      </w:r>
    </w:p>
    <w:p>
      <w:pPr>
        <w:spacing w:after="0" w:line="185" w:lineRule="exact"/>
        <w:rPr>
          <w:rFonts w:ascii="Arial" w:cs="Arial" w:eastAsia="Arial" w:hAnsi="Arial"/>
          <w:sz w:val="18"/>
          <w:szCs w:val="18"/>
          <w:color w:val="auto"/>
        </w:rPr>
      </w:pPr>
    </w:p>
    <w:p>
      <w:pPr>
        <w:jc w:val="both"/>
        <w:ind w:firstLine="885"/>
        <w:spacing w:after="0" w:line="238" w:lineRule="auto"/>
        <w:tabs>
          <w:tab w:leader="none" w:pos="232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 Landlord shall, subject to Force Majeure delays,</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 Premises available to Tenant for Tenant’s Work under the Work Letter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upon the full execution and delivery of this Lease (collectively, the “</w:t>
      </w:r>
      <w:r>
        <w:rPr>
          <w:rFonts w:ascii="Arial" w:cs="Arial" w:eastAsia="Arial" w:hAnsi="Arial"/>
          <w:sz w:val="18"/>
          <w:szCs w:val="18"/>
          <w:b w:val="1"/>
          <w:bCs w:val="1"/>
          <w:color w:val="auto"/>
        </w:rPr>
        <w:t>Delivery Conditions</w:t>
      </w:r>
      <w:r>
        <w:rPr>
          <w:rFonts w:ascii="Arial" w:cs="Arial" w:eastAsia="Arial" w:hAnsi="Arial"/>
          <w:sz w:val="18"/>
          <w:szCs w:val="18"/>
          <w:color w:val="auto"/>
        </w:rPr>
        <w:t xml:space="preserve">”). Upon Delivery of the Premises to Tenant, the Premises shall be in water tight condition, except for any leaks in connection with Landlord’s Work relating to the installation of the new roof as reflected on </w:t>
      </w:r>
      <w:r>
        <w:rPr>
          <w:rFonts w:ascii="Arial" w:cs="Arial" w:eastAsia="Arial" w:hAnsi="Arial"/>
          <w:sz w:val="18"/>
          <w:szCs w:val="18"/>
          <w:b w:val="1"/>
          <w:bCs w:val="1"/>
          <w:color w:val="auto"/>
        </w:rPr>
        <w:t>Exhibit H</w:t>
      </w:r>
      <w:r>
        <w:rPr>
          <w:rFonts w:ascii="Arial" w:cs="Arial" w:eastAsia="Arial" w:hAnsi="Arial"/>
          <w:sz w:val="18"/>
          <w:szCs w:val="18"/>
          <w:color w:val="auto"/>
        </w:rPr>
        <w:t>. If Landlord fails to timely Deliver the Premises, Landlord shall not be liable to Tenant for any loss or damage resulting therefrom, and this Lease shall not be void or voidable except as provided herein. If Landlord does not Deliver the Premises within 60 days of the mutual execution and delivery of this Lease by the parties for any reason other than Force Majeure delays, this Lease may be terminated by Tenant by written notice to Landlord, and if so terminated by Tenant, neither Landlord nor Tenant shall have any further rights, duties or obligations under this Lease, except with respect to provisions which expressly survive termination of this Lease. As used herein, the term “</w:t>
      </w:r>
      <w:r>
        <w:rPr>
          <w:rFonts w:ascii="Arial" w:cs="Arial" w:eastAsia="Arial" w:hAnsi="Arial"/>
          <w:sz w:val="18"/>
          <w:szCs w:val="18"/>
          <w:b w:val="1"/>
          <w:bCs w:val="1"/>
          <w:color w:val="auto"/>
        </w:rPr>
        <w:t>Tenant’s Work</w:t>
      </w:r>
      <w:r>
        <w:rPr>
          <w:rFonts w:ascii="Arial" w:cs="Arial" w:eastAsia="Arial" w:hAnsi="Arial"/>
          <w:sz w:val="18"/>
          <w:szCs w:val="18"/>
          <w:color w:val="auto"/>
        </w:rPr>
        <w:t>” shall have the meaning set forth for such term in the Work Letter. If Tenant does not elect to terminate this Lease within 5 business days of the lapse of such 60 day period, such right to terminate this Lease shall be waived and this Lease shall remain in full force and effect.</w:t>
      </w:r>
    </w:p>
    <w:p>
      <w:pPr>
        <w:spacing w:after="0" w:line="18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date Landlord Delivers the Premises to Tenant. The “</w:t>
      </w:r>
      <w:r>
        <w:rPr>
          <w:rFonts w:ascii="Arial" w:cs="Arial" w:eastAsia="Arial" w:hAnsi="Arial"/>
          <w:sz w:val="18"/>
          <w:szCs w:val="18"/>
          <w:b w:val="1"/>
          <w:bCs w:val="1"/>
          <w:color w:val="auto"/>
        </w:rPr>
        <w:t>Rent Commencement Date</w:t>
      </w:r>
      <w:r>
        <w:rPr>
          <w:rFonts w:ascii="Arial" w:cs="Arial" w:eastAsia="Arial" w:hAnsi="Arial"/>
          <w:sz w:val="18"/>
          <w:szCs w:val="18"/>
          <w:color w:val="auto"/>
        </w:rPr>
        <w:t>” shall be the earlier of: (i) the date Tenant commences conducting business on a continuous basis in at least 40% of the Premises, or (ii) the “</w:t>
      </w:r>
      <w:r>
        <w:rPr>
          <w:rFonts w:ascii="Arial" w:cs="Arial" w:eastAsia="Arial" w:hAnsi="Arial"/>
          <w:sz w:val="18"/>
          <w:szCs w:val="18"/>
          <w:b w:val="1"/>
          <w:bCs w:val="1"/>
          <w:color w:val="auto"/>
        </w:rPr>
        <w:t>Outside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which shall be the later of the date the Landlord substantially completes Landlord’s Work (the “</w:t>
      </w:r>
      <w:r>
        <w:rPr>
          <w:rFonts w:ascii="Arial" w:cs="Arial" w:eastAsia="Arial" w:hAnsi="Arial"/>
          <w:sz w:val="18"/>
          <w:szCs w:val="18"/>
          <w:b w:val="1"/>
          <w:bCs w:val="1"/>
          <w:color w:val="auto"/>
        </w:rPr>
        <w:t>Completion Date</w:t>
      </w:r>
      <w:r>
        <w:rPr>
          <w:rFonts w:ascii="Arial" w:cs="Arial" w:eastAsia="Arial" w:hAnsi="Arial"/>
          <w:sz w:val="18"/>
          <w:szCs w:val="18"/>
          <w:color w:val="auto"/>
        </w:rPr>
        <w:t>”), or December 1, 2016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however, that such date of December 1, 2016, shall be extended 1 day for each day after the date that is 10 days after both Delivery Conditions have been satisfied that Landlord fails to Deliver the Premises to Tenant). Upon request of Landlord, Tenant shall execute and deliver a written acknowledgment of the Commencement Date, the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on the first page of this Lease and the Extension Term which Tenant may elect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hereof.</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 xml:space="preserve">Tenant acknowledges that Landlord shall require access to the Premises following the Commencement Date in order to perform the work described on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attached hereto (“</w:t>
      </w:r>
      <w:r>
        <w:rPr>
          <w:rFonts w:ascii="Arial" w:cs="Arial" w:eastAsia="Arial" w:hAnsi="Arial"/>
          <w:sz w:val="18"/>
          <w:szCs w:val="18"/>
          <w:b w:val="1"/>
          <w:bCs w:val="1"/>
          <w:color w:val="auto"/>
        </w:rPr>
        <w:t>Landlord’s Work</w:t>
      </w:r>
      <w:r>
        <w:rPr>
          <w:rFonts w:ascii="Arial" w:cs="Arial" w:eastAsia="Arial" w:hAnsi="Arial"/>
          <w:sz w:val="18"/>
          <w:szCs w:val="18"/>
          <w:color w:val="auto"/>
        </w:rPr>
        <w:t>”), which Landlord’s Work consists of the “</w:t>
      </w:r>
      <w:r>
        <w:rPr>
          <w:rFonts w:ascii="Arial" w:cs="Arial" w:eastAsia="Arial" w:hAnsi="Arial"/>
          <w:sz w:val="18"/>
          <w:szCs w:val="18"/>
          <w:b w:val="1"/>
          <w:bCs w:val="1"/>
          <w:color w:val="auto"/>
        </w:rPr>
        <w:t>Initial Landlord’s Work</w:t>
      </w:r>
      <w:r>
        <w:rPr>
          <w:rFonts w:ascii="Arial" w:cs="Arial" w:eastAsia="Arial" w:hAnsi="Arial"/>
          <w:sz w:val="18"/>
          <w:szCs w:val="18"/>
          <w:color w:val="auto"/>
        </w:rPr>
        <w:t>” and the “</w:t>
      </w:r>
      <w:r>
        <w:rPr>
          <w:rFonts w:ascii="Arial" w:cs="Arial" w:eastAsia="Arial" w:hAnsi="Arial"/>
          <w:sz w:val="18"/>
          <w:szCs w:val="18"/>
          <w:b w:val="1"/>
          <w:bCs w:val="1"/>
          <w:color w:val="auto"/>
        </w:rPr>
        <w:t>Remaining Landlord’s Work</w:t>
      </w:r>
      <w:r>
        <w:rPr>
          <w:rFonts w:ascii="Arial" w:cs="Arial" w:eastAsia="Arial" w:hAnsi="Arial"/>
          <w:sz w:val="18"/>
          <w:szCs w:val="18"/>
          <w:color w:val="auto"/>
        </w:rPr>
        <w:t xml:space="preserve">” described on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Landlord’s Work shall be performed and completed at the sole cost and expense of Landlord and no such cost or expense shall constitute an Operating Expenses or be applied against the TI Allowance. Tenant shall have no right to request any changes to the scope of Landlord’s Work. In no event shall Landlord’s Work include any warm shell elements such as mechanical systems, lobby, restrooms, moisture barrier or any other work not specifically described on </w:t>
      </w:r>
      <w:r>
        <w:rPr>
          <w:rFonts w:ascii="Arial" w:cs="Arial" w:eastAsia="Arial" w:hAnsi="Arial"/>
          <w:sz w:val="18"/>
          <w:szCs w:val="18"/>
          <w:b w:val="1"/>
          <w:bCs w:val="1"/>
          <w:color w:val="auto"/>
        </w:rPr>
        <w:t>Exhibit H</w:t>
      </w:r>
      <w:r>
        <w:rPr>
          <w:rFonts w:ascii="Arial" w:cs="Arial" w:eastAsia="Arial" w:hAnsi="Arial"/>
          <w:sz w:val="18"/>
          <w:szCs w:val="18"/>
          <w:color w:val="auto"/>
        </w:rPr>
        <w:t>. Landlord and its contractors shall have the right to enter the Premises following the Commencement Date to perform Landlord’s Work. Landlord shall use reasonable efforts to cause the Initial Landlord’s Work to be substantially completed within 60 days after the Commencement Date (subject to Force Majeure delays and delays caused by Tenant). During Landlord’s performance of the Initial Landlord’s Work, Tenant’s access to the Premises for the performance of Tenant’s Work shall be coordinated with Landlord and subject to all reasonable restrictions and conditions Landlord may impose. Following the substantial completion by Landlord of the Initial Landlord’s Work, Landlord does not anticipate requiring much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130810</wp:posOffset>
            </wp:positionV>
            <wp:extent cx="242697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the interior of the Building other than in connection with the electrical upgrade portion (the “</w:t>
      </w:r>
      <w:r>
        <w:rPr>
          <w:rFonts w:ascii="Arial" w:cs="Arial" w:eastAsia="Arial" w:hAnsi="Arial"/>
          <w:sz w:val="18"/>
          <w:szCs w:val="18"/>
          <w:b w:val="1"/>
          <w:bCs w:val="1"/>
          <w:color w:val="auto"/>
        </w:rPr>
        <w:t>Electrical Work</w:t>
      </w:r>
      <w:r>
        <w:rPr>
          <w:rFonts w:ascii="Arial" w:cs="Arial" w:eastAsia="Arial" w:hAnsi="Arial"/>
          <w:sz w:val="18"/>
          <w:szCs w:val="18"/>
          <w:color w:val="auto"/>
        </w:rPr>
        <w:t xml:space="preserve">”) of the Remaining Landlord’s Work. Landlord shall coordinate its performance of the Electrical Work with Tenant so as to minimize interference with Tenant’s performance of Tenant’s Work. Landlord shall use reasonable efforts to perform Landlord’s Work pursuant to the schedule attached as part of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and to cause Landlord’s Work to be substantially completed on or before December 1, 2016 (as such date may be extended by Force Majeure delays and delays caused by Tenant, the “</w:t>
      </w:r>
      <w:r>
        <w:rPr>
          <w:rFonts w:ascii="Arial" w:cs="Arial" w:eastAsia="Arial" w:hAnsi="Arial"/>
          <w:sz w:val="18"/>
          <w:szCs w:val="18"/>
          <w:b w:val="1"/>
          <w:bCs w:val="1"/>
          <w:color w:val="auto"/>
        </w:rPr>
        <w:t>Target Completion Date</w:t>
      </w:r>
      <w:r>
        <w:rPr>
          <w:rFonts w:ascii="Arial" w:cs="Arial" w:eastAsia="Arial" w:hAnsi="Arial"/>
          <w:sz w:val="18"/>
          <w:szCs w:val="18"/>
          <w:color w:val="auto"/>
        </w:rPr>
        <w:t xml:space="preserve">”). Landlord shall cause Landlord’s Work to be substantially completed in accordance with applicable Legal Requirements. Notwithstanding anything to the contrary contained in this Lease, in no event shall Landlord’s Work be considered substantially complete nor shall the Completion Date occur if Tenant is unable to obtain a certificate or temporary certificate of occupancy (or its equivalent) for the Premises permitting lawful occupancy of the Premises in connection with the Tenant Improvements from the applicable Governmental Authorities solely because of the failure of Landlord’s Work to be substantially completed. If Landlord fails to substantially complete Landlord’s Work on or before the Target Completion Date, Tenant shall receive a credit against Base Rent, Operating Expenses and the Amenities Fee (as defined in </w:t>
      </w:r>
      <w:r>
        <w:rPr>
          <w:rFonts w:ascii="Arial" w:cs="Arial" w:eastAsia="Arial" w:hAnsi="Arial"/>
          <w:sz w:val="18"/>
          <w:szCs w:val="18"/>
          <w:u w:val="single" w:color="auto"/>
          <w:color w:val="auto"/>
        </w:rPr>
        <w:t>Section 40(b)</w:t>
      </w:r>
      <w:r>
        <w:rPr>
          <w:rFonts w:ascii="Arial" w:cs="Arial" w:eastAsia="Arial" w:hAnsi="Arial"/>
          <w:sz w:val="18"/>
          <w:szCs w:val="18"/>
          <w:color w:val="auto"/>
        </w:rPr>
        <w:t>) first coming due after the Rent Commencement Date or, if applicable, the expiration of the Abatement Period, for each day after the Target Completion Date that Landlord fails to substantially complete Landlord’s Work.</w:t>
      </w:r>
    </w:p>
    <w:p>
      <w:pPr>
        <w:spacing w:after="0" w:line="204"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If, prior to or during the construction of the Tenant Improvements, it is reasonably determined by Landlord and Tenant that (i) the Structural Items are not in good condition and repair, or (ii) there exists a defect in the Structural Items (not including any defect being addressed as part of the Initial Landlord’s Work), which condition or defect was not caused by Tenant or any Tenant Party, and which condition or defect requires Tenant to delay construction of the Tenant Improvements, then the Outside Date shall be extended 1 day for each day that construction of the Tenant Improvements is delayed in order for Landlord to correct such condition or defect. Landlord shall be responsible, at Landlord’s sole cost, for repairing such Structural Items, unless Tenant or any Tenant Party was responsible for the cause of such repair.</w:t>
      </w:r>
    </w:p>
    <w:p>
      <w:pPr>
        <w:spacing w:after="0" w:line="20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 xml:space="preserve">Except as set forth in the Work Letter or as otherwise set forth in this Lease: (i) Tenant shall accept the Premises in their condition as of the Commencement Date, subject to all applicable Legal Requirements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(ii) Landlord shall have no obligation for any defects in the Premises; and (iii) Tenant’s taking possession of the Premises shall be conclusive evidence that Tenant accepts the Premises. Any occupancy of the Premises by Tenant before the Commencement Date shall be subject to all of the terms and conditions of this Lease, excluding the obligation to pay Base Rent and Operating Expenses.</w:t>
      </w:r>
    </w:p>
    <w:p>
      <w:pPr>
        <w:spacing w:after="0" w:line="20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Tenant agrees and acknowledges that, except as otherwise expressly provided for in this Lease,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w:t>
      </w:r>
    </w:p>
    <w:p>
      <w:pPr>
        <w:spacing w:after="0" w:line="183" w:lineRule="exact"/>
        <w:rPr>
          <w:sz w:val="20"/>
          <w:szCs w:val="20"/>
          <w:color w:val="auto"/>
        </w:rPr>
      </w:pPr>
    </w:p>
    <w:p>
      <w:pPr>
        <w:ind w:left="2340" w:hanging="1455"/>
        <w:spacing w:after="0"/>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tabs>
          <w:tab w:leader="none" w:pos="239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Base Rent for the month in which the Rent Commencement Date occurs shall be due and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or before the Rent Commencement Date. Tenant shall pay to Landlord in advance, without demand, abatement, deduction or set-off, monthly installments of Base Rent on or before the first day of each calendar month during the Term hereof after the Rent Commencement Date,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 Notwithstanding anything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4</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the contrary contained in this Lease, in no event shall Tenant be required to pay for Base Rent or Operating Expenses for any period prior to the Rent Commencement Date.</w:t>
      </w:r>
    </w:p>
    <w:p>
      <w:pPr>
        <w:spacing w:after="0" w:line="197"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Notwithstanding anything to the contrary contained herein, so long as no Default has occurred and is continuing under this Lease, Tenant shall not be required to pay Base Rent with respect to the Premises for the period commencing on the later of (i) the Rent Commencement Date, or (ii) February 1, 2017 (either, the “</w:t>
      </w:r>
      <w:r>
        <w:rPr>
          <w:rFonts w:ascii="Arial" w:cs="Arial" w:eastAsia="Arial" w:hAnsi="Arial"/>
          <w:sz w:val="18"/>
          <w:szCs w:val="18"/>
          <w:b w:val="1"/>
          <w:bCs w:val="1"/>
          <w:color w:val="auto"/>
        </w:rPr>
        <w:t>Abatement Commencement Date</w:t>
      </w:r>
      <w:r>
        <w:rPr>
          <w:rFonts w:ascii="Arial" w:cs="Arial" w:eastAsia="Arial" w:hAnsi="Arial"/>
          <w:sz w:val="18"/>
          <w:szCs w:val="18"/>
          <w:color w:val="auto"/>
        </w:rPr>
        <w:t>”), through the date that is 7 months after the Abatement Commencement Date (the “</w:t>
      </w:r>
      <w:r>
        <w:rPr>
          <w:rFonts w:ascii="Arial" w:cs="Arial" w:eastAsia="Arial" w:hAnsi="Arial"/>
          <w:sz w:val="18"/>
          <w:szCs w:val="18"/>
          <w:b w:val="1"/>
          <w:bCs w:val="1"/>
          <w:color w:val="auto"/>
        </w:rPr>
        <w:t>Abatement Period</w:t>
      </w:r>
      <w:r>
        <w:rPr>
          <w:rFonts w:ascii="Arial" w:cs="Arial" w:eastAsia="Arial" w:hAnsi="Arial"/>
          <w:sz w:val="18"/>
          <w:szCs w:val="18"/>
          <w:color w:val="auto"/>
        </w:rPr>
        <w:t>”). Tenant shall commence or resume, as applicable, paying Base Rent on the day immediately following the expiration of the Abatement Period.</w:t>
      </w:r>
    </w:p>
    <w:p>
      <w:pPr>
        <w:spacing w:after="0" w:line="181" w:lineRule="exact"/>
        <w:rPr>
          <w:sz w:val="20"/>
          <w:szCs w:val="20"/>
          <w:color w:val="auto"/>
        </w:rPr>
      </w:pPr>
    </w:p>
    <w:p>
      <w:pPr>
        <w:ind w:left="2400" w:hanging="1515"/>
        <w:spacing w:after="0"/>
        <w:tabs>
          <w:tab w:leader="none" w:pos="24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Tenant agrees to pay to Landlord as additional rent (“</w:t>
      </w:r>
      <w:r>
        <w:rPr>
          <w:rFonts w:ascii="Arial" w:cs="Arial" w:eastAsia="Arial" w:hAnsi="Arial"/>
          <w:sz w:val="18"/>
          <w:szCs w:val="18"/>
          <w:b w:val="1"/>
          <w:bCs w:val="1"/>
          <w:color w:val="auto"/>
        </w:rPr>
        <w:t>Additional</w:t>
      </w:r>
    </w:p>
    <w:p>
      <w:pPr>
        <w:spacing w:after="0" w:line="17" w:lineRule="exact"/>
        <w:rPr>
          <w:rFonts w:ascii="Arial" w:cs="Arial" w:eastAsia="Arial" w:hAnsi="Arial"/>
          <w:sz w:val="18"/>
          <w:szCs w:val="18"/>
          <w:color w:val="auto"/>
        </w:rPr>
      </w:pPr>
    </w:p>
    <w:p>
      <w:pPr>
        <w:jc w:val="both"/>
        <w:spacing w:after="0" w:line="239" w:lineRule="auto"/>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 (i) commencing on the Rent Commencement Date, Tenant’s Share of “Operating Expenses”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80" w:lineRule="exact"/>
        <w:rPr>
          <w:sz w:val="20"/>
          <w:szCs w:val="20"/>
          <w:color w:val="auto"/>
        </w:rPr>
      </w:pPr>
    </w:p>
    <w:p>
      <w:pPr>
        <w:ind w:left="2340" w:hanging="1455"/>
        <w:spacing w:after="0"/>
        <w:tabs>
          <w:tab w:leader="none" w:pos="23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47" w:lineRule="auto"/>
        <w:tabs>
          <w:tab w:leader="none" w:pos="239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Annual Adjustments</w:t>
      </w:r>
      <w:r>
        <w:rPr>
          <w:rFonts w:ascii="Arial" w:cs="Arial" w:eastAsia="Arial" w:hAnsi="Arial"/>
          <w:sz w:val="18"/>
          <w:szCs w:val="18"/>
          <w:color w:val="auto"/>
        </w:rPr>
        <w:t>. Base Rent shall be increased on each annual anniversary of the Rent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74" w:lineRule="exact"/>
        <w:rPr>
          <w:rFonts w:ascii="Arial" w:cs="Arial" w:eastAsia="Arial" w:hAnsi="Arial"/>
          <w:sz w:val="18"/>
          <w:szCs w:val="18"/>
          <w:color w:val="auto"/>
        </w:rPr>
      </w:pPr>
    </w:p>
    <w:p>
      <w:pPr>
        <w:jc w:val="both"/>
        <w:ind w:firstLine="885"/>
        <w:spacing w:after="0" w:line="239" w:lineRule="auto"/>
        <w:tabs>
          <w:tab w:leader="none" w:pos="239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subject to the terms of the Work Letter, make available to Tenant the TI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Work Letter). Commencing on the Rent Commencement Date and continuing thereafter on the first day of each month during the Base Term, Tenant shall pay the amount necessary to fully amortize the portion of the TI Allowance actually funded by Landlord, if any, in equal monthly payments with interest on the TI Allowance at a rate of 8% per annum over the Base Term (“</w:t>
      </w:r>
      <w:r>
        <w:rPr>
          <w:rFonts w:ascii="Arial" w:cs="Arial" w:eastAsia="Arial" w:hAnsi="Arial"/>
          <w:sz w:val="18"/>
          <w:szCs w:val="18"/>
          <w:b w:val="1"/>
          <w:bCs w:val="1"/>
          <w:color w:val="auto"/>
        </w:rPr>
        <w:t>TI Rent</w:t>
      </w:r>
      <w:r>
        <w:rPr>
          <w:rFonts w:ascii="Arial" w:cs="Arial" w:eastAsia="Arial" w:hAnsi="Arial"/>
          <w:sz w:val="18"/>
          <w:szCs w:val="18"/>
          <w:color w:val="auto"/>
        </w:rPr>
        <w:t>”), which interest shall begin to accrue on the date that Landlord first disburses such TI Allowance or any portion(s) thereof. Such interest shall accrue only on that portion of the TI Allowance that has actually been disbursed in accordance with the Work Letter and shall cease to accrue on such disbursed portions of the TI Allowance when such disbursed portions of the TI Allowance have been paid by Tenant to Landlord. Tenant may prepay all or a portion of the TI Rent at any time during the Base Term without penalty. Interest accruing on the disbursed TI Allowance so prepaid shall cease upon such receipt by Landlord of such payment and the amount of the outstanding TI Rent shall be reduced to reflect such prepayment and the cessation of interest on the prepaid portion of the TI Allowance.</w:t>
      </w:r>
    </w:p>
    <w:p>
      <w:pPr>
        <w:spacing w:after="0" w:line="181" w:lineRule="exact"/>
        <w:rPr>
          <w:sz w:val="20"/>
          <w:szCs w:val="20"/>
          <w:color w:val="auto"/>
        </w:rPr>
      </w:pPr>
    </w:p>
    <w:p>
      <w:pPr>
        <w:jc w:val="both"/>
        <w:ind w:firstLine="885"/>
        <w:spacing w:after="0" w:line="242" w:lineRule="auto"/>
        <w:tabs>
          <w:tab w:leader="none" w:pos="2324"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Following the Commencement Date, Landlord shall endeavor to, at least 30</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to the beginning of each calendar year during the Term, deliver to Tenant a written estimate of Operating Expenses for each calendar year 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(but not more than twice in any given calendar year during the Term). Commencing on the Rent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79"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all actual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building located in the Project) (including, without duplication,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Permitted Capital Repairs and Improvements (as defined below) amortized over the useful life of such capital items (as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127000</wp:posOffset>
            </wp:positionV>
            <wp:extent cx="2426970" cy="411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5</w:t>
      </w:r>
    </w:p>
    <w:p>
      <w:pPr>
        <w:spacing w:after="0" w:line="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determined by Landlord taking into account all relevant factors), and the costs of Landlord’s third party property manager or, if there is no third party property manager, administration rent in the amount of 2.0% of Base Rent (provided that during the Abatement Period, Tenant shall nonetheless be required to pay administration rent each month equal to the amount of the administration rent that Tenant would have been required to pay in the absence of there being an Abatement Period), excluding only:</w:t>
      </w:r>
    </w:p>
    <w:p>
      <w:pPr>
        <w:spacing w:after="0" w:line="202" w:lineRule="exact"/>
        <w:rPr>
          <w:sz w:val="20"/>
          <w:szCs w:val="20"/>
          <w:color w:val="auto"/>
        </w:rPr>
      </w:pPr>
    </w:p>
    <w:p>
      <w:pPr>
        <w:ind w:firstLine="885"/>
        <w:spacing w:after="0" w:line="246" w:lineRule="auto"/>
        <w:tabs>
          <w:tab w:leader="none" w:pos="23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the Lease and costs of correcting defects in such original construction or renovation;</w:t>
      </w:r>
    </w:p>
    <w:p>
      <w:pPr>
        <w:spacing w:after="0" w:line="196" w:lineRule="exact"/>
        <w:rPr>
          <w:rFonts w:ascii="Arial" w:cs="Arial" w:eastAsia="Arial" w:hAnsi="Arial"/>
          <w:sz w:val="18"/>
          <w:szCs w:val="18"/>
          <w:color w:val="auto"/>
        </w:rPr>
      </w:pPr>
    </w:p>
    <w:p>
      <w:pPr>
        <w:jc w:val="both"/>
        <w:ind w:firstLine="885"/>
        <w:spacing w:after="0" w:line="239" w:lineRule="auto"/>
        <w:tabs>
          <w:tab w:leader="none" w:pos="23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capital expenditures except for capital expenditures (i) which are required in order to comply with Legal Requirements (but excluding Landlord’s obligations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below which are designated as being at Landlord’s sole cost and not as part of Operating Expenses); (ii) triggered by Tenant’s use of the Building, and/or (iii) the need for which was caused by Tenant or any Tenant Party (collectively, “</w:t>
      </w:r>
      <w:r>
        <w:rPr>
          <w:rFonts w:ascii="Arial" w:cs="Arial" w:eastAsia="Arial" w:hAnsi="Arial"/>
          <w:sz w:val="18"/>
          <w:szCs w:val="18"/>
          <w:b w:val="1"/>
          <w:bCs w:val="1"/>
          <w:color w:val="auto"/>
        </w:rPr>
        <w:t>Permitted Capital Repairs and Improvements</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jc w:val="both"/>
        <w:ind w:right="20" w:firstLine="885"/>
        <w:spacing w:after="0"/>
        <w:tabs>
          <w:tab w:leader="none" w:pos="23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interest, principal payments, points or fees on any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202" w:lineRule="exact"/>
        <w:rPr>
          <w:rFonts w:ascii="Arial" w:cs="Arial" w:eastAsia="Arial" w:hAnsi="Arial"/>
          <w:sz w:val="18"/>
          <w:szCs w:val="18"/>
          <w:color w:val="auto"/>
        </w:rPr>
      </w:pPr>
    </w:p>
    <w:p>
      <w:pPr>
        <w:ind w:firstLine="885"/>
        <w:spacing w:after="0" w:line="246" w:lineRule="auto"/>
        <w:tabs>
          <w:tab w:leader="none" w:pos="23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depreciation of the Project (notwithstanding the foregoing, the pass through of Permitted Capital Repairs and Improvements, subject to applicable amortization on a straight-line basis is allowable under this Lease);</w:t>
      </w:r>
    </w:p>
    <w:p>
      <w:pPr>
        <w:spacing w:after="0" w:line="196" w:lineRule="exact"/>
        <w:rPr>
          <w:rFonts w:ascii="Arial" w:cs="Arial" w:eastAsia="Arial" w:hAnsi="Arial"/>
          <w:sz w:val="18"/>
          <w:szCs w:val="18"/>
          <w:color w:val="auto"/>
        </w:rPr>
      </w:pPr>
    </w:p>
    <w:p>
      <w:pPr>
        <w:jc w:val="both"/>
        <w:ind w:firstLine="885"/>
        <w:spacing w:after="0"/>
        <w:tabs>
          <w:tab w:leader="none" w:pos="23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marketing, 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202" w:lineRule="exact"/>
        <w:rPr>
          <w:rFonts w:ascii="Arial" w:cs="Arial" w:eastAsia="Arial" w:hAnsi="Arial"/>
          <w:sz w:val="18"/>
          <w:szCs w:val="18"/>
          <w:color w:val="auto"/>
        </w:rPr>
      </w:pPr>
    </w:p>
    <w:p>
      <w:pPr>
        <w:ind w:left="2360" w:hanging="1475"/>
        <w:spacing w:after="0"/>
        <w:tabs>
          <w:tab w:leader="none" w:pos="2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legal and other costs and expenses incurred in the negotiation or enforcement of leases;</w:t>
      </w:r>
    </w:p>
    <w:p>
      <w:pPr>
        <w:spacing w:after="0" w:line="211" w:lineRule="exact"/>
        <w:rPr>
          <w:rFonts w:ascii="Arial" w:cs="Arial" w:eastAsia="Arial" w:hAnsi="Arial"/>
          <w:sz w:val="18"/>
          <w:szCs w:val="18"/>
          <w:color w:val="auto"/>
        </w:rPr>
      </w:pPr>
    </w:p>
    <w:p>
      <w:pPr>
        <w:jc w:val="both"/>
        <w:ind w:firstLine="885"/>
        <w:spacing w:after="0"/>
        <w:tabs>
          <w:tab w:leader="none" w:pos="23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for or in connection with completing, fixturing, improving, renovating, painting, redecorating or other work, which Landlord pays for or performs for other tenants within their premises (including, without limitation, costs for permits, licenses and inspections), and costs of correcting defects in such work;</w:t>
      </w:r>
    </w:p>
    <w:p>
      <w:pPr>
        <w:spacing w:after="0" w:line="202" w:lineRule="exact"/>
        <w:rPr>
          <w:rFonts w:ascii="Arial" w:cs="Arial" w:eastAsia="Arial" w:hAnsi="Arial"/>
          <w:sz w:val="18"/>
          <w:szCs w:val="18"/>
          <w:color w:val="auto"/>
        </w:rPr>
      </w:pPr>
    </w:p>
    <w:p>
      <w:pPr>
        <w:ind w:right="20" w:firstLine="885"/>
        <w:spacing w:after="0" w:line="246" w:lineRule="auto"/>
        <w:tabs>
          <w:tab w:leader="none" w:pos="23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pacing w:after="0" w:line="196" w:lineRule="exact"/>
        <w:rPr>
          <w:rFonts w:ascii="Arial" w:cs="Arial" w:eastAsia="Arial" w:hAnsi="Arial"/>
          <w:sz w:val="18"/>
          <w:szCs w:val="18"/>
          <w:color w:val="auto"/>
        </w:rPr>
      </w:pPr>
    </w:p>
    <w:p>
      <w:pPr>
        <w:jc w:val="both"/>
        <w:ind w:firstLine="885"/>
        <w:spacing w:after="0" w:line="237" w:lineRule="auto"/>
        <w:tabs>
          <w:tab w:leader="none" w:pos="2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(i) personnel of Landlord or its agents or contractors above the position of the person, regardless of title, who has day-to-day management responsibility for the Project or (ii) officers and employees of Landlord or its affiliates who are not assigned in whole or in part to the operation, management, maintenance or repair of the Project; provided, however, that with respect to any such person who does not devote substantially all of his or her employed time to the Project, the salaries, wages, benefits and other compensation of such person shall be prorated to reflect time spent on matters related to operating, managing, maintaining or repairing the Project in comparison to the time spent on matters unrelated to operating, managing, maintaining or repairing the Project;</w:t>
      </w:r>
    </w:p>
    <w:p>
      <w:pPr>
        <w:spacing w:after="0" w:line="203" w:lineRule="exact"/>
        <w:rPr>
          <w:rFonts w:ascii="Arial" w:cs="Arial" w:eastAsia="Arial" w:hAnsi="Arial"/>
          <w:sz w:val="18"/>
          <w:szCs w:val="18"/>
          <w:color w:val="auto"/>
        </w:rPr>
      </w:pPr>
    </w:p>
    <w:p>
      <w:pPr>
        <w:ind w:firstLine="885"/>
        <w:spacing w:after="0" w:line="246" w:lineRule="auto"/>
        <w:tabs>
          <w:tab w:leader="none" w:pos="2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96" w:lineRule="exact"/>
        <w:rPr>
          <w:rFonts w:ascii="Arial" w:cs="Arial" w:eastAsia="Arial" w:hAnsi="Arial"/>
          <w:sz w:val="18"/>
          <w:szCs w:val="18"/>
          <w:color w:val="auto"/>
        </w:rPr>
      </w:pPr>
    </w:p>
    <w:p>
      <w:pPr>
        <w:jc w:val="both"/>
        <w:ind w:firstLine="885"/>
        <w:spacing w:after="0"/>
        <w:tabs>
          <w:tab w:leader="none" w:pos="23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(including, without limitation, attorneys’ fees and costs of settlement, judgments and payments in lieu thereof) incurred in connection with disputes with tenants, other occupants, or prospective tenants, and costs and expenses, including legal fees, incurred in connection with negotiations or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with employees, consultants, management agents, leasing agents, purchasers or mortgagees of the Building;</w:t>
      </w:r>
    </w:p>
    <w:p>
      <w:pPr>
        <w:spacing w:after="0" w:line="212" w:lineRule="exact"/>
        <w:rPr>
          <w:sz w:val="20"/>
          <w:szCs w:val="20"/>
          <w:color w:val="auto"/>
        </w:rPr>
      </w:pPr>
    </w:p>
    <w:p>
      <w:pPr>
        <w:ind w:firstLine="885"/>
        <w:spacing w:after="0" w:line="246" w:lineRule="auto"/>
        <w:tabs>
          <w:tab w:leader="none" w:pos="2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right="20" w:firstLine="885"/>
        <w:spacing w:after="0"/>
        <w:tabs>
          <w:tab w:leader="none" w:pos="24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202" w:lineRule="exact"/>
        <w:rPr>
          <w:rFonts w:ascii="Arial" w:cs="Arial" w:eastAsia="Arial" w:hAnsi="Arial"/>
          <w:sz w:val="18"/>
          <w:szCs w:val="18"/>
          <w:color w:val="auto"/>
        </w:rPr>
      </w:pPr>
    </w:p>
    <w:p>
      <w:pPr>
        <w:ind w:firstLine="885"/>
        <w:spacing w:after="0" w:line="246" w:lineRule="auto"/>
        <w:tabs>
          <w:tab w:leader="none" w:pos="23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96" w:lineRule="exact"/>
        <w:rPr>
          <w:rFonts w:ascii="Arial" w:cs="Arial" w:eastAsia="Arial" w:hAnsi="Arial"/>
          <w:sz w:val="18"/>
          <w:szCs w:val="18"/>
          <w:color w:val="auto"/>
        </w:rPr>
      </w:pPr>
    </w:p>
    <w:p>
      <w:pPr>
        <w:ind w:left="2400" w:hanging="1515"/>
        <w:spacing w:after="0"/>
        <w:tabs>
          <w:tab w:leader="none" w:pos="2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11" w:lineRule="exact"/>
        <w:rPr>
          <w:rFonts w:ascii="Arial" w:cs="Arial" w:eastAsia="Arial" w:hAnsi="Arial"/>
          <w:sz w:val="18"/>
          <w:szCs w:val="18"/>
          <w:color w:val="auto"/>
        </w:rPr>
      </w:pPr>
    </w:p>
    <w:p>
      <w:pPr>
        <w:jc w:val="both"/>
        <w:ind w:firstLine="885"/>
        <w:spacing w:after="0"/>
        <w:tabs>
          <w:tab w:leader="none" w:pos="23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202" w:lineRule="exact"/>
        <w:rPr>
          <w:rFonts w:ascii="Arial" w:cs="Arial" w:eastAsia="Arial" w:hAnsi="Arial"/>
          <w:sz w:val="18"/>
          <w:szCs w:val="18"/>
          <w:color w:val="auto"/>
        </w:rPr>
      </w:pPr>
    </w:p>
    <w:p>
      <w:pPr>
        <w:ind w:left="2400" w:hanging="1515"/>
        <w:spacing w:after="0"/>
        <w:tabs>
          <w:tab w:leader="none" w:pos="2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211" w:lineRule="exact"/>
        <w:rPr>
          <w:rFonts w:ascii="Arial" w:cs="Arial" w:eastAsia="Arial" w:hAnsi="Arial"/>
          <w:sz w:val="18"/>
          <w:szCs w:val="18"/>
          <w:color w:val="auto"/>
        </w:rPr>
      </w:pPr>
    </w:p>
    <w:p>
      <w:pPr>
        <w:ind w:firstLine="885"/>
        <w:spacing w:after="0" w:line="246" w:lineRule="auto"/>
        <w:tabs>
          <w:tab w:leader="none" w:pos="23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96" w:lineRule="exact"/>
        <w:rPr>
          <w:rFonts w:ascii="Arial" w:cs="Arial" w:eastAsia="Arial" w:hAnsi="Arial"/>
          <w:sz w:val="18"/>
          <w:szCs w:val="18"/>
          <w:color w:val="auto"/>
        </w:rPr>
      </w:pPr>
    </w:p>
    <w:p>
      <w:pPr>
        <w:ind w:firstLine="885"/>
        <w:spacing w:after="0" w:line="246" w:lineRule="auto"/>
        <w:tabs>
          <w:tab w:leader="none" w:pos="23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any costs incurred to remove, study, test or remediate Hazardous Material in or about the Building or the Project for which Tenant is not responsible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w:t>
      </w:r>
    </w:p>
    <w:p>
      <w:pPr>
        <w:spacing w:after="0" w:line="192" w:lineRule="exact"/>
        <w:rPr>
          <w:rFonts w:ascii="Arial" w:cs="Arial" w:eastAsia="Arial" w:hAnsi="Arial"/>
          <w:sz w:val="18"/>
          <w:szCs w:val="18"/>
          <w:color w:val="auto"/>
        </w:rPr>
      </w:pPr>
    </w:p>
    <w:p>
      <w:pPr>
        <w:ind w:left="2360" w:hanging="1475"/>
        <w:spacing w:after="0"/>
        <w:tabs>
          <w:tab w:leader="none" w:pos="2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cost of Structural Items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for which Landlord is solely responsible pursuant to </w:t>
      </w:r>
      <w:r>
        <w:rPr>
          <w:rFonts w:ascii="Arial" w:cs="Arial" w:eastAsia="Arial" w:hAnsi="Arial"/>
          <w:sz w:val="18"/>
          <w:szCs w:val="18"/>
          <w:u w:val="single" w:color="auto"/>
          <w:color w:val="auto"/>
        </w:rPr>
        <w:t>Section</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13</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885"/>
        <w:spacing w:after="0" w:line="237" w:lineRule="auto"/>
        <w:tabs>
          <w:tab w:leader="none" w:pos="23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costs (not including the Amenities Fee payable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below and not as part of Operating Expenses) relating to the Torreyana Project and/or the Amenities (as such terms are defined in </w:t>
      </w:r>
      <w:r>
        <w:rPr>
          <w:rFonts w:ascii="Arial" w:cs="Arial" w:eastAsia="Arial" w:hAnsi="Arial"/>
          <w:sz w:val="18"/>
          <w:szCs w:val="18"/>
          <w:u w:val="single" w:color="auto"/>
          <w:color w:val="auto"/>
        </w:rPr>
        <w:t>Section 40(a)</w:t>
      </w:r>
      <w:r>
        <w:rPr>
          <w:rFonts w:ascii="Arial" w:cs="Arial" w:eastAsia="Arial" w:hAnsi="Arial"/>
          <w:sz w:val="18"/>
          <w:szCs w:val="18"/>
          <w:color w:val="auto"/>
        </w:rPr>
        <w:t xml:space="preserve">), not including the cost of any ancillary services or items payable by Tenant in connection with its use of the Torreyana Project or the Amenities. For the avoidance of any doubt, Tenant shall be obligated to pay for all services and items payable by Tenant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 any use agreements relating to Tenant’s use of the Torreyana Project and/or the Amenities and any other agreements executed by Tenant in connection with the use of the Torreyana Project and/or the Amenities, which services and items shall not be considered Operating Expenses;</w:t>
      </w:r>
    </w:p>
    <w:p>
      <w:pPr>
        <w:spacing w:after="0" w:line="205" w:lineRule="exact"/>
        <w:rPr>
          <w:rFonts w:ascii="Arial" w:cs="Arial" w:eastAsia="Arial" w:hAnsi="Arial"/>
          <w:sz w:val="18"/>
          <w:szCs w:val="18"/>
          <w:color w:val="auto"/>
        </w:rPr>
      </w:pPr>
    </w:p>
    <w:p>
      <w:pPr>
        <w:ind w:left="2400" w:hanging="1515"/>
        <w:spacing w:after="0"/>
        <w:tabs>
          <w:tab w:leader="none" w:pos="2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Landlord’s Work and the cost of correcting defects in Landlord’s Work;</w:t>
      </w:r>
    </w:p>
    <w:p>
      <w:pPr>
        <w:spacing w:after="0" w:line="211" w:lineRule="exact"/>
        <w:rPr>
          <w:rFonts w:ascii="Arial" w:cs="Arial" w:eastAsia="Arial" w:hAnsi="Arial"/>
          <w:sz w:val="18"/>
          <w:szCs w:val="18"/>
          <w:color w:val="auto"/>
        </w:rPr>
      </w:pPr>
    </w:p>
    <w:p>
      <w:pPr>
        <w:ind w:left="2440" w:hanging="1555"/>
        <w:spacing w:after="0"/>
        <w:tabs>
          <w:tab w:leader="none" w:pos="2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in-house legal fees;</w:t>
      </w:r>
    </w:p>
    <w:p>
      <w:pPr>
        <w:spacing w:after="0" w:line="211" w:lineRule="exact"/>
        <w:rPr>
          <w:rFonts w:ascii="Arial" w:cs="Arial" w:eastAsia="Arial" w:hAnsi="Arial"/>
          <w:sz w:val="18"/>
          <w:szCs w:val="18"/>
          <w:color w:val="auto"/>
        </w:rPr>
      </w:pPr>
    </w:p>
    <w:p>
      <w:pPr>
        <w:ind w:left="2400" w:hanging="1515"/>
        <w:spacing w:after="0"/>
        <w:tabs>
          <w:tab w:leader="none" w:pos="2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entertainment, dining or travel expenses for any purpose;</w:t>
      </w:r>
    </w:p>
    <w:p>
      <w:pPr>
        <w:spacing w:after="0" w:line="211" w:lineRule="exact"/>
        <w:rPr>
          <w:rFonts w:ascii="Arial" w:cs="Arial" w:eastAsia="Arial" w:hAnsi="Arial"/>
          <w:sz w:val="18"/>
          <w:szCs w:val="18"/>
          <w:color w:val="auto"/>
        </w:rPr>
      </w:pPr>
    </w:p>
    <w:p>
      <w:pPr>
        <w:jc w:val="both"/>
        <w:ind w:firstLine="885"/>
        <w:spacing w:after="0"/>
        <w:tabs>
          <w:tab w:leader="none" w:pos="23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any expenses otherwise includable within Operating Expenses to the extent actually reimbursed by insurance (or, if Landlord fails to maintain the insurance required to be carried by Landlord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would have been reimbursed by insurance required to be carried by Landlord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7</w:t>
      </w:r>
    </w:p>
    <w:p>
      <w:pPr>
        <w:spacing w:after="0" w:line="17" w:lineRule="exact"/>
        <w:rPr>
          <w:sz w:val="20"/>
          <w:szCs w:val="20"/>
          <w:color w:val="auto"/>
        </w:rPr>
      </w:pPr>
    </w:p>
    <w:p>
      <w:pPr>
        <w:ind w:left="2400" w:hanging="1515"/>
        <w:spacing w:after="0"/>
        <w:tabs>
          <w:tab w:leader="none" w:pos="2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occasioned by condemnation;</w:t>
      </w:r>
    </w:p>
    <w:p>
      <w:pPr>
        <w:spacing w:after="0" w:line="212" w:lineRule="exact"/>
        <w:rPr>
          <w:sz w:val="20"/>
          <w:szCs w:val="20"/>
          <w:color w:val="auto"/>
        </w:rPr>
      </w:pPr>
    </w:p>
    <w:p>
      <w:pPr>
        <w:ind w:left="2500" w:hanging="1615"/>
        <w:spacing w:after="0"/>
        <w:tabs>
          <w:tab w:leader="none" w:pos="2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and expenses resulting from the gross negligence or willful misconduct of Landlord;</w:t>
      </w:r>
    </w:p>
    <w:p>
      <w:pPr>
        <w:spacing w:after="0" w:line="211" w:lineRule="exact"/>
        <w:rPr>
          <w:rFonts w:ascii="Arial" w:cs="Arial" w:eastAsia="Arial" w:hAnsi="Arial"/>
          <w:sz w:val="18"/>
          <w:szCs w:val="18"/>
          <w:color w:val="auto"/>
        </w:rPr>
      </w:pPr>
    </w:p>
    <w:p>
      <w:pPr>
        <w:ind w:left="2500" w:hanging="1615"/>
        <w:spacing w:after="0"/>
        <w:tabs>
          <w:tab w:leader="none" w:pos="2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211" w:lineRule="exact"/>
        <w:rPr>
          <w:rFonts w:ascii="Arial" w:cs="Arial" w:eastAsia="Arial" w:hAnsi="Arial"/>
          <w:sz w:val="18"/>
          <w:szCs w:val="18"/>
          <w:color w:val="auto"/>
        </w:rPr>
      </w:pPr>
    </w:p>
    <w:p>
      <w:pPr>
        <w:ind w:left="2480" w:hanging="1595"/>
        <w:spacing w:after="0"/>
        <w:tabs>
          <w:tab w:leader="none" w:pos="2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reserves for future improvements, repairs or replacements; and</w:t>
      </w:r>
    </w:p>
    <w:p>
      <w:pPr>
        <w:spacing w:after="0" w:line="211" w:lineRule="exact"/>
        <w:rPr>
          <w:rFonts w:ascii="Arial" w:cs="Arial" w:eastAsia="Arial" w:hAnsi="Arial"/>
          <w:sz w:val="18"/>
          <w:szCs w:val="18"/>
          <w:color w:val="auto"/>
        </w:rPr>
      </w:pPr>
    </w:p>
    <w:p>
      <w:pPr>
        <w:ind w:firstLine="885"/>
        <w:spacing w:after="0" w:line="246" w:lineRule="auto"/>
        <w:tabs>
          <w:tab w:leader="none" w:pos="24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97"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Landlord shall not be entitled to collect Operating Expenses from the tenants of the Project in excess of 100% of the total Operating Expenses actually incurred by Landlord nor shall Landlord be entitled to make any profit from Landlord’s collection of Operating Expenses.</w:t>
      </w:r>
    </w:p>
    <w:p>
      <w:pPr>
        <w:spacing w:after="0" w:line="19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Within 90 days after the end of each calendar year (or such longer period as may be reasonably required), Landlord shall furnish to Tenant a statement (an “</w:t>
      </w:r>
      <w:r>
        <w:rPr>
          <w:rFonts w:ascii="Arial" w:cs="Arial" w:eastAsia="Arial" w:hAnsi="Arial"/>
          <w:sz w:val="18"/>
          <w:szCs w:val="18"/>
          <w:b w:val="1"/>
          <w:bCs w:val="1"/>
          <w:color w:val="auto"/>
        </w:rPr>
        <w:t>Annual Statement</w:t>
      </w:r>
      <w:r>
        <w:rPr>
          <w:rFonts w:ascii="Arial" w:cs="Arial" w:eastAsia="Arial" w:hAnsi="Arial"/>
          <w:sz w:val="18"/>
          <w:szCs w:val="18"/>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20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18"/>
          <w:szCs w:val="18"/>
          <w:color w:val="auto"/>
        </w:rPr>
        <w:t>The Annual Statement shall be final and binding upon Tenant unless Tenant, within 120 days after Tenant’s receipt thereof, shall contest any item therein by giving written notice to Landlord, specifying each item contested and the reason therefor. If, during such 120 day period, Tenant reasonably and in good faith questions or contests the accuracy of Landlord’s statement of Tenant’s Share of Operating Expenses, Landlord will provide Tenant (or an agent or representative designated by Tenant by written notice to Landlord) with access to Landlord’s books and records relating to the operation of the Project and such information as Landlord reasonably determines to be responsive to Tenant’s questions (the “</w:t>
      </w:r>
      <w:r>
        <w:rPr>
          <w:rFonts w:ascii="Arial" w:cs="Arial" w:eastAsia="Arial" w:hAnsi="Arial"/>
          <w:sz w:val="18"/>
          <w:szCs w:val="18"/>
          <w:b w:val="1"/>
          <w:bCs w:val="1"/>
          <w:color w:val="auto"/>
        </w:rPr>
        <w:t>Expense Information</w:t>
      </w:r>
      <w:r>
        <w:rPr>
          <w:rFonts w:ascii="Arial" w:cs="Arial" w:eastAsia="Arial" w:hAnsi="Arial"/>
          <w:sz w:val="18"/>
          <w:szCs w:val="18"/>
          <w:color w:val="auto"/>
        </w:rPr>
        <w:t>”). If after Tenant’s review of such Expense Information, Landlord and Tenant cannot agree upon the amount of Tenant’s Share of Operating Expenses, then Tenant shall have the right to have a reputable, regionally recognized, independent public accounting firm selected by Tenant and approved by Landlord (which approval shall not be unreasonably withheld or delayed), working pursuant to a fee arrangement other than a contingent fee (at Tenant’s sole cost and expense), audit and/or review the Expense Information for the year in question (the “</w:t>
      </w:r>
      <w:r>
        <w:rPr>
          <w:rFonts w:ascii="Arial" w:cs="Arial" w:eastAsia="Arial" w:hAnsi="Arial"/>
          <w:sz w:val="18"/>
          <w:szCs w:val="18"/>
          <w:b w:val="1"/>
          <w:bCs w:val="1"/>
          <w:color w:val="auto"/>
        </w:rPr>
        <w:t>Independent Review</w:t>
      </w:r>
      <w:r>
        <w:rPr>
          <w:rFonts w:ascii="Arial" w:cs="Arial" w:eastAsia="Arial" w:hAnsi="Arial"/>
          <w:sz w:val="18"/>
          <w:szCs w:val="18"/>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results,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results.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136525</wp:posOffset>
            </wp:positionV>
            <wp:extent cx="242697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8</w:t>
      </w:r>
    </w:p>
    <w:p>
      <w:pPr>
        <w:spacing w:after="0" w:line="17"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81" w:lineRule="exact"/>
        <w:rPr>
          <w:sz w:val="20"/>
          <w:szCs w:val="20"/>
          <w:color w:val="auto"/>
        </w:rPr>
      </w:pPr>
    </w:p>
    <w:p>
      <w:pPr>
        <w:ind w:left="2340" w:hanging="1455"/>
        <w:spacing w:after="0"/>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885"/>
        <w:spacing w:after="0" w:line="236" w:lineRule="auto"/>
        <w:tabs>
          <w:tab w:leader="none" w:pos="2324"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The Premises shall be used solely for one or more of the uses defined as the Permitted Use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basic lease provisions on page 1 of this Lease, and in compliance with 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(collectively, “</w:t>
      </w:r>
      <w:r>
        <w:rPr>
          <w:rFonts w:ascii="Arial" w:cs="Arial" w:eastAsia="Arial" w:hAnsi="Arial"/>
          <w:sz w:val="18"/>
          <w:szCs w:val="18"/>
          <w:b w:val="1"/>
          <w:bCs w:val="1"/>
          <w:color w:val="auto"/>
        </w:rPr>
        <w:t>Legal 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xml:space="preserve">”). Tenant shall, upon 5 days’ written notice from Landlord, discontinue any use of the Premises which is declared by any Governmental Authority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credits. The use that Tenant has disclosed to Landlord that Tenant will be making of the Premises as of the Commencement Date will not result in the voidance of or an increased insurance risk or cause the disallowance of any sprinkler credits with respect to the insurance currently being maintained by Landlord.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which consent shall not be unreasonably withheld. Except as may be provided under the Work Letter, Tenant shall not, without the prior written consent of Landlord, which consent shall not be unreasonably withheld,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21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Landlord shall, at Landlord’s sole cost (and not as an Operating Expense), be responsible for the compliance of the Common Areas of the Project with Legal Requirements (including the ADA) as of the Rent Commencement Date, including the following: (a) accessibility requirements for exterior paving (uneven walks, slip resistance, maximum slopes and cross slopes), (b) accessible parking requirements (parking stall slope, dimensions, signage, and pedestrian access), (c) accessible pedestrian curb cuts and ramps (where required), (d) existing parking striping (parking stall size, adequate drive aisles, signage), (e) existing fire lane (width, access, radius, signage), (f) thresholds at Building entries and exits (to meet accessibility requirements), (g) existing drainage patterns and storm water management (outside of the scope of any proposed exterior improvements, such as a loading dock or generator), existing landscaping and irrigation (height, distances from utilities, obstruction of visibility triangles), (h) existing exterior lighting (as required for exiting and parking lot safety), (i) existing exterior backflow, (j) existing exterior fire alarm bells and fire sprinkler access, and (k) existing exterior Building address numbers only. For the avoidance of doubt, Landlord shall, at Landlord’s sole cost (and not as an Operating Expense), be responsible for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131445</wp:posOffset>
            </wp:positionV>
            <wp:extent cx="242697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9</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24 Energy Calculation upgrades or storm water management code change compliance triggered by Landlord’s Work, the repair or replacement of Structural Items or work undertaken by Landlord at the Project for 10121 Barnes Canyon Road. Except as otherwise provided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following the Rent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 use of the Premises or Tenant’s Alterations) make any alterations or modifications to the Common Areas or the exterior of the Building that are required by Legal Requirements. For the avoidance of doubt, notwithstanding anything to the contrary contained in this Lease, except for Landlord’s obligations expressly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Landlord’s obligation to deliver the Premises in water tight condition (subject to the first paragraph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the requirement that Landlord’s Work be completed in accordance with Legal Requirements, Landlord is making no representation regarding (and shall in no event be responsible for) the compliance of the Building with Legal Requirements as of the Commencement Date, and Tenant shall be responsible, as part of the construction of the Tenant Improvements, for the compliance of the Building with Legal Requirement as of the Substantial Completion (as defined in the Work Letter) of the Tenant Improvements.</w:t>
      </w:r>
    </w:p>
    <w:p>
      <w:pPr>
        <w:spacing w:after="0" w:line="20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Tenant, at its sole expense, shall make any alterations or modifications to the interior or the exterior of the Premises that are required by Legal Requirements (including, without limitation, compliance of the Premises with the ADA) applicable to Tenant’s particular use or occupancy of the Premises, Tenant’s construction of the Tenant Improvements and/or any other work undertaken by Tenant at the Project. Notwithstanding the foregoing and for the avoidance of doubt, Tenant shall, at Tenant’s cost, be responsible for any Title 24 Energy Calculation upgrades or storm water management code change compliance triggered by any work undertaken by Tenant at the Project including, without limitation, the Tenant Improvements and Alterations and any work undertaken by Tenant in the Common Areas.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8"/>
          <w:szCs w:val="18"/>
          <w:b w:val="1"/>
          <w:bCs w:val="1"/>
          <w:color w:val="auto"/>
        </w:rPr>
        <w:t>Claims</w:t>
      </w:r>
      <w:r>
        <w:rPr>
          <w:rFonts w:ascii="Arial" w:cs="Arial" w:eastAsia="Arial" w:hAnsi="Arial"/>
          <w:sz w:val="18"/>
          <w:szCs w:val="18"/>
          <w:color w:val="auto"/>
        </w:rPr>
        <w:t>”) arising out of or in connection with Tenant’s failure to comply with Legal Requirements applicable to Tenant’s particular use or occupancy of the Premises, the Tenant Improvements, or Tenant’s Alterations, and Tenant shall indemnify, defend, hold and save Landlord harmless from and against any and all Claims arising out of or in connection with any failure of the Premises to comply with any Legal Requirement applicable to Tenant’s particular use or occupancy of the Premises, the Tenant Improvements or Tenant’s Alterations. For purposes of Section 1938 of the California Civil Code, as of the date of this Lease, the Project has not been inspected by a certified access specialist.</w:t>
      </w:r>
    </w:p>
    <w:p>
      <w:pPr>
        <w:spacing w:after="0" w:line="181" w:lineRule="exact"/>
        <w:rPr>
          <w:sz w:val="20"/>
          <w:szCs w:val="20"/>
          <w:color w:val="auto"/>
        </w:rPr>
      </w:pPr>
    </w:p>
    <w:p>
      <w:pPr>
        <w:jc w:val="both"/>
        <w:ind w:firstLine="885"/>
        <w:spacing w:after="0" w:line="237" w:lineRule="auto"/>
        <w:tabs>
          <w:tab w:leader="none" w:pos="232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termination of the 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(not to exceed 125% of the Base Rent in effect during the last 30 days of the Term),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(1) for the first 30 days of such holdover, be equal to 125% of Base Rent in effect during the last 30 days of the Term, and (2) thereafter, be equal to 150% of Base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135890</wp:posOffset>
            </wp:positionV>
            <wp:extent cx="242697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of Rent after the expiration of the Term or earlier termination of this Lease shall not result in a renewal or reinstatement of this Lease.</w:t>
      </w:r>
    </w:p>
    <w:p>
      <w:pPr>
        <w:spacing w:after="0" w:line="190" w:lineRule="exact"/>
        <w:rPr>
          <w:sz w:val="20"/>
          <w:szCs w:val="20"/>
          <w:color w:val="auto"/>
        </w:rPr>
      </w:pPr>
    </w:p>
    <w:p>
      <w:pPr>
        <w:jc w:val="both"/>
        <w:ind w:firstLine="885"/>
        <w:spacing w:after="0" w:line="236" w:lineRule="auto"/>
        <w:tabs>
          <w:tab w:leader="none" w:pos="2324"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Landlord shall pay, as part of Operating Expenses, all taxes, levies, fees, assessments and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of any kind, 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Notwithstanding anything to the contrary herein, Landlord shall only charge Tenant for assessments as if those assessments were paid by Landlord over the longest possible term which Landlord is permitted to pay for the applicable assessments without additional charge other than interest, if any, provided under the terms of the underlying assessments. Taxes shall not include any franchise taxes or inheritance taxes imposed on Landlord or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reasonable determination of any excess assessed valuation shall be binding and conclusive, absent manifest error. The amount of any such payment by Landlord shall constitute Additional Rent due from Tenant to Landlord immediately upon demand.</w:t>
      </w:r>
    </w:p>
    <w:p>
      <w:pPr>
        <w:spacing w:after="0" w:line="194" w:lineRule="exact"/>
        <w:rPr>
          <w:rFonts w:ascii="Arial" w:cs="Arial" w:eastAsia="Arial" w:hAnsi="Arial"/>
          <w:sz w:val="18"/>
          <w:szCs w:val="18"/>
          <w:color w:val="auto"/>
        </w:rPr>
      </w:pPr>
    </w:p>
    <w:p>
      <w:pPr>
        <w:jc w:val="both"/>
        <w:ind w:firstLine="885"/>
        <w:spacing w:after="0" w:line="244" w:lineRule="auto"/>
        <w:tabs>
          <w:tab w:leader="none" w:pos="2424"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all matters of record, Force Majeure, a Taking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by Landlord of its rights hereunder, Tenant shall, at no additional cost during the Term, have the exclusive right to use the 194 parking spaces located in those areas designated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subject in each case to Landlord’s rules and regulations (as referenced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below). Landlord shall not be responsible for enforcing Tenant’s parking rights against any third parties, including other tenants of the Project.</w:t>
      </w:r>
    </w:p>
    <w:p>
      <w:pPr>
        <w:spacing w:after="0" w:line="176" w:lineRule="exact"/>
        <w:rPr>
          <w:rFonts w:ascii="Arial" w:cs="Arial" w:eastAsia="Arial" w:hAnsi="Arial"/>
          <w:sz w:val="18"/>
          <w:szCs w:val="18"/>
          <w:color w:val="auto"/>
        </w:rPr>
      </w:pPr>
    </w:p>
    <w:p>
      <w:pPr>
        <w:jc w:val="both"/>
        <w:ind w:firstLine="885"/>
        <w:spacing w:after="0" w:line="238" w:lineRule="auto"/>
        <w:tabs>
          <w:tab w:leader="none" w:pos="2424"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 Landlord shall provide,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water, electricity, heat, light,</w:t>
      </w:r>
      <w:r>
        <w:rPr>
          <w:rFonts w:ascii="Arial" w:cs="Arial" w:eastAsia="Arial" w:hAnsi="Arial"/>
          <w:sz w:val="18"/>
          <w:szCs w:val="18"/>
          <w:b w:val="1"/>
          <w:bCs w:val="1"/>
          <w:color w:val="auto"/>
        </w:rPr>
        <w:t xml:space="preserve"> </w:t>
      </w:r>
      <w:r>
        <w:rPr>
          <w:rFonts w:ascii="Arial" w:cs="Arial" w:eastAsia="Arial" w:hAnsi="Arial"/>
          <w:sz w:val="18"/>
          <w:szCs w:val="18"/>
          <w:color w:val="auto"/>
        </w:rPr>
        <w:t>power, sewer, and other utilities (including gas and fire sprinklers to the extent the Project is plumbed for such services), refuse and trash collection and janitorial services for the Common Areas (collectively, “</w:t>
      </w:r>
      <w:r>
        <w:rPr>
          <w:rFonts w:ascii="Arial" w:cs="Arial" w:eastAsia="Arial" w:hAnsi="Arial"/>
          <w:sz w:val="18"/>
          <w:szCs w:val="18"/>
          <w:b w:val="1"/>
          <w:bCs w:val="1"/>
          <w:color w:val="auto"/>
        </w:rPr>
        <w:t>Utilities</w:t>
      </w:r>
      <w:r>
        <w:rPr>
          <w:rFonts w:ascii="Arial" w:cs="Arial" w:eastAsia="Arial" w:hAnsi="Arial"/>
          <w:sz w:val="18"/>
          <w:szCs w:val="18"/>
          <w:color w:val="auto"/>
        </w:rPr>
        <w:t>”). Landlord shall pay, as Operating Expenses or subject to Tenant’s reimbursement obligation below, for all Utilities used on the Premises, all maintenance charges for Utilities, and any storm sewer charges or other similar charges for Utilities imposed by any Governmental Authority or Utility provider, and any taxes, penalties, surcharges or similar charges thereon.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except as otherwise set forth in the immediately following paragraph, the abatement of Rent. Tenant agrees to limit use of water and sewer to normal restroom use and that used in the conduct of its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132715</wp:posOffset>
            </wp:positionV>
            <wp:extent cx="242697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11</w:t>
      </w:r>
    </w:p>
    <w:p>
      <w:pPr>
        <w:spacing w:after="0" w:line="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Tenant shall have access to the Premises and Utilities shall be available to the Premises 24 hours per day, 7 days per week, except in the case of emergencies, as the result of Legal Requirements, the failure of any Utility provider to provide such Utilities, the performance by Landlord or any Utility provider of any installation, maintenance or repairs, or any other temporary interruptions. Tenant shall be responsible for obtaining its own janitorial services for the Premises.</w:t>
      </w:r>
    </w:p>
    <w:p>
      <w:pPr>
        <w:spacing w:after="0" w:line="202"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18"/>
          <w:szCs w:val="18"/>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and (ii) such Service Interruption continues for more than 3 consecutive business days after Landlord shall have received written notice thereof from Tenant (which notice may initially be delivered via e-mail to the individual(s) designated by Landlord to receive e-mail notices and followed up concurrently with a written notice to Landlord), and (iii) as a result of such Service Interruption, the conduct of Tenant’s normal operations in the Premises are materially and adversely affected, then there shall be an abatement of one day’s Base Rent for each day during which such Service Interruption continues after such 3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HVAC service, water, sewer and electricity, but in each case only to the extent that Landlord has an obligation to provide same to Tenant under this Lease. The provisions of this paragraph shall only apply as long as the original Tenant is the tenant occupying the Premises under this Lease and shall not apply to any assignee or sublessee.</w:t>
      </w:r>
    </w:p>
    <w:p>
      <w:pPr>
        <w:spacing w:after="0" w:line="214"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Notwithstanding anything to the contrary contained herein, Tenant shall have the right to install, at Tenant’s sole cost and expense, one emergency generator, and related screening of a design and type reasonably acceptable to Landlord (the “</w:t>
      </w:r>
      <w:r>
        <w:rPr>
          <w:rFonts w:ascii="Arial" w:cs="Arial" w:eastAsia="Arial" w:hAnsi="Arial"/>
          <w:sz w:val="18"/>
          <w:szCs w:val="18"/>
          <w:b w:val="1"/>
          <w:bCs w:val="1"/>
          <w:color w:val="auto"/>
        </w:rPr>
        <w:t>Emergency Generator</w:t>
      </w:r>
      <w:r>
        <w:rPr>
          <w:rFonts w:ascii="Arial" w:cs="Arial" w:eastAsia="Arial" w:hAnsi="Arial"/>
          <w:sz w:val="18"/>
          <w:szCs w:val="18"/>
          <w:color w:val="auto"/>
        </w:rPr>
        <w:t>”) in a portion of Project reasonably acceptable to Landlord (“</w:t>
      </w:r>
      <w:r>
        <w:rPr>
          <w:rFonts w:ascii="Arial" w:cs="Arial" w:eastAsia="Arial" w:hAnsi="Arial"/>
          <w:sz w:val="18"/>
          <w:szCs w:val="18"/>
          <w:b w:val="1"/>
          <w:bCs w:val="1"/>
          <w:color w:val="auto"/>
        </w:rPr>
        <w:t>Generator Area</w:t>
      </w:r>
      <w:r>
        <w:rPr>
          <w:rFonts w:ascii="Arial" w:cs="Arial" w:eastAsia="Arial" w:hAnsi="Arial"/>
          <w:sz w:val="18"/>
          <w:szCs w:val="18"/>
          <w:color w:val="auto"/>
        </w:rPr>
        <w:t>”). Commencing on the date such Emergency Generator is installed, Tenant shall have all of the obligations under this Lease with respect to the Generator Area as though the Generator Area were part of the Premises. The number of parking spaces available to Tenant under this Lease may be reduced by the number of parking spaces impacted by the Generator Area, if any. Tenant shall, if required by Landlord, remove the Emergency Generator at the expiration or earlier termination of this Lease. Tenant shall surrender the Generator Area free of any debris and trash and free of any Hazardous Materials upon the expiration or earlier termination of the Term. Landlord shall have no obligation to make any repairs or improvements to the Emergency Generator or the Generator Area and Tenant shall maintain the Emergency Generator and the Generator Area, at Tenant’s sole cost and expense, in good repair and condition during the Term.</w:t>
      </w:r>
    </w:p>
    <w:p>
      <w:pPr>
        <w:spacing w:after="0" w:line="185" w:lineRule="exact"/>
        <w:rPr>
          <w:sz w:val="20"/>
          <w:szCs w:val="20"/>
          <w:color w:val="auto"/>
        </w:rPr>
      </w:pPr>
    </w:p>
    <w:p>
      <w:pPr>
        <w:jc w:val="both"/>
        <w:ind w:firstLine="885"/>
        <w:spacing w:after="0" w:line="239" w:lineRule="auto"/>
        <w:tabs>
          <w:tab w:leader="none" w:pos="242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Any alterations, additions, or improvements made to the Premises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behalf of 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w:t>
      </w:r>
      <w:r>
        <w:rPr>
          <w:rFonts w:ascii="Arial" w:cs="Arial" w:eastAsia="Arial" w:hAnsi="Arial"/>
          <w:sz w:val="18"/>
          <w:szCs w:val="18"/>
          <w:b w:val="1"/>
          <w:bCs w:val="1"/>
          <w:color w:val="auto"/>
        </w:rPr>
        <w:t>Alterations</w:t>
      </w:r>
      <w:r>
        <w:rPr>
          <w:rFonts w:ascii="Arial" w:cs="Arial" w:eastAsia="Arial" w:hAnsi="Arial"/>
          <w:sz w:val="18"/>
          <w:szCs w:val="18"/>
          <w:color w:val="auto"/>
        </w:rPr>
        <w:t>”) shall be subject to Landlord’s prior written consent, which may be given or withheld in Landlord’s sole discretion if any such Alteration affects the structure or Building Systems and shall not be otherwise unreasonably withheld. Tenant may construct nonstructural Alterations in the Premises without Landlord’s prior approval if the aggregate cost of all such work does not exceed $75,000 per Alteration (a “</w:t>
      </w:r>
      <w:r>
        <w:rPr>
          <w:rFonts w:ascii="Arial" w:cs="Arial" w:eastAsia="Arial" w:hAnsi="Arial"/>
          <w:sz w:val="18"/>
          <w:szCs w:val="18"/>
          <w:b w:val="1"/>
          <w:bCs w:val="1"/>
          <w:color w:val="auto"/>
        </w:rPr>
        <w:t>Notice-Only Alteration</w:t>
      </w:r>
      <w:r>
        <w:rPr>
          <w:rFonts w:ascii="Arial" w:cs="Arial" w:eastAsia="Arial" w:hAnsi="Arial"/>
          <w:sz w:val="18"/>
          <w:szCs w:val="18"/>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12</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than 15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of Alterations, other than Notice-Only Alterations,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1% of all charges incurred by Tenant or its contractors or agents in connection with any Alteration to cover Landlord’s overhead and expenses for plan review, coordination, scheduling and supervision.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20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reasonably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 if such plans are typically made for the type of Alterations involved.</w:t>
      </w:r>
    </w:p>
    <w:p>
      <w:pPr>
        <w:spacing w:after="0" w:line="20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 xml:space="preserve">Tenant shall have the right, at Tenant’s cost and expense, to install a dock high door on the south-east facing side of the Building in the same location as one of the roll up doors existing on the date of this Lease. Tenant’s installation of such dock high door shall constitute an Alteration and shall be installed subject and pursuant to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At the expiration or earlier termination of the Term, if required by Landlord, Tenant shall, at Tenant cost and expense, remove the dock high door and restore the area to the same condition it was in as of the Commencement Date.</w:t>
      </w:r>
    </w:p>
    <w:p>
      <w:pPr>
        <w:spacing w:after="0" w:line="20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or at the time it receives notice of a Notice-Only Alteration,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any Installations for which Landlord has given Tenant notice of removal in accordance with the immediately preceding sentence, and (ii)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13</w:t>
      </w:r>
    </w:p>
    <w:p>
      <w:pPr>
        <w:spacing w:after="0" w:line="1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attached hereto and any items agreed by Landlord in writing to be included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 Installations, furniture, fixtures, machinery, trade fixtures and other personal property or equipment of Tenant that may be removed without material damage to the Premises, and (z) “</w:t>
      </w:r>
      <w:r>
        <w:rPr>
          <w:rFonts w:ascii="Arial" w:cs="Arial" w:eastAsia="Arial" w:hAnsi="Arial"/>
          <w:sz w:val="18"/>
          <w:szCs w:val="18"/>
          <w:b w:val="1"/>
          <w:bCs w:val="1"/>
          <w:color w:val="auto"/>
        </w:rPr>
        <w:t>Installations</w:t>
      </w:r>
      <w:r>
        <w:rPr>
          <w:rFonts w:ascii="Arial" w:cs="Arial" w:eastAsia="Arial" w:hAnsi="Arial"/>
          <w:sz w:val="18"/>
          <w:szCs w:val="18"/>
          <w:color w:val="auto"/>
        </w:rPr>
        <w:t xml:space="preserve">” means all property of any kind paid for with the TI Fund,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Notwithstanding anything to the contrary contained herein, except for the dock high door referenced in the third paragraph of this </w:t>
      </w:r>
      <w:r>
        <w:rPr>
          <w:rFonts w:ascii="Arial" w:cs="Arial" w:eastAsia="Arial" w:hAnsi="Arial"/>
          <w:sz w:val="18"/>
          <w:szCs w:val="18"/>
          <w:u w:val="single" w:color="auto"/>
          <w:color w:val="auto"/>
        </w:rPr>
        <w:t>Section 12</w:t>
      </w:r>
      <w:r>
        <w:rPr>
          <w:rFonts w:ascii="Arial" w:cs="Arial" w:eastAsia="Arial" w:hAnsi="Arial"/>
          <w:sz w:val="18"/>
          <w:szCs w:val="18"/>
          <w:color w:val="auto"/>
        </w:rPr>
        <w:t>, in no event shall Tenant be required to remove the Tenant Improvements at the expiration or earlier termination of the Term, and Tenant shall have no right to remove any of the Tenant Improvements at any time during the Term or at the expiration or earlier termination of the Term.</w:t>
      </w:r>
    </w:p>
    <w:p>
      <w:pPr>
        <w:spacing w:after="0" w:line="183" w:lineRule="exact"/>
        <w:rPr>
          <w:sz w:val="20"/>
          <w:szCs w:val="20"/>
          <w:color w:val="auto"/>
        </w:rPr>
      </w:pPr>
    </w:p>
    <w:p>
      <w:pPr>
        <w:jc w:val="both"/>
        <w:ind w:firstLine="885"/>
        <w:spacing w:after="0"/>
        <w:tabs>
          <w:tab w:leader="none" w:pos="2424"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shall, at Landlord's sole expense (and not as an Operating Expense),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responsible for capital repairs and replacements of the structural elements of the roof (not including the roof membrane, which may be passed through as part of Operating Expenses except to the extent the cost thereof is excluded from Operating Expenses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underground utilities, exterior walls, foundation, concrete subflooring, and the Pipe Cluster (“</w:t>
      </w:r>
      <w:r>
        <w:rPr>
          <w:rFonts w:ascii="Arial" w:cs="Arial" w:eastAsia="Arial" w:hAnsi="Arial"/>
          <w:sz w:val="18"/>
          <w:szCs w:val="18"/>
          <w:b w:val="1"/>
          <w:bCs w:val="1"/>
          <w:color w:val="auto"/>
        </w:rPr>
        <w:t>Structural Items</w:t>
      </w:r>
      <w:r>
        <w:rPr>
          <w:rFonts w:ascii="Arial" w:cs="Arial" w:eastAsia="Arial" w:hAnsi="Arial"/>
          <w:sz w:val="18"/>
          <w:szCs w:val="18"/>
          <w:color w:val="auto"/>
        </w:rPr>
        <w:t>”) unless the need for such repairs or replacements is caused by Tenant or any Tenant Parties, in which case Tenant shall bear the full cost to repair or replace such Structural Items. Landlord shall, as an Operating Expense, be responsible for the routine maintenance and repair of such Structural Items. Landlord, as an Operating Expense, shall maintain, repair and replace the roof membrane and all of the exterior, parking and other Common Areas of the Project, including HVAC, plumbing, fire sprinklers, elevators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in good condition and repair, reasonable wear and tear and uninsured losses and damages caused by Tenant, or by any of Tenant’s assignees, sublessees, licensees, agents, servants, employees, invitees and contractors (or any of Tenant’s assignees, sublessees and/or licensees respective agents, servants, employees, invitees and contractors (collectively,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 excluded. Subject to the provisions of the penultimate paragraph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losses and damages caused by Tenant or any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reasonable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Landlord shall, except in case of emergency, make a commercially reasonable effort to give Tenant 24 hours advance notice of any planned stoppage of Building Systems services for routine maintenance, repairs, alterations or improvements. Tenant shall promptly give Landlord written notice of any repair required by Landlord pursuant to this Section of which Tenant becomes aware,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335"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 xml:space="preserve">Notwithstanding anything to the contrary contained in this Lease, as of the Rent Commencement Date, the maintenance and repair obligations for the Building shall be allocated between Landlord and Tenant as set forth on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attached hereto. The maintenance obligations allocated to Tenant pursuant to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(the “</w:t>
      </w:r>
      <w:r>
        <w:rPr>
          <w:rFonts w:ascii="Arial" w:cs="Arial" w:eastAsia="Arial" w:hAnsi="Arial"/>
          <w:sz w:val="18"/>
          <w:szCs w:val="18"/>
          <w:b w:val="1"/>
          <w:bCs w:val="1"/>
          <w:color w:val="auto"/>
        </w:rPr>
        <w:t>Tenant Maintenance Obligations</w:t>
      </w:r>
      <w:r>
        <w:rPr>
          <w:rFonts w:ascii="Arial" w:cs="Arial" w:eastAsia="Arial" w:hAnsi="Arial"/>
          <w:sz w:val="18"/>
          <w:szCs w:val="18"/>
          <w:color w:val="auto"/>
        </w:rPr>
        <w:t>”) shall be performed by Tenant at Tenant’s sole cost and expense. The Tenant Maintenance Obligations shall include the procurement and maintenance of contracts, in form and substance reasonably satisfactory to Landlord, with copies to Landlord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14</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Landlord’s written request, for and with contractors reasonably acceptable to Landlord specializing and experienced in the respective Tenant Maintenance Obligations. Notwithstanding anything to the contrary contained herein, the scope of work of any such contracts entered into by Tenant pursuant to this paragraph shall, at a minimum, comply with manufacturer’s recommended maintenance procedures for the optimal performance of the applicable equipment. Landlord shall, notwithstanding anything to the contrary contained in this Lease, have no obligation to perform any Tenant Maintenance Obligations. The Tenant Maintenance Obligations shall not include the right or obligation on the part of Tenant to make any structural and/or capital repairs or improvements to the Project, and Landlord shall, during any period that Tenant is responsible for the Tenant Maintenance Obligations, continue to be responsible, as provided in the immediately preceding paragraph, for capital repairs and replacements required to be made to the Project. If Tenant fails to maintain any portion of the Building for which Tenant is responsible as part of the Tenant Maintenance Obligations in a manner reasonably acceptable to Landlord within the requirements of this Lease, Landlord shall have the right, but not the obligation, to provide Tenant with written notice thereof and to assume the Tenant Maintenance Obligations if Tenant does not cure Tenant’s failure within 15 days after receipt of such notice.</w:t>
      </w:r>
    </w:p>
    <w:p>
      <w:pPr>
        <w:spacing w:after="0" w:line="184" w:lineRule="exact"/>
        <w:rPr>
          <w:sz w:val="20"/>
          <w:szCs w:val="20"/>
          <w:color w:val="auto"/>
        </w:rPr>
      </w:pPr>
    </w:p>
    <w:p>
      <w:pPr>
        <w:jc w:val="both"/>
        <w:ind w:firstLine="885"/>
        <w:spacing w:after="0" w:line="239" w:lineRule="auto"/>
        <w:tabs>
          <w:tab w:leader="none" w:pos="242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at its expense, shall repair, replace and maintain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good condition (normal wear and tear excepted) all portions of the 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15 days of Landlord’s notice, and thereafter diligently prosecute such cure to completion, Landlord may perform such work and shall be reimbursed by Tenant within 15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 the full uninsured cost of any repair or replacement to any part of the Project that results from damage caused by Tenant or any Tenant Party.</w:t>
      </w:r>
    </w:p>
    <w:p>
      <w:pPr>
        <w:spacing w:after="0" w:line="180" w:lineRule="exact"/>
        <w:rPr>
          <w:rFonts w:ascii="Arial" w:cs="Arial" w:eastAsia="Arial" w:hAnsi="Arial"/>
          <w:sz w:val="18"/>
          <w:szCs w:val="18"/>
          <w:color w:val="auto"/>
        </w:rPr>
      </w:pPr>
    </w:p>
    <w:p>
      <w:pPr>
        <w:jc w:val="both"/>
        <w:ind w:firstLine="885"/>
        <w:spacing w:after="0" w:line="238" w:lineRule="auto"/>
        <w:tabs>
          <w:tab w:leader="none" w:pos="242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or against the Project for work claimed to have been done for, or materials claimed to have been furnished to, Tenant within 10 business days after receipt of Landlord’s written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86" w:lineRule="exact"/>
        <w:rPr>
          <w:rFonts w:ascii="Arial" w:cs="Arial" w:eastAsia="Arial" w:hAnsi="Arial"/>
          <w:sz w:val="18"/>
          <w:szCs w:val="18"/>
          <w:color w:val="auto"/>
        </w:rPr>
      </w:pPr>
    </w:p>
    <w:p>
      <w:pPr>
        <w:jc w:val="both"/>
        <w:ind w:firstLine="885"/>
        <w:spacing w:after="0"/>
        <w:tabs>
          <w:tab w:leader="none" w:pos="242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Tenant hereby indemnifies and agrees to defend, save and hold Landlord harmless from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against any and all third party Claims against Landlord for injury or death to persons or damage to property occurring within or about the Premises, arising directly or indirectly out of use or occupancy of the Premises or a breach or default by Tenant in the performance of any of its obligations hereunder, except to the extent caused by the willful misconduct or negligence of Landlord or any Landlord Parties (as defined in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below).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15</w:t>
      </w:r>
    </w:p>
    <w:p>
      <w:pPr>
        <w:spacing w:after="0" w:line="1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 xml:space="preserve">Subject to the waivers in the penultimate paragraph of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to the other provisions of this Lease, Landlord hereby indemnifies and agrees to defend, save and hold Tenant harmless from and against any and all Claims for injury or death to persons or damage to property occurring at the Project to the extent caused by the willful misconduct, negligence or gross negligence of Landlord or Landlord’s employees.</w:t>
      </w:r>
    </w:p>
    <w:p>
      <w:pPr>
        <w:spacing w:after="0" w:line="180" w:lineRule="exact"/>
        <w:rPr>
          <w:sz w:val="20"/>
          <w:szCs w:val="20"/>
          <w:color w:val="auto"/>
        </w:rPr>
      </w:pPr>
    </w:p>
    <w:p>
      <w:pPr>
        <w:jc w:val="both"/>
        <w:ind w:firstLine="885"/>
        <w:spacing w:after="0" w:line="239" w:lineRule="auto"/>
        <w:tabs>
          <w:tab w:leader="none" w:pos="2424"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replacement cost of 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w:t>
      </w:r>
    </w:p>
    <w:p>
      <w:pPr>
        <w:spacing w:after="0" w:line="20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$4,000,000 per occurrence for bodily injury and property damage with respect to the Premises. The commercial general liability insurance policy shall name Alexandria Real Estate Equities, Inc., Torreyana Landlord (as defined below) and Landlord, its officers, directors, employees, managers, agents, invitees and contractors (collectively, “</w:t>
      </w:r>
      <w:r>
        <w:rPr>
          <w:rFonts w:ascii="Arial" w:cs="Arial" w:eastAsia="Arial" w:hAnsi="Arial"/>
          <w:sz w:val="18"/>
          <w:szCs w:val="18"/>
          <w:b w:val="1"/>
          <w:bCs w:val="1"/>
          <w:color w:val="auto"/>
        </w:rPr>
        <w:t>Landlord Parties</w:t>
      </w:r>
      <w:r>
        <w:rPr>
          <w:rFonts w:ascii="Arial" w:cs="Arial" w:eastAsia="Arial" w:hAnsi="Arial"/>
          <w:sz w:val="18"/>
          <w:szCs w:val="18"/>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(any policy issued to Landlord providing duplicate or similar coverage shall be deemed excess over Tenant’s policies).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prior to</w:t>
      </w:r>
    </w:p>
    <w:p>
      <w:pPr>
        <w:spacing w:after="0" w:line="10" w:lineRule="exact"/>
        <w:rPr>
          <w:sz w:val="20"/>
          <w:szCs w:val="20"/>
          <w:color w:val="auto"/>
        </w:rPr>
      </w:pPr>
    </w:p>
    <w:p>
      <w:pPr>
        <w:jc w:val="both"/>
        <w:ind w:firstLine="8"/>
        <w:spacing w:after="0" w:line="239" w:lineRule="auto"/>
        <w:tabs>
          <w:tab w:leader="none" w:pos="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20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20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9" w:name="page70"/>
    <w:bookmarkEnd w:id="69"/>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16</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203"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w:t>
      </w:r>
    </w:p>
    <w:p>
      <w:pPr>
        <w:spacing w:after="0" w:line="175" w:lineRule="exact"/>
        <w:rPr>
          <w:sz w:val="20"/>
          <w:szCs w:val="20"/>
          <w:color w:val="auto"/>
        </w:rPr>
      </w:pPr>
    </w:p>
    <w:p>
      <w:pPr>
        <w:jc w:val="both"/>
        <w:ind w:firstLine="885"/>
        <w:spacing w:after="0" w:line="236" w:lineRule="auto"/>
        <w:tabs>
          <w:tab w:leader="none" w:pos="242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Restoration</w:t>
      </w:r>
      <w:r>
        <w:rPr>
          <w:rFonts w:ascii="Arial" w:cs="Arial" w:eastAsia="Arial" w:hAnsi="Arial"/>
          <w:sz w:val="18"/>
          <w:szCs w:val="18"/>
          <w:color w:val="auto"/>
        </w:rPr>
        <w:t>. If, at any time during the Term, the Project or the Premises are damaged or destroyed by a fire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insured casualty, Landlord shall notify Tenant within 60 days after discovery of such damage as to the amount of time Landlord reasonably estimates it will take to restore the Project or the Premises, as applicable (the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12 months (the “</w:t>
      </w:r>
      <w:r>
        <w:rPr>
          <w:rFonts w:ascii="Arial" w:cs="Arial" w:eastAsia="Arial" w:hAnsi="Arial"/>
          <w:sz w:val="18"/>
          <w:szCs w:val="18"/>
          <w:b w:val="1"/>
          <w:bCs w:val="1"/>
          <w:color w:val="auto"/>
        </w:rPr>
        <w:t>Maximum Restoration Period</w:t>
      </w:r>
      <w:r>
        <w:rPr>
          <w:rFonts w:ascii="Arial" w:cs="Arial" w:eastAsia="Arial" w:hAnsi="Arial"/>
          <w:sz w:val="18"/>
          <w:szCs w:val="18"/>
          <w:color w:val="auto"/>
        </w:rPr>
        <w:t xml:space="preserve">”), Landlord may, in such notice, elect to terminate this Lease as of the date that is 75 days after the date of discovery of such damage or destruction;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Landlord’s election to restore, Tenant may elect to terminate this Lease by written notice to Landlord delivered within 10 business days of receipt of a notice from Landlord estimating a Restoration Period for the Premises longer than the Maximum Restoration Period. Unless either Landlord or Tenant so elects to terminate this Lease, Landlord shall, subject to receipt of sufficient insurance proceeds from the applicable insurance policies required to be maintained by Landlord under this Lease (with any deductible to be treated as a current Operating Expense and shall be amortized in equal monthly installments over the remaining Term (which shall include the Extension Term if Tenant exercises its Extension Right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hereof), promptly restore the Premises (excluding the improvements installed by Tenant or by Landlord and paid for by Tenant unless covered by the insurance Landlord is required to maintain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hereof, in which case such improvements shall be included, to the extent of such insurance proceeds, in Landlord’s restoration),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on or about the Premises (collectively referred to herein as “</w:t>
      </w:r>
      <w:r>
        <w:rPr>
          <w:rFonts w:ascii="Arial" w:cs="Arial" w:eastAsia="Arial" w:hAnsi="Arial"/>
          <w:sz w:val="18"/>
          <w:szCs w:val="18"/>
          <w:b w:val="1"/>
          <w:bCs w:val="1"/>
          <w:color w:val="auto"/>
        </w:rPr>
        <w:t>Hazardous Materials Clearances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10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21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 xml:space="preserve">Tenant, at its expense, shall promptly perform, subject to delays arising from the collection of insurance proceeds or from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events, all repairs or restoration not required to be done by Landlord and required under this Lease to be performed by Tenant, and shall promptly re-enter the Premises and commence doing business in accordance with this Lease upon not more than 60 days after the substantial completion of the restoration required to be done Landlord.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Landlord shall also have the right to terminate this Lease if insurance proceeds are not available for such restoration. Rent shall be abated from the date of the damage or destruction until the Premises are repaired and restored, in the proportion which the area of the Premises, if any, which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132080</wp:posOffset>
            </wp:positionV>
            <wp:extent cx="242697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17</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usable by Tenant bears to the total area of the Premises. Either the termination of this Lease by Tenant provided for above or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the Lease by reason of damage or casualty loss.</w:t>
      </w:r>
    </w:p>
    <w:p>
      <w:pPr>
        <w:spacing w:after="0" w:line="20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181" w:lineRule="exact"/>
        <w:rPr>
          <w:sz w:val="20"/>
          <w:szCs w:val="20"/>
          <w:color w:val="auto"/>
        </w:rPr>
      </w:pPr>
    </w:p>
    <w:p>
      <w:pPr>
        <w:jc w:val="both"/>
        <w:ind w:firstLine="885"/>
        <w:spacing w:after="0" w:line="237" w:lineRule="auto"/>
        <w:tabs>
          <w:tab w:leader="none" w:pos="242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 use under 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materially impair Landlord’s ownership or operation of the Project or would in the reasonable judgment of Landlord and Tenant either prevent or materially interfere with Tenant’s use of the Premises (as resolved, if the parties are unable to agree, by arbitration by a single arbitrator with the qualifications and experience appropriate to resolve the matter and appointed pursuant to and acting in accordance with the rules of the American Arbitration Association), then upon written notice by Landlord or Tenant, this Lease shall terminate and Rent shall be equitably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Premises, the rentable square footage of the Project,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 In the event of a temporary Taking of 90 days or less which prevents or materially interferes with Tenant’s use of the Premises, Rent shall be abated from the date 30 days after the Taking until the Premises are restored, in the proportion which the area of the Premises, if any, which is not usable by Tenant bears to the total area of the Premises</w:t>
      </w:r>
    </w:p>
    <w:p>
      <w:pPr>
        <w:spacing w:after="0" w:line="181" w:lineRule="exact"/>
        <w:rPr>
          <w:rFonts w:ascii="Arial" w:cs="Arial" w:eastAsia="Arial" w:hAnsi="Arial"/>
          <w:sz w:val="18"/>
          <w:szCs w:val="18"/>
          <w:color w:val="auto"/>
        </w:rPr>
      </w:pPr>
    </w:p>
    <w:p>
      <w:pPr>
        <w:ind w:left="2440" w:hanging="1555"/>
        <w:spacing w:after="0"/>
        <w:tabs>
          <w:tab w:leader="none" w:pos="24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an event of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Lease:</w:t>
      </w:r>
    </w:p>
    <w:p>
      <w:pPr>
        <w:spacing w:after="0" w:line="190" w:lineRule="exact"/>
        <w:rPr>
          <w:sz w:val="20"/>
          <w:szCs w:val="20"/>
          <w:color w:val="auto"/>
        </w:rPr>
      </w:pPr>
    </w:p>
    <w:p>
      <w:pPr>
        <w:jc w:val="both"/>
        <w:ind w:firstLine="885"/>
        <w:spacing w:after="0" w:line="253" w:lineRule="auto"/>
        <w:tabs>
          <w:tab w:leader="none" w:pos="239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Landlord will give Tenant written notice and an opportunity to cure any failure to pay Rent within 3 days of any such notice not more than twice in any 12 month period.</w:t>
      </w:r>
    </w:p>
    <w:p>
      <w:pPr>
        <w:spacing w:after="0" w:line="169" w:lineRule="exact"/>
        <w:rPr>
          <w:rFonts w:ascii="Arial" w:cs="Arial" w:eastAsia="Arial" w:hAnsi="Arial"/>
          <w:sz w:val="18"/>
          <w:szCs w:val="18"/>
          <w:color w:val="auto"/>
        </w:rPr>
      </w:pPr>
    </w:p>
    <w:p>
      <w:pPr>
        <w:jc w:val="both"/>
        <w:ind w:firstLine="885"/>
        <w:spacing w:after="0" w:line="253" w:lineRule="auto"/>
        <w:tabs>
          <w:tab w:leader="none" w:pos="239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or shall expire or shall be reduced or materially changed, or Landlord shall receive a notice of nonrenewal of any such insurance and Tenant shall fail to obtain replacement insurance at least 5 days before the expiration of the current coverage.</w:t>
      </w:r>
    </w:p>
    <w:p>
      <w:pPr>
        <w:spacing w:after="0" w:line="169" w:lineRule="exact"/>
        <w:rPr>
          <w:rFonts w:ascii="Arial" w:cs="Arial" w:eastAsia="Arial" w:hAnsi="Arial"/>
          <w:sz w:val="18"/>
          <w:szCs w:val="18"/>
          <w:color w:val="auto"/>
        </w:rPr>
      </w:pPr>
    </w:p>
    <w:p>
      <w:pPr>
        <w:jc w:val="both"/>
        <w:ind w:firstLine="885"/>
        <w:spacing w:after="0" w:line="244" w:lineRule="auto"/>
        <w:tabs>
          <w:tab w:leader="none" w:pos="238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 Tenant shall not be deemed to have abandoned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if (i) Tenant provides Landlord with reasonable advance notice prior to vacating and, at the time of vacating the Premises, Tenant completes Tenant’s obligations with respect to the Surrender Plan in compliance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(ii) Tenant has made reasonable arrangements with Landlord for the security of the Premises for the balance of the Term, and (iii) Tenant continues during the balance of the Term to satisfy all of its obligations under the Lease as they 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127000</wp:posOffset>
            </wp:positionV>
            <wp:extent cx="242697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1" w:name="page72"/>
    <w:bookmarkEnd w:id="71"/>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18</w:t>
      </w:r>
    </w:p>
    <w:p>
      <w:pPr>
        <w:spacing w:after="0" w:line="17" w:lineRule="exact"/>
        <w:rPr>
          <w:sz w:val="20"/>
          <w:szCs w:val="20"/>
          <w:color w:val="auto"/>
        </w:rPr>
      </w:pPr>
    </w:p>
    <w:p>
      <w:pPr>
        <w:jc w:val="both"/>
        <w:ind w:firstLine="885"/>
        <w:spacing w:after="0"/>
        <w:tabs>
          <w:tab w:leader="none" w:pos="239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Tenant’s interest in this Lease or the Premises except as expressly permitted herein, or Tenant’s interest in this Lease shall be attached, executed upon, or otherwise judicially seized and such action is not released within 90 days of the action.</w:t>
      </w:r>
    </w:p>
    <w:p>
      <w:pPr>
        <w:spacing w:after="0" w:line="180" w:lineRule="exact"/>
        <w:rPr>
          <w:rFonts w:ascii="Arial" w:cs="Arial" w:eastAsia="Arial" w:hAnsi="Arial"/>
          <w:sz w:val="18"/>
          <w:szCs w:val="18"/>
          <w:color w:val="auto"/>
        </w:rPr>
      </w:pPr>
    </w:p>
    <w:p>
      <w:pPr>
        <w:ind w:firstLine="885"/>
        <w:spacing w:after="0" w:line="271" w:lineRule="auto"/>
        <w:tabs>
          <w:tab w:leader="none" w:pos="239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this Lease within 20 days after any such lien is filed against the Premises.</w:t>
      </w:r>
    </w:p>
    <w:p>
      <w:pPr>
        <w:spacing w:after="0" w:line="153" w:lineRule="exact"/>
        <w:rPr>
          <w:rFonts w:ascii="Arial" w:cs="Arial" w:eastAsia="Arial" w:hAnsi="Arial"/>
          <w:sz w:val="18"/>
          <w:szCs w:val="18"/>
          <w:color w:val="auto"/>
        </w:rPr>
      </w:pPr>
    </w:p>
    <w:p>
      <w:pPr>
        <w:jc w:val="both"/>
        <w:ind w:firstLine="885"/>
        <w:spacing w:after="0" w:line="241" w:lineRule="auto"/>
        <w:tabs>
          <w:tab w:leader="none" w:pos="234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79" w:lineRule="exact"/>
        <w:rPr>
          <w:rFonts w:ascii="Arial" w:cs="Arial" w:eastAsia="Arial" w:hAnsi="Arial"/>
          <w:sz w:val="18"/>
          <w:szCs w:val="18"/>
          <w:color w:val="auto"/>
        </w:rPr>
      </w:pPr>
    </w:p>
    <w:p>
      <w:pPr>
        <w:ind w:firstLine="885"/>
        <w:spacing w:after="0" w:line="271" w:lineRule="auto"/>
        <w:tabs>
          <w:tab w:leader="none" w:pos="239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5 business days after a second written notice requesting such document.</w:t>
      </w:r>
    </w:p>
    <w:p>
      <w:pPr>
        <w:spacing w:after="0" w:line="153" w:lineRule="exact"/>
        <w:rPr>
          <w:rFonts w:ascii="Arial" w:cs="Arial" w:eastAsia="Arial" w:hAnsi="Arial"/>
          <w:sz w:val="18"/>
          <w:szCs w:val="18"/>
          <w:color w:val="auto"/>
        </w:rPr>
      </w:pPr>
    </w:p>
    <w:p>
      <w:pPr>
        <w:jc w:val="both"/>
        <w:ind w:firstLine="885"/>
        <w:spacing w:after="0" w:line="241" w:lineRule="auto"/>
        <w:tabs>
          <w:tab w:leader="none" w:pos="239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Other Lease</w:t>
      </w:r>
      <w:r>
        <w:rPr>
          <w:rFonts w:ascii="Arial" w:cs="Arial" w:eastAsia="Arial" w:hAnsi="Arial"/>
          <w:sz w:val="18"/>
          <w:szCs w:val="18"/>
          <w:color w:val="auto"/>
        </w:rPr>
        <w:t>. Any Default (as defined in any Other Lease) under that certain lease agreement between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ARE-11025/11075 Roselle Street, LLC, a Delaware limited liability company, an affiliate of Landlord (“</w:t>
      </w:r>
      <w:r>
        <w:rPr>
          <w:rFonts w:ascii="Arial" w:cs="Arial" w:eastAsia="Arial" w:hAnsi="Arial"/>
          <w:sz w:val="18"/>
          <w:szCs w:val="18"/>
          <w:b w:val="1"/>
          <w:bCs w:val="1"/>
          <w:color w:val="auto"/>
        </w:rPr>
        <w:t>Roselle Street Landlord</w:t>
      </w:r>
      <w:r>
        <w:rPr>
          <w:rFonts w:ascii="Arial" w:cs="Arial" w:eastAsia="Arial" w:hAnsi="Arial"/>
          <w:sz w:val="18"/>
          <w:szCs w:val="18"/>
          <w:color w:val="auto"/>
        </w:rPr>
        <w:t>”), dated as of March 7, 2008, or that certain lease agreement between Tenant and Roselle Street Landlord dated as of November 5, 2013 (each, as the same has been or may in the future be amended, an “</w:t>
      </w:r>
      <w:r>
        <w:rPr>
          <w:rFonts w:ascii="Arial" w:cs="Arial" w:eastAsia="Arial" w:hAnsi="Arial"/>
          <w:sz w:val="18"/>
          <w:szCs w:val="18"/>
          <w:b w:val="1"/>
          <w:bCs w:val="1"/>
          <w:color w:val="auto"/>
        </w:rPr>
        <w:t>Other Lease</w:t>
      </w:r>
      <w:r>
        <w:rPr>
          <w:rFonts w:ascii="Arial" w:cs="Arial" w:eastAsia="Arial" w:hAnsi="Arial"/>
          <w:sz w:val="18"/>
          <w:szCs w:val="18"/>
          <w:color w:val="auto"/>
        </w:rPr>
        <w:t>”); provided, however, that a Default (as defined in any Other Lease), other than a monetary Default (as defined in any Other Lease), that occurs under either Other Lease during the final 6 months of the term of such Other Lease or at any time following the expiration of the term of such Other Lease (including any Default relating to the restoration of the premises relating to such Other Lease) shall not constitute a Default hereunder;</w:t>
      </w:r>
    </w:p>
    <w:p>
      <w:pPr>
        <w:spacing w:after="0" w:line="179" w:lineRule="exact"/>
        <w:rPr>
          <w:rFonts w:ascii="Arial" w:cs="Arial" w:eastAsia="Arial" w:hAnsi="Arial"/>
          <w:sz w:val="18"/>
          <w:szCs w:val="18"/>
          <w:color w:val="auto"/>
        </w:rPr>
      </w:pPr>
    </w:p>
    <w:p>
      <w:pPr>
        <w:jc w:val="both"/>
        <w:ind w:firstLine="885"/>
        <w:spacing w:after="0" w:line="253" w:lineRule="auto"/>
        <w:tabs>
          <w:tab w:leader="none" w:pos="233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in this </w:t>
      </w:r>
      <w:r>
        <w:rPr>
          <w:rFonts w:ascii="Arial" w:cs="Arial" w:eastAsia="Arial" w:hAnsi="Arial"/>
          <w:sz w:val="18"/>
          <w:szCs w:val="18"/>
          <w:u w:val="single" w:color="auto"/>
          <w:color w:val="auto"/>
        </w:rPr>
        <w:t>Section 20</w:t>
      </w:r>
      <w:r>
        <w:rPr>
          <w:rFonts w:ascii="Arial" w:cs="Arial" w:eastAsia="Arial" w:hAnsi="Arial"/>
          <w:sz w:val="18"/>
          <w:szCs w:val="18"/>
          <w:color w:val="auto"/>
        </w:rPr>
        <w:t>, and, except as otherwise expressly provided herein, such failure shall continue for a period of 30 days after written notice thereof from Landlord to Tenant.</w:t>
      </w:r>
    </w:p>
    <w:p>
      <w:pPr>
        <w:spacing w:after="0" w:line="19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20(i)</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20(i)</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cure shall be completed no later than 90 days from the date of Landlord’s notice.</w:t>
      </w:r>
    </w:p>
    <w:p>
      <w:pPr>
        <w:spacing w:after="0" w:line="183" w:lineRule="exact"/>
        <w:rPr>
          <w:sz w:val="20"/>
          <w:szCs w:val="20"/>
          <w:color w:val="auto"/>
        </w:rPr>
      </w:pPr>
    </w:p>
    <w:p>
      <w:pPr>
        <w:ind w:left="2440" w:hanging="1555"/>
        <w:spacing w:after="0"/>
        <w:tabs>
          <w:tab w:leader="none" w:pos="24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44" w:lineRule="auto"/>
        <w:tabs>
          <w:tab w:leader="none" w:pos="239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w:t>
      </w:r>
      <w:r>
        <w:rPr>
          <w:rFonts w:ascii="Arial" w:cs="Arial" w:eastAsia="Arial" w:hAnsi="Arial"/>
          <w:sz w:val="18"/>
          <w:szCs w:val="18"/>
          <w:b w:val="1"/>
          <w:bCs w:val="1"/>
          <w:color w:val="auto"/>
        </w:rPr>
        <w:t xml:space="preserve"> </w:t>
      </w:r>
      <w:r>
        <w:rPr>
          <w:rFonts w:ascii="Arial" w:cs="Arial" w:eastAsia="Arial" w:hAnsi="Arial"/>
          <w:sz w:val="18"/>
          <w:szCs w:val="18"/>
          <w:color w:val="auto"/>
        </w:rPr>
        <w:t>releasing any obligation of Tenant 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127000</wp:posOffset>
            </wp:positionV>
            <wp:extent cx="242697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19</w:t>
      </w:r>
    </w:p>
    <w:p>
      <w:pPr>
        <w:spacing w:after="0" w:line="17" w:lineRule="exact"/>
        <w:rPr>
          <w:sz w:val="20"/>
          <w:szCs w:val="20"/>
          <w:color w:val="auto"/>
        </w:rPr>
      </w:pPr>
    </w:p>
    <w:p>
      <w:pPr>
        <w:jc w:val="both"/>
        <w:ind w:firstLine="885"/>
        <w:spacing w:after="0" w:line="236" w:lineRule="auto"/>
        <w:tabs>
          <w:tab w:leader="none" w:pos="2394"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incur costs not 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 Notwithstanding anything to the contrary contained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no late charge shall be assessed on the first late payment of Rent made by Tenant in any 12 month period during the Term.</w:t>
      </w:r>
    </w:p>
    <w:p>
      <w:pPr>
        <w:spacing w:after="0" w:line="185" w:lineRule="exact"/>
        <w:rPr>
          <w:rFonts w:ascii="Arial" w:cs="Arial" w:eastAsia="Arial" w:hAnsi="Arial"/>
          <w:sz w:val="18"/>
          <w:szCs w:val="18"/>
          <w:color w:val="auto"/>
        </w:rPr>
      </w:pPr>
    </w:p>
    <w:p>
      <w:pPr>
        <w:jc w:val="both"/>
        <w:ind w:firstLine="885"/>
        <w:spacing w:after="0" w:line="253" w:lineRule="auto"/>
        <w:tabs>
          <w:tab w:leader="none" w:pos="2384"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Upon the occurrence of a Default, Landlord, at its option, without further notice or demand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in addition to all other rights and remedies provided in this Lease, at law or in equity, the option to pursue any one or more of the following remedies, each and all of which shall be cumulative and nonexclusive, without any notice or demand whatsoever.</w:t>
      </w:r>
    </w:p>
    <w:p>
      <w:pPr>
        <w:spacing w:after="0" w:line="191"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18"/>
          <w:szCs w:val="18"/>
          <w:color w:val="auto"/>
        </w:rPr>
        <w:t>(i) 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if permitted by applicable Legal Requirements, enter upon and take possession of the Premises and expel or remove Tenant and any other person who may be occupying the Premises or any part thereof, without being liable for prosecution or any claim or damages therefor;</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420" w:type="dxa"/>
            <w:vAlign w:val="bottom"/>
          </w:tcPr>
          <w:p>
            <w:pPr>
              <w:ind w:left="820"/>
              <w:spacing w:after="0"/>
              <w:rPr>
                <w:sz w:val="20"/>
                <w:szCs w:val="20"/>
                <w:color w:val="auto"/>
              </w:rPr>
            </w:pPr>
            <w:r>
              <w:rPr>
                <w:rFonts w:ascii="Arial" w:cs="Arial" w:eastAsia="Arial" w:hAnsi="Arial"/>
                <w:sz w:val="18"/>
                <w:szCs w:val="18"/>
                <w:color w:val="auto"/>
              </w:rPr>
              <w:t>(ii)</w:t>
            </w:r>
          </w:p>
        </w:tc>
        <w:tc>
          <w:tcPr>
            <w:tcW w:w="8120" w:type="dxa"/>
            <w:vAlign w:val="bottom"/>
            <w:gridSpan w:val="3"/>
          </w:tcPr>
          <w:p>
            <w:pPr>
              <w:jc w:val="right"/>
              <w:ind w:right="20"/>
              <w:spacing w:after="0"/>
              <w:rPr>
                <w:sz w:val="20"/>
                <w:szCs w:val="20"/>
                <w:color w:val="auto"/>
              </w:rPr>
            </w:pPr>
            <w:r>
              <w:rPr>
                <w:rFonts w:ascii="Arial" w:cs="Arial" w:eastAsia="Arial" w:hAnsi="Arial"/>
                <w:sz w:val="18"/>
                <w:szCs w:val="18"/>
                <w:color w:val="auto"/>
              </w:rPr>
              <w:t>Upon any termination of this Lease, whether pursuant to the foregoing Section 21(c)(i) or</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otherwise, Landlord may recover from Tenant the following:</w:t>
            </w: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404"/>
        </w:trPr>
        <w:tc>
          <w:tcPr>
            <w:tcW w:w="2420" w:type="dxa"/>
            <w:vAlign w:val="bottom"/>
          </w:tcPr>
          <w:p>
            <w:pPr>
              <w:ind w:left="1620"/>
              <w:spacing w:after="0"/>
              <w:rPr>
                <w:sz w:val="20"/>
                <w:szCs w:val="20"/>
                <w:color w:val="auto"/>
              </w:rPr>
            </w:pPr>
            <w:r>
              <w:rPr>
                <w:rFonts w:ascii="Arial" w:cs="Arial" w:eastAsia="Arial" w:hAnsi="Arial"/>
                <w:sz w:val="18"/>
                <w:szCs w:val="18"/>
                <w:color w:val="auto"/>
              </w:rPr>
              <w:t>(A)</w:t>
            </w:r>
          </w:p>
        </w:tc>
        <w:tc>
          <w:tcPr>
            <w:tcW w:w="8120" w:type="dxa"/>
            <w:vAlign w:val="bottom"/>
            <w:gridSpan w:val="3"/>
          </w:tcPr>
          <w:p>
            <w:pPr>
              <w:jc w:val="right"/>
              <w:spacing w:after="0"/>
              <w:rPr>
                <w:sz w:val="20"/>
                <w:szCs w:val="20"/>
                <w:color w:val="auto"/>
              </w:rPr>
            </w:pPr>
            <w:r>
              <w:rPr>
                <w:rFonts w:ascii="Arial" w:cs="Arial" w:eastAsia="Arial" w:hAnsi="Arial"/>
                <w:sz w:val="18"/>
                <w:szCs w:val="18"/>
                <w:color w:val="auto"/>
              </w:rPr>
              <w:t>The worth at the time of award of any unpaid rent which has been earned at</w:t>
            </w:r>
          </w:p>
        </w:tc>
      </w:tr>
      <w:tr>
        <w:trPr>
          <w:trHeight w:val="217"/>
        </w:trPr>
        <w:tc>
          <w:tcPr>
            <w:tcW w:w="10540" w:type="dxa"/>
            <w:vAlign w:val="bottom"/>
            <w:gridSpan w:val="4"/>
          </w:tcPr>
          <w:p>
            <w:pPr>
              <w:ind w:left="880"/>
              <w:spacing w:after="0"/>
              <w:rPr>
                <w:sz w:val="20"/>
                <w:szCs w:val="20"/>
                <w:color w:val="auto"/>
              </w:rPr>
            </w:pPr>
            <w:r>
              <w:rPr>
                <w:rFonts w:ascii="Arial" w:cs="Arial" w:eastAsia="Arial" w:hAnsi="Arial"/>
                <w:sz w:val="18"/>
                <w:szCs w:val="18"/>
                <w:color w:val="auto"/>
              </w:rPr>
              <w:t>the time of such termination; plus</w:t>
            </w:r>
          </w:p>
        </w:tc>
      </w:tr>
      <w:tr>
        <w:trPr>
          <w:trHeight w:val="404"/>
        </w:trPr>
        <w:tc>
          <w:tcPr>
            <w:tcW w:w="2420" w:type="dxa"/>
            <w:vAlign w:val="bottom"/>
          </w:tcPr>
          <w:p>
            <w:pPr>
              <w:ind w:left="1620"/>
              <w:spacing w:after="0"/>
              <w:rPr>
                <w:sz w:val="20"/>
                <w:szCs w:val="20"/>
                <w:color w:val="auto"/>
              </w:rPr>
            </w:pPr>
            <w:r>
              <w:rPr>
                <w:rFonts w:ascii="Arial" w:cs="Arial" w:eastAsia="Arial" w:hAnsi="Arial"/>
                <w:sz w:val="18"/>
                <w:szCs w:val="18"/>
                <w:color w:val="auto"/>
              </w:rPr>
              <w:t>(B)</w:t>
            </w:r>
          </w:p>
        </w:tc>
        <w:tc>
          <w:tcPr>
            <w:tcW w:w="8120" w:type="dxa"/>
            <w:vAlign w:val="bottom"/>
            <w:gridSpan w:val="3"/>
          </w:tcPr>
          <w:p>
            <w:pPr>
              <w:jc w:val="right"/>
              <w:ind w:right="20"/>
              <w:spacing w:after="0"/>
              <w:rPr>
                <w:sz w:val="20"/>
                <w:szCs w:val="20"/>
                <w:color w:val="auto"/>
              </w:rPr>
            </w:pPr>
            <w:r>
              <w:rPr>
                <w:rFonts w:ascii="Arial" w:cs="Arial" w:eastAsia="Arial" w:hAnsi="Arial"/>
                <w:sz w:val="18"/>
                <w:szCs w:val="18"/>
                <w:color w:val="auto"/>
              </w:rPr>
              <w:t>The worth at the time of award of the amount by which the unpaid rent</w:t>
            </w:r>
          </w:p>
        </w:tc>
      </w:tr>
      <w:tr>
        <w:trPr>
          <w:trHeight w:val="203"/>
        </w:trPr>
        <w:tc>
          <w:tcPr>
            <w:tcW w:w="105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which would have been earned after termination until the time of award exceeds the amount of such rental loss that</w:t>
            </w:r>
          </w:p>
        </w:tc>
      </w:tr>
      <w:tr>
        <w:trPr>
          <w:trHeight w:val="217"/>
        </w:trPr>
        <w:tc>
          <w:tcPr>
            <w:tcW w:w="10540" w:type="dxa"/>
            <w:vAlign w:val="bottom"/>
            <w:gridSpan w:val="4"/>
          </w:tcPr>
          <w:p>
            <w:pPr>
              <w:ind w:left="880"/>
              <w:spacing w:after="0"/>
              <w:rPr>
                <w:sz w:val="20"/>
                <w:szCs w:val="20"/>
                <w:color w:val="auto"/>
              </w:rPr>
            </w:pPr>
            <w:r>
              <w:rPr>
                <w:rFonts w:ascii="Arial" w:cs="Arial" w:eastAsia="Arial" w:hAnsi="Arial"/>
                <w:sz w:val="18"/>
                <w:szCs w:val="18"/>
                <w:color w:val="auto"/>
              </w:rPr>
              <w:t>Tenant proves could have been reasonably avoided; plus</w:t>
            </w:r>
          </w:p>
        </w:tc>
      </w:tr>
      <w:tr>
        <w:trPr>
          <w:trHeight w:val="404"/>
        </w:trPr>
        <w:tc>
          <w:tcPr>
            <w:tcW w:w="2420" w:type="dxa"/>
            <w:vAlign w:val="bottom"/>
          </w:tcPr>
          <w:p>
            <w:pPr>
              <w:ind w:left="1620"/>
              <w:spacing w:after="0"/>
              <w:rPr>
                <w:sz w:val="20"/>
                <w:szCs w:val="20"/>
                <w:color w:val="auto"/>
              </w:rPr>
            </w:pPr>
            <w:r>
              <w:rPr>
                <w:rFonts w:ascii="Arial" w:cs="Arial" w:eastAsia="Arial" w:hAnsi="Arial"/>
                <w:sz w:val="18"/>
                <w:szCs w:val="18"/>
                <w:color w:val="auto"/>
              </w:rPr>
              <w:t>(C)</w:t>
            </w:r>
          </w:p>
        </w:tc>
        <w:tc>
          <w:tcPr>
            <w:tcW w:w="8120" w:type="dxa"/>
            <w:vAlign w:val="bottom"/>
            <w:gridSpan w:val="3"/>
          </w:tcPr>
          <w:p>
            <w:pPr>
              <w:jc w:val="right"/>
              <w:ind w:right="20"/>
              <w:spacing w:after="0"/>
              <w:rPr>
                <w:sz w:val="20"/>
                <w:szCs w:val="20"/>
                <w:color w:val="auto"/>
              </w:rPr>
            </w:pPr>
            <w:r>
              <w:rPr>
                <w:rFonts w:ascii="Arial" w:cs="Arial" w:eastAsia="Arial" w:hAnsi="Arial"/>
                <w:sz w:val="18"/>
                <w:szCs w:val="18"/>
                <w:color w:val="auto"/>
              </w:rPr>
              <w:t>The worth at the time of award of the amount by which the unpaid rent for</w:t>
            </w:r>
          </w:p>
        </w:tc>
      </w:tr>
    </w:tbl>
    <w:p>
      <w:pPr>
        <w:jc w:val="both"/>
        <w:ind w:left="1760"/>
        <w:spacing w:after="0" w:line="246" w:lineRule="auto"/>
        <w:rPr>
          <w:sz w:val="20"/>
          <w:szCs w:val="20"/>
          <w:color w:val="auto"/>
        </w:rPr>
      </w:pPr>
      <w:r>
        <w:rPr>
          <w:rFonts w:ascii="Arial" w:cs="Arial" w:eastAsia="Arial" w:hAnsi="Arial"/>
          <w:sz w:val="18"/>
          <w:szCs w:val="18"/>
          <w:color w:val="auto"/>
        </w:rPr>
        <w:t>the balance of the Term after the time of award exceeds the amount of such rental loss that Tenant proves could have been reasonably avoided; plus</w:t>
      </w:r>
    </w:p>
    <w:p>
      <w:pPr>
        <w:spacing w:after="0" w:line="197" w:lineRule="exact"/>
        <w:rPr>
          <w:sz w:val="20"/>
          <w:szCs w:val="20"/>
          <w:color w:val="auto"/>
        </w:rPr>
      </w:pPr>
    </w:p>
    <w:p>
      <w:pPr>
        <w:jc w:val="both"/>
        <w:ind w:left="1760" w:firstLine="743"/>
        <w:spacing w:after="0" w:line="238" w:lineRule="auto"/>
        <w:rPr>
          <w:sz w:val="20"/>
          <w:szCs w:val="20"/>
          <w:color w:val="auto"/>
        </w:rPr>
      </w:pPr>
      <w:r>
        <w:rPr>
          <w:rFonts w:ascii="Arial" w:cs="Arial" w:eastAsia="Arial" w:hAnsi="Arial"/>
          <w:sz w:val="18"/>
          <w:szCs w:val="18"/>
          <w:color w:val="auto"/>
        </w:rPr>
        <w:t>(D) 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203" w:lineRule="exact"/>
        <w:rPr>
          <w:sz w:val="20"/>
          <w:szCs w:val="20"/>
          <w:color w:val="auto"/>
        </w:rPr>
      </w:pPr>
    </w:p>
    <w:p>
      <w:pPr>
        <w:jc w:val="both"/>
        <w:ind w:left="1760" w:firstLine="743"/>
        <w:spacing w:after="0" w:line="246" w:lineRule="auto"/>
        <w:rPr>
          <w:sz w:val="20"/>
          <w:szCs w:val="20"/>
          <w:color w:val="auto"/>
        </w:rPr>
      </w:pPr>
      <w:r>
        <w:rPr>
          <w:rFonts w:ascii="Arial" w:cs="Arial" w:eastAsia="Arial" w:hAnsi="Arial"/>
          <w:sz w:val="18"/>
          <w:szCs w:val="18"/>
          <w:color w:val="auto"/>
        </w:rPr>
        <w:t>(E) At Landlord’s election, such other amounts in addition to or in lieu of the foregoing as may be permitted from time to time by applicable law.</w:t>
      </w:r>
    </w:p>
    <w:p>
      <w:pPr>
        <w:spacing w:after="0" w:line="175" w:lineRule="exact"/>
        <w:rPr>
          <w:sz w:val="20"/>
          <w:szCs w:val="20"/>
          <w:color w:val="auto"/>
        </w:rPr>
      </w:pPr>
    </w:p>
    <w:p>
      <w:pPr>
        <w:jc w:val="both"/>
        <w:ind w:left="880"/>
        <w:spacing w:after="0" w:line="244"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21(c)(ii)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xml:space="preserve">” shall be computed by allowing interest at the Default Rate. As used in </w:t>
      </w:r>
      <w:r>
        <w:rPr>
          <w:rFonts w:ascii="Arial" w:cs="Arial" w:eastAsia="Arial" w:hAnsi="Arial"/>
          <w:sz w:val="18"/>
          <w:szCs w:val="18"/>
          <w:u w:val="single" w:color="auto"/>
          <w:color w:val="auto"/>
        </w:rPr>
        <w:t>Section 21(c)(ii)(C)</w:t>
      </w:r>
      <w:r>
        <w:rPr>
          <w:rFonts w:ascii="Arial" w:cs="Arial" w:eastAsia="Arial" w:hAnsi="Arial"/>
          <w:sz w:val="18"/>
          <w:szCs w:val="18"/>
          <w:color w:val="auto"/>
        </w:rPr>
        <w:t xml:space="preserve"> above, the “</w:t>
      </w:r>
      <w:r>
        <w:rPr>
          <w:rFonts w:ascii="Arial" w:cs="Arial" w:eastAsia="Arial" w:hAnsi="Arial"/>
          <w:sz w:val="18"/>
          <w:szCs w:val="18"/>
          <w:b w:val="1"/>
          <w:bCs w:val="1"/>
          <w:color w:val="auto"/>
        </w:rPr>
        <w:t>worth at the time of award</w:t>
      </w:r>
      <w:r>
        <w:rPr>
          <w:rFonts w:ascii="Arial" w:cs="Arial" w:eastAsia="Arial" w:hAnsi="Arial"/>
          <w:sz w:val="18"/>
          <w:szCs w:val="18"/>
          <w:color w:val="auto"/>
        </w:rPr>
        <w:t>” shall be computed by discounting such amount at the discount rate of the Federal Reserve Bank of San Francisco at the time of award plus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127000</wp:posOffset>
            </wp:positionV>
            <wp:extent cx="242697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4"/>
        </w:trPr>
        <w:tc>
          <w:tcPr>
            <w:tcW w:w="880" w:type="dxa"/>
            <w:vAlign w:val="bottom"/>
          </w:tcPr>
          <w:p>
            <w:pPr>
              <w:spacing w:after="0"/>
              <w:rPr>
                <w:sz w:val="20"/>
                <w:szCs w:val="20"/>
                <w:color w:val="auto"/>
              </w:rPr>
            </w:pPr>
            <w:r>
              <w:rPr>
                <w:rFonts w:ascii="Arial" w:cs="Arial" w:eastAsia="Arial" w:hAnsi="Arial"/>
                <w:sz w:val="18"/>
                <w:szCs w:val="18"/>
                <w:b w:val="1"/>
                <w:bCs w:val="1"/>
                <w:color w:val="auto"/>
              </w:rPr>
              <w:t>Net Lease</w:t>
            </w:r>
          </w:p>
        </w:tc>
        <w:tc>
          <w:tcPr>
            <w:tcW w:w="10540" w:type="dxa"/>
            <w:vAlign w:val="bottom"/>
            <w:gridSpan w:val="4"/>
          </w:tcPr>
          <w:p>
            <w:pPr>
              <w:ind w:left="62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20</w:t>
            </w:r>
          </w:p>
        </w:tc>
      </w:tr>
      <w:tr>
        <w:trPr>
          <w:trHeight w:val="203"/>
        </w:trPr>
        <w:tc>
          <w:tcPr>
            <w:tcW w:w="880" w:type="dxa"/>
            <w:vAlign w:val="bottom"/>
          </w:tcPr>
          <w:p>
            <w:pPr>
              <w:spacing w:after="0"/>
              <w:rPr>
                <w:sz w:val="17"/>
                <w:szCs w:val="17"/>
                <w:color w:val="auto"/>
              </w:rPr>
            </w:pPr>
          </w:p>
        </w:tc>
        <w:tc>
          <w:tcPr>
            <w:tcW w:w="2460" w:type="dxa"/>
            <w:vAlign w:val="bottom"/>
          </w:tcPr>
          <w:p>
            <w:pPr>
              <w:ind w:left="820"/>
              <w:spacing w:after="0" w:line="202" w:lineRule="exact"/>
              <w:rPr>
                <w:sz w:val="20"/>
                <w:szCs w:val="20"/>
                <w:color w:val="auto"/>
              </w:rPr>
            </w:pPr>
            <w:r>
              <w:rPr>
                <w:rFonts w:ascii="Arial" w:cs="Arial" w:eastAsia="Arial" w:hAnsi="Arial"/>
                <w:sz w:val="18"/>
                <w:szCs w:val="18"/>
                <w:color w:val="auto"/>
              </w:rPr>
              <w:t>(iii)</w:t>
            </w:r>
          </w:p>
        </w:tc>
        <w:tc>
          <w:tcPr>
            <w:tcW w:w="8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Landlord may continue this Lease in effect after Tenant’s Default and recover rent as it</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rPr>
              <w:t>becomes due (Landlord and Tenant hereby agreeing that Tenant has the right to sublet or assign hereunder, subject only to</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rPr>
              <w:t>reasonable limitations). Accordingly, if Landlord does not elect to terminate this Lease following a Default by Tenant, Landlord may,</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rPr>
              <w:t>from time to time, without terminating this Lease, enforce all of its rights and remedies hereunder, including the right to recover all</w:t>
            </w:r>
          </w:p>
        </w:tc>
      </w:tr>
      <w:tr>
        <w:trPr>
          <w:trHeight w:val="217"/>
        </w:trPr>
        <w:tc>
          <w:tcPr>
            <w:tcW w:w="8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Rent as it becomes due.</w:t>
            </w:r>
          </w:p>
        </w:tc>
        <w:tc>
          <w:tcPr>
            <w:tcW w:w="5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4"/>
        </w:trPr>
        <w:tc>
          <w:tcPr>
            <w:tcW w:w="880" w:type="dxa"/>
            <w:vAlign w:val="bottom"/>
          </w:tcPr>
          <w:p>
            <w:pPr>
              <w:spacing w:after="0"/>
              <w:rPr>
                <w:sz w:val="24"/>
                <w:szCs w:val="24"/>
                <w:color w:val="auto"/>
              </w:rPr>
            </w:pPr>
          </w:p>
        </w:tc>
        <w:tc>
          <w:tcPr>
            <w:tcW w:w="2460" w:type="dxa"/>
            <w:vAlign w:val="bottom"/>
          </w:tcPr>
          <w:p>
            <w:pPr>
              <w:ind w:left="820"/>
              <w:spacing w:after="0"/>
              <w:rPr>
                <w:sz w:val="20"/>
                <w:szCs w:val="20"/>
                <w:color w:val="auto"/>
              </w:rPr>
            </w:pPr>
            <w:r>
              <w:rPr>
                <w:rFonts w:ascii="Arial" w:cs="Arial" w:eastAsia="Arial" w:hAnsi="Arial"/>
                <w:sz w:val="18"/>
                <w:szCs w:val="18"/>
                <w:color w:val="auto"/>
              </w:rPr>
              <w:t>(iv)</w:t>
            </w:r>
          </w:p>
        </w:tc>
        <w:tc>
          <w:tcPr>
            <w:tcW w:w="8080" w:type="dxa"/>
            <w:vAlign w:val="bottom"/>
            <w:gridSpan w:val="3"/>
          </w:tcPr>
          <w:p>
            <w:pPr>
              <w:jc w:val="right"/>
              <w:spacing w:after="0"/>
              <w:rPr>
                <w:sz w:val="20"/>
                <w:szCs w:val="20"/>
                <w:color w:val="auto"/>
              </w:rPr>
            </w:pPr>
            <w:r>
              <w:rPr>
                <w:rFonts w:ascii="Arial" w:cs="Arial" w:eastAsia="Arial" w:hAnsi="Arial"/>
                <w:sz w:val="18"/>
                <w:szCs w:val="18"/>
                <w:color w:val="auto"/>
              </w:rPr>
              <w:t>Whether or not Landlord elects to terminate this Lease following a Default by Tenant, Landlord</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rPr>
              <w:t>shall have the right to terminate any and all subleases, licenses, concessions or other consensual arrangements for possession</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rPr>
              <w:t>entered into by Tenant and affecting the Premises or may, in Landlord’s sole discretion, succeed to Tenant’s interest in such</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rPr>
              <w:t>subleases, licenses, concessions or arrangements. Upon Landlord’s election to succeed to Tenant’s interest in any such subleases,</w:t>
            </w:r>
          </w:p>
        </w:tc>
      </w:tr>
      <w:tr>
        <w:trPr>
          <w:trHeight w:val="203"/>
        </w:trPr>
        <w:tc>
          <w:tcPr>
            <w:tcW w:w="880" w:type="dxa"/>
            <w:vAlign w:val="bottom"/>
          </w:tcPr>
          <w:p>
            <w:pPr>
              <w:spacing w:after="0"/>
              <w:rPr>
                <w:sz w:val="17"/>
                <w:szCs w:val="17"/>
                <w:color w:val="auto"/>
              </w:rPr>
            </w:pPr>
          </w:p>
        </w:tc>
        <w:tc>
          <w:tcPr>
            <w:tcW w:w="10540" w:type="dxa"/>
            <w:vAlign w:val="bottom"/>
            <w:gridSpan w:val="4"/>
          </w:tcPr>
          <w:p>
            <w:pPr>
              <w:spacing w:after="0" w:line="202" w:lineRule="exact"/>
              <w:rPr>
                <w:sz w:val="20"/>
                <w:szCs w:val="20"/>
                <w:color w:val="auto"/>
              </w:rPr>
            </w:pPr>
            <w:r>
              <w:rPr>
                <w:rFonts w:ascii="Arial" w:cs="Arial" w:eastAsia="Arial" w:hAnsi="Arial"/>
                <w:sz w:val="18"/>
                <w:szCs w:val="18"/>
                <w:color w:val="auto"/>
                <w:w w:val="99"/>
              </w:rPr>
              <w:t>licenses, concessions or arrangements, Tenant shall, as of the date of notice by Landlord of such election, have no further right to or</w:t>
            </w:r>
          </w:p>
        </w:tc>
      </w:tr>
      <w:tr>
        <w:trPr>
          <w:trHeight w:val="217"/>
        </w:trPr>
        <w:tc>
          <w:tcPr>
            <w:tcW w:w="880" w:type="dxa"/>
            <w:vAlign w:val="bottom"/>
          </w:tcPr>
          <w:p>
            <w:pPr>
              <w:spacing w:after="0"/>
              <w:rPr>
                <w:sz w:val="18"/>
                <w:szCs w:val="18"/>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interest in the rent or other consideration receivable thereunder.</w:t>
            </w:r>
          </w:p>
        </w:tc>
      </w:tr>
      <w:tr>
        <w:trPr>
          <w:trHeight w:val="404"/>
        </w:trPr>
        <w:tc>
          <w:tcPr>
            <w:tcW w:w="880" w:type="dxa"/>
            <w:vAlign w:val="bottom"/>
          </w:tcPr>
          <w:p>
            <w:pPr>
              <w:spacing w:after="0"/>
              <w:rPr>
                <w:sz w:val="24"/>
                <w:szCs w:val="24"/>
                <w:color w:val="auto"/>
              </w:rPr>
            </w:pPr>
          </w:p>
        </w:tc>
        <w:tc>
          <w:tcPr>
            <w:tcW w:w="2460" w:type="dxa"/>
            <w:vAlign w:val="bottom"/>
          </w:tcPr>
          <w:p>
            <w:pPr>
              <w:ind w:left="820"/>
              <w:spacing w:after="0"/>
              <w:rPr>
                <w:sz w:val="20"/>
                <w:szCs w:val="20"/>
                <w:color w:val="auto"/>
              </w:rPr>
            </w:pPr>
            <w:r>
              <w:rPr>
                <w:rFonts w:ascii="Arial" w:cs="Arial" w:eastAsia="Arial" w:hAnsi="Arial"/>
                <w:sz w:val="18"/>
                <w:szCs w:val="18"/>
                <w:color w:val="auto"/>
              </w:rPr>
              <w:t>(v)</w:t>
            </w:r>
          </w:p>
        </w:tc>
        <w:tc>
          <w:tcPr>
            <w:tcW w:w="8080" w:type="dxa"/>
            <w:vAlign w:val="bottom"/>
            <w:gridSpan w:val="3"/>
          </w:tcPr>
          <w:p>
            <w:pPr>
              <w:jc w:val="right"/>
              <w:ind w:right="20"/>
              <w:spacing w:after="0"/>
              <w:rPr>
                <w:sz w:val="20"/>
                <w:szCs w:val="20"/>
                <w:color w:val="auto"/>
              </w:rPr>
            </w:pPr>
            <w:r>
              <w:rPr>
                <w:rFonts w:ascii="Arial" w:cs="Arial" w:eastAsia="Arial" w:hAnsi="Arial"/>
                <w:sz w:val="18"/>
                <w:szCs w:val="18"/>
                <w:color w:val="auto"/>
              </w:rPr>
              <w:t>Independent of the exercise of any other remedy of Landlord hereunder or under applicable</w:t>
            </w:r>
          </w:p>
        </w:tc>
      </w:tr>
      <w:tr>
        <w:trPr>
          <w:trHeight w:val="176"/>
        </w:trPr>
        <w:tc>
          <w:tcPr>
            <w:tcW w:w="880" w:type="dxa"/>
            <w:vAlign w:val="bottom"/>
          </w:tcPr>
          <w:p>
            <w:pPr>
              <w:spacing w:after="0"/>
              <w:rPr>
                <w:sz w:val="15"/>
                <w:szCs w:val="15"/>
                <w:color w:val="auto"/>
              </w:rPr>
            </w:pPr>
          </w:p>
        </w:tc>
        <w:tc>
          <w:tcPr>
            <w:tcW w:w="10540" w:type="dxa"/>
            <w:vAlign w:val="bottom"/>
            <w:gridSpan w:val="4"/>
          </w:tcPr>
          <w:p>
            <w:pPr>
              <w:spacing w:after="0" w:line="176" w:lineRule="exact"/>
              <w:rPr>
                <w:sz w:val="20"/>
                <w:szCs w:val="20"/>
                <w:color w:val="auto"/>
              </w:rPr>
            </w:pPr>
            <w:r>
              <w:rPr>
                <w:rFonts w:ascii="Arial" w:cs="Arial" w:eastAsia="Arial" w:hAnsi="Arial"/>
                <w:sz w:val="18"/>
                <w:szCs w:val="18"/>
                <w:color w:val="auto"/>
              </w:rPr>
              <w:t>law, Landlord may conduct an environmental test of the Premises as generally described in Section 30(c) hereof, at Tenant’s</w:t>
            </w:r>
          </w:p>
        </w:tc>
      </w:tr>
      <w:tr>
        <w:trPr>
          <w:trHeight w:val="223"/>
        </w:trPr>
        <w:tc>
          <w:tcPr>
            <w:tcW w:w="88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expense.</w:t>
            </w:r>
          </w:p>
        </w:tc>
        <w:tc>
          <w:tcPr>
            <w:tcW w:w="53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bl>
    <w:p>
      <w:pPr>
        <w:spacing w:after="0" w:line="180" w:lineRule="exact"/>
        <w:rPr>
          <w:sz w:val="20"/>
          <w:szCs w:val="20"/>
          <w:color w:val="auto"/>
        </w:rPr>
      </w:pPr>
    </w:p>
    <w:p>
      <w:pPr>
        <w:jc w:val="both"/>
        <w:ind w:firstLine="885"/>
        <w:spacing w:after="0" w:line="236" w:lineRule="auto"/>
        <w:tabs>
          <w:tab w:leader="none" w:pos="239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Effect of Exercise</w:t>
      </w:r>
      <w:r>
        <w:rPr>
          <w:rFonts w:ascii="Arial" w:cs="Arial" w:eastAsia="Arial" w:hAnsi="Arial"/>
          <w:sz w:val="18"/>
          <w:szCs w:val="18"/>
          <w:color w:val="auto"/>
        </w:rPr>
        <w:t>. Exercise by Landlord of any remedies hereunder or otherwise available shall not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an acceptance of 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 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 Landlord shall, however, use commercially reasonable efforts to mitigate the damages arising by reason of the termination of this Lease as a result of a Default by Tenant; provided, however, that in no event shall mitigation require Landlord to consider, among other things, (i) any tenant which does not satisfy Landlord’s then current underwriting criteria, in the exercise of Landlord’s sole and absolute discretion, for comparable size premises, (ii) subdividing the Premises unless Landlord elects in its sole and absolute discretion to do so, (iii) any change in use of the Premises or any alterations which would lessen the value of the leasehold improvements, (iv) granting any tenant improvement allowances, free rent or other lease concessions, or (v) accepting any tenant if Landlord would have the right to reject such tenant if such tenant were a proposed assignee or sublessee of Tenant including, without limitation, considering the factors described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95" w:lineRule="exact"/>
        <w:rPr>
          <w:sz w:val="20"/>
          <w:szCs w:val="20"/>
          <w:color w:val="auto"/>
        </w:rPr>
      </w:pPr>
    </w:p>
    <w:p>
      <w:pPr>
        <w:ind w:left="2440" w:hanging="1555"/>
        <w:spacing w:after="0"/>
        <w:tabs>
          <w:tab w:leader="none" w:pos="2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53" w:lineRule="auto"/>
        <w:tabs>
          <w:tab w:leader="none" w:pos="2394"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General Prohibition</w:t>
      </w:r>
      <w:r>
        <w:rPr>
          <w:rFonts w:ascii="Arial" w:cs="Arial" w:eastAsia="Arial" w:hAnsi="Arial"/>
          <w:sz w:val="18"/>
          <w:szCs w:val="18"/>
          <w:color w:val="auto"/>
        </w:rPr>
        <w:t>. Without Landlord’s prior written consent subject to and on the conditions described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Tenant shall not, directly or indirectly, voluntarily or by operation of law, assign this Lease or sublease the Premises or any part thereof or mortgage, pledge, or hypothecate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121920</wp:posOffset>
            </wp:positionV>
            <wp:extent cx="242697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21</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Notwithstanding the foregoing, Tenant shall have the right to obtain financing from institutional investors (including venture capital funding and corporate partners) which regularly invest in private biotechnology companies or undergo a public offering which results in a change in control of Tenant without such change of control constituting an assignment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requiring Landlord consent, provided that (i) Tenant notifies Landlord in writing of the financing at least 5 business days prior to the closing of the financing, and (ii) provided that in no event shall such financing result in a change in use of the Premises from the Permitted Use.</w:t>
      </w:r>
    </w:p>
    <w:p>
      <w:pPr>
        <w:spacing w:after="0" w:line="183" w:lineRule="exact"/>
        <w:rPr>
          <w:sz w:val="20"/>
          <w:szCs w:val="20"/>
          <w:color w:val="auto"/>
        </w:rPr>
      </w:pPr>
    </w:p>
    <w:p>
      <w:pPr>
        <w:jc w:val="both"/>
        <w:ind w:firstLine="885"/>
        <w:spacing w:after="0" w:line="236" w:lineRule="auto"/>
        <w:tabs>
          <w:tab w:leader="none" w:pos="2394"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sublet the Premises, other than pursuant to a Permitted Assignment (as defined below), then at least 15 business days, but not more than 45 business days, before the date Tenant desires the assignment or sublease to be effective (the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(the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(provided that Landlord shall further have the right to review and approve or disapprove, in Landlord’s reasonable discretion, the proposed form of sublease prior to the effective date of any such subletting), or (ii) refuse such consent, in its reasonable discretion.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material alterations that would materially lessen the value of the leasehold improvements in the Premises, or would require materially increased services by Landlord; (3) in Landlord’s reasonable judgment,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(iii) attract protestors to the Building or the Project, or (iv) lessen the attractiveness of the Building or the Project to any tenants or prospective tenants, purchasers or lenders; (4) in Landlord’s reasonable judgment, the proposed assignee or subtenant lacks the creditworthiness to support the financial obligations it will incur under the proposed assignment or sublease;</w:t>
      </w:r>
    </w:p>
    <w:p>
      <w:pPr>
        <w:spacing w:after="0" w:line="3" w:lineRule="exact"/>
        <w:rPr>
          <w:rFonts w:ascii="Arial" w:cs="Arial" w:eastAsia="Arial" w:hAnsi="Arial"/>
          <w:sz w:val="18"/>
          <w:szCs w:val="18"/>
          <w:color w:val="auto"/>
        </w:rPr>
      </w:pPr>
    </w:p>
    <w:p>
      <w:pPr>
        <w:jc w:val="both"/>
        <w:ind w:firstLine="8"/>
        <w:spacing w:after="0" w:line="236" w:lineRule="auto"/>
        <w:tabs>
          <w:tab w:leader="none" w:pos="2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Landlord’s reasonable judgment, the character, reputation, or business of the proposed assignee or subtenant is inconsistent with the quality of other tenancies in the Project or is inconsistent with the type and quality of the nature of the Building; (6) Landlord has received from any prior landlord of the proposed assignee or subtenant a negative report concerning such prior landlord’s experience with the proposed assignee or subtenant; (7) Landlord has experienced previous defaults by or is in litigation with the proposed assignee or subtenant; (8) the use of the Premises by the proposed assignee or subtenant will violate any applicable Legal Requirement; (9) the proposed assignee or subtenant, or any entity that, directly or indirectly, controls, is controlled by, or is under common control with the proposed assignee or subtenant, is then an occupant of the Project and Landlord has space available at the Project that is substantially similar to the subject space; (10) the proposed assignee or subtenant is an entity with whom Landlord is negotiating to lease space in the Project; or (11) the assignment or sublease is prohibited by Landlord’s lender. No failure of Landlord to deliver a timely notice in response to the Assignment Notice, shall be deemed to be Landlord’s consent to the proposed assignment, sublease or other transfer. Tenant shall reimburse Landlord for all of Landlord’s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131445</wp:posOffset>
            </wp:positionV>
            <wp:extent cx="242697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22</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out-of-pocket expenses, not to exceed $2,500.00 in connection with its consideration of any Assignment Notice.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8"/>
          <w:szCs w:val="18"/>
          <w:b w:val="1"/>
          <w:bCs w:val="1"/>
          <w:color w:val="auto"/>
        </w:rPr>
        <w:t>Control Permitted Assignment</w:t>
      </w:r>
      <w:r>
        <w:rPr>
          <w:rFonts w:ascii="Arial" w:cs="Arial" w:eastAsia="Arial" w:hAnsi="Arial"/>
          <w:sz w:val="18"/>
          <w:szCs w:val="18"/>
          <w:color w:val="auto"/>
        </w:rPr>
        <w:t>”) shall not be required, provided that Landlord shall have the right to approve the form of any such sublease or assignment, which approval shall not be unreasonably withheld or delayed by Landlord. In addition, Tenant shall have the right to assign this Lease, upon 15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legitimate business purpose and not principally for the purpose of transferring the Lease, and (ii) the net worth (as determined in accordance with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of the assignee is not less than the net worth (as determined in accordance with GAAP) of Tenant as of the date of Tenant’s most current quarterly or annual financial statements, and (iii) such assignee shall agree in writing to assume all of the terms, covenants and conditions of this Lease arising after the effective date of the assignment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w:t>
      </w:r>
    </w:p>
    <w:p>
      <w:pPr>
        <w:spacing w:after="0" w:line="182" w:lineRule="exact"/>
        <w:rPr>
          <w:sz w:val="20"/>
          <w:szCs w:val="20"/>
          <w:color w:val="auto"/>
        </w:rPr>
      </w:pPr>
    </w:p>
    <w:p>
      <w:pPr>
        <w:ind w:right="20" w:firstLine="885"/>
        <w:spacing w:after="0" w:line="271" w:lineRule="auto"/>
        <w:tabs>
          <w:tab w:leader="none" w:pos="2384"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whether or not Landlord’s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Landlord may require:</w:t>
      </w:r>
    </w:p>
    <w:p>
      <w:pPr>
        <w:spacing w:after="0" w:line="176" w:lineRule="exact"/>
        <w:rPr>
          <w:sz w:val="20"/>
          <w:szCs w:val="20"/>
          <w:color w:val="auto"/>
        </w:rPr>
      </w:pPr>
    </w:p>
    <w:p>
      <w:pPr>
        <w:jc w:val="both"/>
        <w:ind w:left="880" w:firstLine="810"/>
        <w:spacing w:after="0" w:line="237" w:lineRule="auto"/>
        <w:rPr>
          <w:sz w:val="20"/>
          <w:szCs w:val="20"/>
          <w:color w:val="auto"/>
        </w:rPr>
      </w:pPr>
      <w:r>
        <w:rPr>
          <w:rFonts w:ascii="Arial" w:cs="Arial" w:eastAsia="Arial" w:hAnsi="Arial"/>
          <w:sz w:val="18"/>
          <w:szCs w:val="18"/>
          <w:color w:val="auto"/>
        </w:rPr>
        <w:t xml:space="preserve">(i) 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205"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18"/>
          <w:szCs w:val="18"/>
          <w:color w:val="auto"/>
        </w:rPr>
        <w:t>(ii) 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84" w:lineRule="exact"/>
        <w:rPr>
          <w:sz w:val="20"/>
          <w:szCs w:val="20"/>
          <w:color w:val="auto"/>
        </w:rPr>
      </w:pPr>
    </w:p>
    <w:p>
      <w:pPr>
        <w:jc w:val="both"/>
        <w:ind w:firstLine="885"/>
        <w:spacing w:after="0" w:line="239" w:lineRule="auto"/>
        <w:tabs>
          <w:tab w:leader="none" w:pos="2394"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guarantor or surety of 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Additional Rent payable under this subsection (d)) and the amount of actual and reasonable brokerage fees, marketing costs, legal costs and any tenant improvement costs directly related to and required pursuant to the terms of any such sublease) (“</w:t>
      </w:r>
      <w:r>
        <w:rPr>
          <w:rFonts w:ascii="Arial" w:cs="Arial" w:eastAsia="Arial" w:hAnsi="Arial"/>
          <w:sz w:val="18"/>
          <w:szCs w:val="18"/>
          <w:b w:val="1"/>
          <w:bCs w:val="1"/>
          <w:color w:val="auto"/>
        </w:rPr>
        <w:t>Excess Rent</w:t>
      </w:r>
      <w:r>
        <w:rPr>
          <w:rFonts w:ascii="Arial" w:cs="Arial" w:eastAsia="Arial" w:hAnsi="Arial"/>
          <w:sz w:val="18"/>
          <w:szCs w:val="18"/>
          <w:color w:val="auto"/>
        </w:rPr>
        <w:t>”), then Tenant shall be bound and obligated to pay Landlord as Additional Rent hereunder 50% of such Excess Rent within 10 days following receipt thereof by Tenant. If Tenant shall sublet the Premises or any part thereof, Tenant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131445</wp:posOffset>
            </wp:positionV>
            <wp:extent cx="2426970"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23</w:t>
      </w:r>
    </w:p>
    <w:p>
      <w:pPr>
        <w:spacing w:after="0" w:line="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(beyond any applicable notice and cure periods), Tenant shall have the right to collect such rent.</w:t>
      </w:r>
    </w:p>
    <w:p>
      <w:pPr>
        <w:spacing w:after="0" w:line="180" w:lineRule="exact"/>
        <w:rPr>
          <w:sz w:val="20"/>
          <w:szCs w:val="20"/>
          <w:color w:val="auto"/>
        </w:rPr>
      </w:pPr>
    </w:p>
    <w:p>
      <w:pPr>
        <w:jc w:val="both"/>
        <w:ind w:firstLine="885"/>
        <w:spacing w:after="0" w:line="244" w:lineRule="auto"/>
        <w:tabs>
          <w:tab w:leader="none" w:pos="239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or any sublessees 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7" w:lineRule="exact"/>
        <w:rPr>
          <w:sz w:val="20"/>
          <w:szCs w:val="20"/>
          <w:color w:val="auto"/>
        </w:rPr>
      </w:pPr>
    </w:p>
    <w:p>
      <w:pPr>
        <w:jc w:val="both"/>
        <w:ind w:firstLine="885"/>
        <w:spacing w:after="0" w:line="239" w:lineRule="auto"/>
        <w:tabs>
          <w:tab w:leader="none" w:pos="24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deliver a 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5 business days after Landlord’s delivery of a second request therefor from Tenant, shall, at the option of Landlord, constitute a Default under this Lease, and, in any event, shall be conclusive upon Tenant that the Lease is in full force and effect and without modification except as may be represented by Landlord in any certificate prepared by Landlord and delivered to Tenant for execution.</w:t>
      </w:r>
    </w:p>
    <w:p>
      <w:pPr>
        <w:spacing w:after="0" w:line="180" w:lineRule="exact"/>
        <w:rPr>
          <w:rFonts w:ascii="Arial" w:cs="Arial" w:eastAsia="Arial" w:hAnsi="Arial"/>
          <w:sz w:val="18"/>
          <w:szCs w:val="18"/>
          <w:color w:val="auto"/>
        </w:rPr>
      </w:pPr>
    </w:p>
    <w:p>
      <w:pPr>
        <w:jc w:val="both"/>
        <w:ind w:firstLine="885"/>
        <w:spacing w:after="0" w:line="253" w:lineRule="auto"/>
        <w:tabs>
          <w:tab w:leader="none" w:pos="24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Tenant, Tenant shall, subject to the terms of this Lease, at all times during the Term, have peaceful and quiet enjoyment of the Premises against any person claiming by, through or under Landlord.</w:t>
      </w:r>
    </w:p>
    <w:p>
      <w:pPr>
        <w:spacing w:after="0" w:line="169" w:lineRule="exact"/>
        <w:rPr>
          <w:rFonts w:ascii="Arial" w:cs="Arial" w:eastAsia="Arial" w:hAnsi="Arial"/>
          <w:sz w:val="18"/>
          <w:szCs w:val="18"/>
          <w:color w:val="auto"/>
        </w:rPr>
      </w:pPr>
    </w:p>
    <w:p>
      <w:pPr>
        <w:ind w:left="2440" w:hanging="1555"/>
        <w:spacing w:after="0"/>
        <w:tabs>
          <w:tab w:leader="none" w:pos="24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 day</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year and 30 day months.</w:t>
      </w:r>
    </w:p>
    <w:p>
      <w:pPr>
        <w:spacing w:after="0" w:line="189" w:lineRule="exact"/>
        <w:rPr>
          <w:rFonts w:ascii="Arial" w:cs="Arial" w:eastAsia="Arial" w:hAnsi="Arial"/>
          <w:sz w:val="18"/>
          <w:szCs w:val="18"/>
          <w:color w:val="auto"/>
        </w:rPr>
      </w:pPr>
    </w:p>
    <w:p>
      <w:pPr>
        <w:jc w:val="both"/>
        <w:ind w:firstLine="885"/>
        <w:spacing w:after="0" w:line="242" w:lineRule="auto"/>
        <w:tabs>
          <w:tab w:leader="none" w:pos="24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rules and regulations at any time or from time to time established by Landlord covering use of the Premises and the Project. Landlord shall not establish any rules and regulations in a discriminatory manner.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79" w:lineRule="exact"/>
        <w:rPr>
          <w:rFonts w:ascii="Arial" w:cs="Arial" w:eastAsia="Arial" w:hAnsi="Arial"/>
          <w:sz w:val="18"/>
          <w:szCs w:val="18"/>
          <w:color w:val="auto"/>
        </w:rPr>
      </w:pPr>
    </w:p>
    <w:p>
      <w:pPr>
        <w:jc w:val="both"/>
        <w:ind w:firstLine="885"/>
        <w:spacing w:after="0" w:line="241" w:lineRule="auto"/>
        <w:tabs>
          <w:tab w:leader="none" w:pos="24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subordinate at all 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128270</wp:posOffset>
            </wp:positionV>
            <wp:extent cx="2426970"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7" w:name="page78"/>
    <w:bookmarkEnd w:id="77"/>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24</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beneficiary under a deed of trust. As of the date of this Lease, there is no existing Mortgage encumbering the Project. Upon written request from Tenant, Landlord shall use reasonable efforts to obtain for execution by Tenant a non-disturbance and attornment agreement executed by the Holder of any future Mortgage with a lien on the Project on the form proscribed by the Holder; provided, however, that Landlord shall request that Holder make any changes to the SNDA requested by Tenant. Landlord's failure to cause the Holder to enter into the SNDA with Tenant (or make any of the changes requested by Tenant) shall not be a default by Landlord under this Lease. As of the date of this Lease, there is no existing Mortgage encumbering the Project.</w:t>
      </w:r>
    </w:p>
    <w:p>
      <w:pPr>
        <w:spacing w:after="0" w:line="183" w:lineRule="exact"/>
        <w:rPr>
          <w:sz w:val="20"/>
          <w:szCs w:val="20"/>
          <w:color w:val="auto"/>
        </w:rPr>
      </w:pPr>
    </w:p>
    <w:p>
      <w:pPr>
        <w:jc w:val="both"/>
        <w:ind w:firstLine="885"/>
        <w:spacing w:after="0" w:line="237" w:lineRule="auto"/>
        <w:tabs>
          <w:tab w:leader="none" w:pos="2424"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 the Premises to 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xml:space="preserve">”) and released of all Hazardous Materials Clearances,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8"/>
          <w:szCs w:val="18"/>
          <w:b w:val="1"/>
          <w:bCs w:val="1"/>
          <w:color w:val="auto"/>
        </w:rPr>
        <w:t>Surrender Plan</w:t>
      </w:r>
      <w:r>
        <w:rPr>
          <w:rFonts w:ascii="Arial" w:cs="Arial" w:eastAsia="Arial" w:hAnsi="Arial"/>
          <w:sz w:val="18"/>
          <w:szCs w:val="18"/>
          <w:color w:val="auto"/>
        </w:rPr>
        <w:t>”). Such Surrender Plan shall be accompanied by a current listing of (i) all Hazardous Materials licenses and permits held by or on behalf of any Tenant Party with respect to the Premises, and</w:t>
      </w:r>
    </w:p>
    <w:p>
      <w:pPr>
        <w:spacing w:after="0" w:line="3" w:lineRule="exact"/>
        <w:rPr>
          <w:rFonts w:ascii="Arial" w:cs="Arial" w:eastAsia="Arial" w:hAnsi="Arial"/>
          <w:sz w:val="18"/>
          <w:szCs w:val="18"/>
          <w:color w:val="auto"/>
        </w:rPr>
      </w:pPr>
    </w:p>
    <w:p>
      <w:pPr>
        <w:jc w:val="both"/>
        <w:ind w:firstLine="8"/>
        <w:spacing w:after="0" w:line="236" w:lineRule="auto"/>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Hazardous Materials used, stored, handled, treated, generated, released or disposed of from the Premises (for the avoidance of doubt, an accounting of volumes of such Hazardous Materials stored shall be required, except with respect to Hazardous Materials used in de minimus amounts),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reasonably require in order to assess Tenant’s Surrender Plan and compliance therewith.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provided, however, that prior to employing Landlord’s environmental consultant to perform such additional procedures, Tenant shall be provided a reasonable opportunity to perform such procedures itself at its own cost.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$5,000. Landlord shall have the unrestricted right to deliver such Surrender Plan and any report by Landlord’s environmental consultant with respect to the surrender of the Premises to third parties.</w:t>
      </w:r>
    </w:p>
    <w:p>
      <w:pPr>
        <w:spacing w:after="0" w:line="202"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128905</wp:posOffset>
            </wp:positionV>
            <wp:extent cx="2426970"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25</w:t>
      </w:r>
    </w:p>
    <w:p>
      <w:pPr>
        <w:spacing w:after="0" w:line="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9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85" w:lineRule="exact"/>
        <w:rPr>
          <w:sz w:val="20"/>
          <w:szCs w:val="20"/>
          <w:color w:val="auto"/>
        </w:rPr>
      </w:pPr>
    </w:p>
    <w:p>
      <w:pPr>
        <w:jc w:val="both"/>
        <w:ind w:firstLine="885"/>
        <w:spacing w:after="0" w:line="247" w:lineRule="auto"/>
        <w:tabs>
          <w:tab w:leader="none" w:pos="2424"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4" w:lineRule="exact"/>
        <w:rPr>
          <w:rFonts w:ascii="Arial" w:cs="Arial" w:eastAsia="Arial" w:hAnsi="Arial"/>
          <w:sz w:val="18"/>
          <w:szCs w:val="18"/>
          <w:color w:val="auto"/>
        </w:rPr>
      </w:pPr>
    </w:p>
    <w:p>
      <w:pPr>
        <w:ind w:left="2440" w:hanging="1555"/>
        <w:spacing w:after="0"/>
        <w:tabs>
          <w:tab w:leader="none" w:pos="24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36" w:lineRule="auto"/>
        <w:tabs>
          <w:tab w:leader="none" w:pos="2394"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Prohibition/Compliance/Indemnity</w:t>
      </w:r>
      <w:r>
        <w:rPr>
          <w:rFonts w:ascii="Arial" w:cs="Arial" w:eastAsia="Arial" w:hAnsi="Arial"/>
          <w:sz w:val="18"/>
          <w:szCs w:val="18"/>
          <w:color w:val="auto"/>
        </w:rPr>
        <w:t>. Tenant shall not cause or permit any Hazardous Materials (as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to be 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8"/>
          <w:szCs w:val="18"/>
          <w:b w:val="1"/>
          <w:bCs w:val="1"/>
          <w:color w:val="auto"/>
        </w:rPr>
        <w:t>Environmental Claims</w:t>
      </w:r>
      <w:r>
        <w:rPr>
          <w:rFonts w:ascii="Arial" w:cs="Arial" w:eastAsia="Arial" w:hAnsi="Arial"/>
          <w:sz w:val="18"/>
          <w:szCs w:val="18"/>
          <w:color w:val="auto"/>
        </w:rPr>
        <w:t>”) which arise during or after the Term as a result of such contamination. Notwithstanding the foregoing, if Tenant does not defend Landlord pursuant to the immediately preceding sentence to Landlord’s reasonable satisfaction, Landlord shall have the right to take on such defense on it own behalf, at Tenant’s cost, and Tenant shall have no further right to participate in such defense. This indemnification of Landlord by Tenant includes, without limitation, reasonable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137160</wp:posOffset>
            </wp:positionV>
            <wp:extent cx="242697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26</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to the condition existing immediately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 Notwithstanding anything to the contrary contained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in this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Tenant shall not be responsible for, and the indemnification and hold harmless obligation set forth in this paragraph shall not apply to (i) contamination in the Premises which Tenant can prove to Landlord’s reasonable satisfaction existed immediately prior to the Commencement Date, (ii) the presence of any Hazardous Materials in the Building which Tenant can prove to Landlord’s reasonable satisfaction migrated from outside of the Building into the Building, (iii) the presence of Hazardous Materials at the Project relating to those certain pipes located at the pipe cluster at the southwest corner of the Building, as more particularly described on </w:t>
      </w:r>
      <w:r>
        <w:rPr>
          <w:rFonts w:ascii="Arial" w:cs="Arial" w:eastAsia="Arial" w:hAnsi="Arial"/>
          <w:sz w:val="18"/>
          <w:szCs w:val="18"/>
          <w:b w:val="1"/>
          <w:bCs w:val="1"/>
          <w:color w:val="auto"/>
        </w:rPr>
        <w:t>Exhibit K</w:t>
      </w:r>
      <w:r>
        <w:rPr>
          <w:rFonts w:ascii="Arial" w:cs="Arial" w:eastAsia="Arial" w:hAnsi="Arial"/>
          <w:sz w:val="18"/>
          <w:szCs w:val="18"/>
          <w:color w:val="auto"/>
        </w:rPr>
        <w:t xml:space="preserve"> (the “</w:t>
      </w:r>
      <w:r>
        <w:rPr>
          <w:rFonts w:ascii="Arial" w:cs="Arial" w:eastAsia="Arial" w:hAnsi="Arial"/>
          <w:sz w:val="18"/>
          <w:szCs w:val="18"/>
          <w:b w:val="1"/>
          <w:bCs w:val="1"/>
          <w:color w:val="auto"/>
        </w:rPr>
        <w:t>Pipe Cluster</w:t>
      </w:r>
      <w:r>
        <w:rPr>
          <w:rFonts w:ascii="Arial" w:cs="Arial" w:eastAsia="Arial" w:hAnsi="Arial"/>
          <w:sz w:val="18"/>
          <w:szCs w:val="18"/>
          <w:color w:val="auto"/>
        </w:rPr>
        <w:t>”), (iv) the presence of Hazardous Materials at the Project (outside the Building and unrelated to the Pipe Cluster) where Tenant can prove to Landlord’s reasonable satisfaction who the third party is that is responsible for the presence of such Hazardous Materials at the Project, or (v) caused by Landlord or any Landlord’s employees, agents and contractors, unless in any case, the presence of such Hazardous Materials (x) is the result of a breach by Tenant of any of its obligations under this Lease, or (y) was caused, contributed to or exacerbated by Tenant or any Tenant Party.</w:t>
      </w:r>
    </w:p>
    <w:p>
      <w:pPr>
        <w:spacing w:after="0" w:line="183" w:lineRule="exact"/>
        <w:rPr>
          <w:sz w:val="20"/>
          <w:szCs w:val="20"/>
          <w:color w:val="auto"/>
        </w:rPr>
      </w:pPr>
    </w:p>
    <w:p>
      <w:pPr>
        <w:jc w:val="both"/>
        <w:ind w:firstLine="885"/>
        <w:spacing w:after="0" w:line="237" w:lineRule="auto"/>
        <w:tabs>
          <w:tab w:leader="none" w:pos="239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Landlord acknowledges that it is not the intent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to prohibit Tenant from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for the Permitted Use. Tenant may operate its business according to prudent industry practices so long as the use or presence of Hazardous Materials is strictly and properly monitored according to all then applicable Environmental Requirements. Attached to this Lease as </w:t>
      </w:r>
      <w:r>
        <w:rPr>
          <w:rFonts w:ascii="Arial" w:cs="Arial" w:eastAsia="Arial" w:hAnsi="Arial"/>
          <w:sz w:val="18"/>
          <w:szCs w:val="18"/>
          <w:b w:val="1"/>
          <w:bCs w:val="1"/>
          <w:color w:val="auto"/>
        </w:rPr>
        <w:t xml:space="preserve">Exhibit J </w:t>
      </w:r>
      <w:r>
        <w:rPr>
          <w:rFonts w:ascii="Arial" w:cs="Arial" w:eastAsia="Arial" w:hAnsi="Arial"/>
          <w:sz w:val="18"/>
          <w:szCs w:val="18"/>
          <w:color w:val="auto"/>
        </w:rPr>
        <w:t>a list identifying each type of Hazardous Materials to be brought upon, kept, used, stored, handled, treated, generated on, or</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or disposed of from, the Premises as of the Commencement Date (“</w:t>
      </w:r>
      <w:r>
        <w:rPr>
          <w:rFonts w:ascii="Arial" w:cs="Arial" w:eastAsia="Arial" w:hAnsi="Arial"/>
          <w:sz w:val="18"/>
          <w:szCs w:val="18"/>
          <w:b w:val="1"/>
          <w:bCs w:val="1"/>
          <w:color w:val="auto"/>
        </w:rPr>
        <w:t>Hazardous Materials List</w:t>
      </w:r>
      <w:r>
        <w:rPr>
          <w:rFonts w:ascii="Arial" w:cs="Arial" w:eastAsia="Arial" w:hAnsi="Arial"/>
          <w:sz w:val="18"/>
          <w:szCs w:val="18"/>
          <w:color w:val="auto"/>
        </w:rPr>
        <w:t>”). Tenant shall deliver to Landlord an updated Hazardous Materials List at any additional time that Tenant is required to deliver a Hazardous Materials List to any Governmental Authority (</w:t>
      </w:r>
      <w:r>
        <w:rPr>
          <w:rFonts w:ascii="Arial" w:cs="Arial" w:eastAsia="Arial" w:hAnsi="Arial"/>
          <w:sz w:val="18"/>
          <w:szCs w:val="18"/>
          <w:u w:val="single" w:color="auto"/>
          <w:color w:val="auto"/>
        </w:rPr>
        <w:t>e.g.</w:t>
      </w:r>
      <w:r>
        <w:rPr>
          <w:rFonts w:ascii="Arial" w:cs="Arial" w:eastAsia="Arial" w:hAnsi="Arial"/>
          <w:sz w:val="18"/>
          <w:szCs w:val="18"/>
          <w:color w:val="auto"/>
        </w:rPr>
        <w:t>, the fire department). To the extent related to the Premises, Tenant shall deliver to Landlord true and correct copies of the following documents (the “</w:t>
      </w:r>
      <w:r>
        <w:rPr>
          <w:rFonts w:ascii="Arial" w:cs="Arial" w:eastAsia="Arial" w:hAnsi="Arial"/>
          <w:sz w:val="18"/>
          <w:szCs w:val="18"/>
          <w:b w:val="1"/>
          <w:bCs w:val="1"/>
          <w:color w:val="auto"/>
        </w:rPr>
        <w:t>Haz Mat Documents</w:t>
      </w:r>
      <w:r>
        <w:rPr>
          <w:rFonts w:ascii="Arial" w:cs="Arial" w:eastAsia="Arial" w:hAnsi="Arial"/>
          <w:sz w:val="18"/>
          <w:szCs w:val="18"/>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Environmental Requirements;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86" w:lineRule="exact"/>
        <w:rPr>
          <w:rFonts w:ascii="Arial" w:cs="Arial" w:eastAsia="Arial" w:hAnsi="Arial"/>
          <w:sz w:val="18"/>
          <w:szCs w:val="18"/>
          <w:color w:val="auto"/>
        </w:rPr>
      </w:pPr>
    </w:p>
    <w:p>
      <w:pPr>
        <w:jc w:val="both"/>
        <w:ind w:firstLine="885"/>
        <w:spacing w:after="0" w:line="238" w:lineRule="auto"/>
        <w:tabs>
          <w:tab w:leader="none" w:pos="238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Landlord’s Tests</w:t>
      </w:r>
      <w:r>
        <w:rPr>
          <w:rFonts w:ascii="Arial" w:cs="Arial" w:eastAsia="Arial" w:hAnsi="Arial"/>
          <w:sz w:val="18"/>
          <w:szCs w:val="18"/>
          <w:color w:val="auto"/>
        </w:rPr>
        <w:t>. Landlord shall have the right to conduct annual tests of the Premises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contamination of the Premises or the Project has occurred as a result of Tenant’s use. Tenant shall be required to pay the cost of such annual test of the Premises;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pay all costs to conduct such tests. If no such contamination is found, Landlord shall pay the costs of such tests (which shall not constitute an Operating Expense). Landlord shall provide Tenant with a copy of all third party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27</w:t>
      </w:r>
    </w:p>
    <w:p>
      <w:pPr>
        <w:spacing w:after="0" w:line="1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accordance with all Environmental Requirements. Landlord’s receipt of or satisfaction with any environmental assessment in no way waives any rights which Landlord may have against Tenant.</w:t>
      </w:r>
    </w:p>
    <w:p>
      <w:pPr>
        <w:spacing w:after="0" w:line="175" w:lineRule="exact"/>
        <w:rPr>
          <w:sz w:val="20"/>
          <w:szCs w:val="20"/>
          <w:color w:val="auto"/>
        </w:rPr>
      </w:pPr>
    </w:p>
    <w:p>
      <w:pPr>
        <w:ind w:left="2400" w:hanging="1515"/>
        <w:spacing w:after="0"/>
        <w:tabs>
          <w:tab w:leader="none" w:pos="24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Tenant shall have no right to use or install any underground or other storage tanks at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90" w:lineRule="exact"/>
        <w:rPr>
          <w:sz w:val="20"/>
          <w:szCs w:val="20"/>
          <w:color w:val="auto"/>
        </w:rPr>
      </w:pPr>
    </w:p>
    <w:p>
      <w:pPr>
        <w:jc w:val="both"/>
        <w:ind w:firstLine="885"/>
        <w:spacing w:after="0" w:line="242" w:lineRule="auto"/>
        <w:tabs>
          <w:tab w:leader="none" w:pos="239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Tenant’s Obligations</w:t>
      </w:r>
      <w:r>
        <w:rPr>
          <w:rFonts w:ascii="Arial" w:cs="Arial" w:eastAsia="Arial" w:hAnsi="Arial"/>
          <w:sz w:val="18"/>
          <w:szCs w:val="18"/>
          <w:color w:val="auto"/>
        </w:rPr>
        <w:t>. Tenant’s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Lease. During any period of time after the expiration or earlier termination of this Lease required by Tenant or Landlord to complete the removal from the Premises of any Hazardous Materials for which Tenant is responsible under this Lease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79" w:lineRule="exact"/>
        <w:rPr>
          <w:rFonts w:ascii="Arial" w:cs="Arial" w:eastAsia="Arial" w:hAnsi="Arial"/>
          <w:sz w:val="18"/>
          <w:szCs w:val="18"/>
          <w:color w:val="auto"/>
        </w:rPr>
      </w:pPr>
    </w:p>
    <w:p>
      <w:pPr>
        <w:jc w:val="both"/>
        <w:ind w:firstLine="885"/>
        <w:spacing w:after="0" w:line="238" w:lineRule="auto"/>
        <w:tabs>
          <w:tab w:leader="none" w:pos="234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statutes, regulations, ordinances, rules, codes, judgments, orders or other similar enactments of any Governmental Authority regulating or relating to health, safety, or environmental conditions on, under, or about </w:t>
      </w:r>
      <w:r>
        <w:rPr>
          <w:rFonts w:ascii="Arial" w:cs="Arial" w:eastAsia="Arial" w:hAnsi="Arial"/>
          <w:sz w:val="18"/>
          <w:szCs w:val="18"/>
          <w:i w:val="1"/>
          <w:iCs w:val="1"/>
          <w:color w:val="auto"/>
        </w:rPr>
        <w:t>the</w:t>
      </w:r>
      <w:r>
        <w:rPr>
          <w:rFonts w:ascii="Arial" w:cs="Arial" w:eastAsia="Arial" w:hAnsi="Arial"/>
          <w:sz w:val="18"/>
          <w:szCs w:val="18"/>
          <w:color w:val="auto"/>
        </w:rPr>
        <w:t xml:space="preserv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187" w:lineRule="exact"/>
        <w:rPr>
          <w:sz w:val="20"/>
          <w:szCs w:val="20"/>
          <w:color w:val="auto"/>
        </w:rPr>
      </w:pPr>
    </w:p>
    <w:p>
      <w:pPr>
        <w:jc w:val="both"/>
        <w:ind w:firstLine="885"/>
        <w:spacing w:after="0" w:line="239" w:lineRule="auto"/>
        <w:tabs>
          <w:tab w:leader="none" w:pos="242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 Landlord shall not be in default hereunder unless Landlord fails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 any of its 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Notwithstanding the foregoing, if any claimed Landlord default hereunder will immediately, materially and adversely affect Tenant’s ability to conduct its business in the Premises (a “</w:t>
      </w:r>
      <w:r>
        <w:rPr>
          <w:rFonts w:ascii="Arial" w:cs="Arial" w:eastAsia="Arial" w:hAnsi="Arial"/>
          <w:sz w:val="18"/>
          <w:szCs w:val="18"/>
          <w:b w:val="1"/>
          <w:bCs w:val="1"/>
          <w:color w:val="auto"/>
        </w:rPr>
        <w:t>Material Landlord Default</w:t>
      </w:r>
      <w:r>
        <w:rPr>
          <w:rFonts w:ascii="Arial" w:cs="Arial" w:eastAsia="Arial" w:hAnsi="Arial"/>
          <w:sz w:val="18"/>
          <w:szCs w:val="18"/>
          <w:color w:val="auto"/>
        </w:rPr>
        <w:t>”), Tenant shall, as soon as reasonably possible, but in any event within 2 business days of obtaining knowledge of such claimed Material Landlord Default, give Landlord written notice of such claim which notice shall specifically state that a Material Landlord Default exists and telephonic notice to Tenant’s principal contact with Landlord. Landlord shall then have 10 business days to commence cure of such claimed Material Landlord Default and shall diligently prosecute such cure to completion. If such claimed Material Landlord Default is not a default by Landlord hereunder, or if Tenant failed to give Landlord the notice required hereunder within 5 business days of learning of the conditions giving rise to the claimed Material Landlord Default, Landlord shall be entitled to recover from Tenant, as Additional Rent, any costs incurred by Landlord in connection with such cure in excess of the costs, if any, that Landlord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132080</wp:posOffset>
            </wp:positionV>
            <wp:extent cx="242697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28</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otherwise have been liable to pay hereunder. If Landlord fails to commence cure of any claimed Material Landlord Default as provided above, Tenant may commence and prosecute such cure to completion (so long as Tenant's prosecution of such cure does not affect Building Systems or any portion of the Project outside the Premises), and shall be entitled to recover the costs of such cure (but not any consequential or other damages) from Landlord by way of reimbursement from Landlord with no right to offset against Rent, to the extent of Landlord’s obligation to cure such claimed Material Landlord Default hereunder, subject to the limitations set forth in the immediately preceding sentence of this paragraph and the other provisions of this Lease.</w:t>
      </w:r>
    </w:p>
    <w:p>
      <w:pPr>
        <w:spacing w:after="0" w:line="205"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0" w:lineRule="exact"/>
        <w:rPr>
          <w:sz w:val="20"/>
          <w:szCs w:val="20"/>
          <w:color w:val="auto"/>
        </w:rPr>
      </w:pPr>
    </w:p>
    <w:p>
      <w:pPr>
        <w:jc w:val="both"/>
        <w:ind w:firstLine="885"/>
        <w:spacing w:after="0"/>
        <w:tabs>
          <w:tab w:leader="none" w:pos="242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and Landlord’s representatives may enter the Premises during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9 months of the Term, to prospective tenants or for any other business purpose. Upon such entry into the Premises, Landlord and its agents, representatives and contractors shall use reasonable efforts to minimize interference with Tenant’s business operations in the Premises. Tenant shall have the right to designate certain areas of the Premises as “Secured Areas” which shall not be entered into by Landlord or Landlord’s representatives without a Tenant representative except in the case of an emergency.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361" w:lineRule="exact"/>
        <w:rPr>
          <w:rFonts w:ascii="Arial" w:cs="Arial" w:eastAsia="Arial" w:hAnsi="Arial"/>
          <w:sz w:val="18"/>
          <w:szCs w:val="18"/>
          <w:color w:val="auto"/>
        </w:rPr>
      </w:pPr>
    </w:p>
    <w:p>
      <w:pPr>
        <w:jc w:val="both"/>
        <w:ind w:firstLine="885"/>
        <w:spacing w:after="0" w:line="241" w:lineRule="auto"/>
        <w:tabs>
          <w:tab w:leader="none" w:pos="242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w:t>
      </w:r>
      <w:r>
        <w:rPr>
          <w:rFonts w:ascii="Arial" w:cs="Arial" w:eastAsia="Arial" w:hAnsi="Arial"/>
          <w:sz w:val="18"/>
          <w:szCs w:val="18"/>
          <w:b w:val="1"/>
          <w:bCs w:val="1"/>
          <w:color w:val="auto"/>
        </w:rPr>
        <w:t xml:space="preserve"> </w:t>
      </w:r>
      <w:r>
        <w:rPr>
          <w:rFonts w:ascii="Arial" w:cs="Arial" w:eastAsia="Arial" w:hAnsi="Arial"/>
          <w:sz w:val="18"/>
          <w:szCs w:val="18"/>
          <w:color w:val="auto"/>
        </w:rPr>
        <w:t>crime may not in 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79" w:lineRule="exact"/>
        <w:rPr>
          <w:rFonts w:ascii="Arial" w:cs="Arial" w:eastAsia="Arial" w:hAnsi="Arial"/>
          <w:sz w:val="18"/>
          <w:szCs w:val="18"/>
          <w:color w:val="auto"/>
        </w:rPr>
      </w:pPr>
    </w:p>
    <w:p>
      <w:pPr>
        <w:jc w:val="both"/>
        <w:ind w:firstLine="885"/>
        <w:spacing w:after="0" w:line="241" w:lineRule="auto"/>
        <w:tabs>
          <w:tab w:leader="none" w:pos="2424"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the payment of Rent, neither Landlord nor Tenant shall be held responsible or liable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delays in the performance of its obligations hereunder 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their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128270</wp:posOffset>
            </wp:positionV>
            <wp:extent cx="242697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29</w:t>
      </w:r>
    </w:p>
    <w:p>
      <w:pPr>
        <w:spacing w:after="0" w:line="17" w:lineRule="exact"/>
        <w:rPr>
          <w:sz w:val="20"/>
          <w:szCs w:val="20"/>
          <w:color w:val="auto"/>
        </w:rPr>
      </w:pPr>
    </w:p>
    <w:p>
      <w:pPr>
        <w:jc w:val="both"/>
        <w:ind w:firstLine="885"/>
        <w:spacing w:after="0" w:line="238" w:lineRule="auto"/>
        <w:tabs>
          <w:tab w:leader="none" w:pos="2424"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it has not dealt with any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xml:space="preserve">") in connection with this transaction and that no Broker brought about this transaction, other than Hughes Marino and Cushman &amp; Wakefield. Landlord and Tenant each hereby agree to indemnify and hold the other harmless from and against any claims by any Broker, other than the broker, if any named in this </w:t>
      </w:r>
      <w:r>
        <w:rPr>
          <w:rFonts w:ascii="Arial" w:cs="Arial" w:eastAsia="Arial" w:hAnsi="Arial"/>
          <w:sz w:val="18"/>
          <w:szCs w:val="18"/>
          <w:u w:val="single" w:color="auto"/>
          <w:color w:val="auto"/>
        </w:rPr>
        <w:t>Section 35</w:t>
      </w:r>
      <w:r>
        <w:rPr>
          <w:rFonts w:ascii="Arial" w:cs="Arial" w:eastAsia="Arial" w:hAnsi="Arial"/>
          <w:sz w:val="18"/>
          <w:szCs w:val="18"/>
          <w:color w:val="auto"/>
        </w:rPr>
        <w:t>, claiming a commission or other form of compensation by virtue of having dealt with Tenant or Landlord, as applicable, with regard to this leasing transaction.</w:t>
      </w:r>
    </w:p>
    <w:p>
      <w:pPr>
        <w:spacing w:after="0" w:line="20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 xml:space="preserve">If Tenant exercises its Extension Right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below, regardless of whether Tenant retains a Broker in connection with such exercise of its Extension Right, no Broker, including, without limitation, Hughes Marino, representing Tenant shall be entitled to any commission from Landlord in connection with such extension of the Term regardless of their involvement. If Tenant has a Broker in connection with the Extension Right, Tenant shall be solely responsible for paying commissions to such Broker. Tenant hereby agrees to indemnify and hold Landlord harmless from and against any claims by any Broker claiming a commission or other form of compensation by virtue of having dealt with Tenant with respect to the Extension Right.</w:t>
      </w:r>
    </w:p>
    <w:p>
      <w:pPr>
        <w:spacing w:after="0" w:line="183" w:lineRule="exact"/>
        <w:rPr>
          <w:sz w:val="20"/>
          <w:szCs w:val="20"/>
          <w:color w:val="auto"/>
        </w:rPr>
      </w:pPr>
    </w:p>
    <w:p>
      <w:pPr>
        <w:jc w:val="both"/>
        <w:ind w:firstLine="885"/>
        <w:spacing w:after="0" w:line="238" w:lineRule="auto"/>
        <w:tabs>
          <w:tab w:leader="none" w:pos="2424"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w:t>
      </w:r>
    </w:p>
    <w:p>
      <w:pPr>
        <w:spacing w:after="0" w:line="3" w:lineRule="exact"/>
        <w:rPr>
          <w:rFonts w:ascii="Arial" w:cs="Arial" w:eastAsia="Arial" w:hAnsi="Arial"/>
          <w:sz w:val="18"/>
          <w:szCs w:val="18"/>
          <w:color w:val="auto"/>
        </w:rPr>
      </w:pPr>
    </w:p>
    <w:p>
      <w:pPr>
        <w:jc w:val="both"/>
        <w:ind w:firstLine="8"/>
        <w:spacing w:after="0" w:line="236" w:lineRule="auto"/>
        <w:tabs>
          <w:tab w:leader="none" w:pos="3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84" w:lineRule="exact"/>
        <w:rPr>
          <w:rFonts w:ascii="Arial" w:cs="Arial" w:eastAsia="Arial" w:hAnsi="Arial"/>
          <w:sz w:val="18"/>
          <w:szCs w:val="18"/>
          <w:color w:val="auto"/>
        </w:rPr>
      </w:pPr>
    </w:p>
    <w:p>
      <w:pPr>
        <w:jc w:val="both"/>
        <w:ind w:firstLine="885"/>
        <w:spacing w:after="0" w:line="244" w:lineRule="auto"/>
        <w:tabs>
          <w:tab w:leader="none" w:pos="2424"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then and in 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6" w:lineRule="exact"/>
        <w:rPr>
          <w:rFonts w:ascii="Arial" w:cs="Arial" w:eastAsia="Arial" w:hAnsi="Arial"/>
          <w:sz w:val="18"/>
          <w:szCs w:val="18"/>
          <w:color w:val="auto"/>
        </w:rPr>
      </w:pPr>
    </w:p>
    <w:p>
      <w:pPr>
        <w:jc w:val="both"/>
        <w:ind w:firstLine="885"/>
        <w:spacing w:after="0" w:line="241" w:lineRule="auto"/>
        <w:tabs>
          <w:tab w:leader="none" w:pos="2424"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Tenant shall not, without the prior written consent of Landlord,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or withheld in Landlord’s reasonable discretion: (i) attach any awnings, exterior lights, decorations, balloons, flags, pennants, banners, painting or other projection to any outside wall of the Project, (ii) coat or otherwise sunscreen the interior or exterior of any windows, (iii) place any bottles, parcels, or other articles on the window sills, (iv) place any equipment, furniture or other items of personal property on any exterior balcony, or (v) paint, affix or exhibit on any part of the Premises or the Project any signs, notices, window or door lettering, placards, decorations, or advertising media of any type which can be viewed from the exterior of the Premises. Tenant shall have the exclusive right to use the directory tablet located at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128270</wp:posOffset>
            </wp:positionV>
            <wp:extent cx="242697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30</w:t>
      </w:r>
    </w:p>
    <w:p>
      <w:pPr>
        <w:spacing w:after="0" w:line="1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 xml:space="preserve">Tenant shall have the exclusive right to display, at Tenant’s sole cost and expense, 1 sign bearing Tenant’s name on the top of the Building in a location reasonably acceptable to Landlord. Tenant shall also have the exclusive right to include, at Tenant’s sole cost and expense, its name on the existing building monument sign at the Project; provided, however, that all of Tenant's signage including, without limitation, the size, color and type, shall be subject to Landlord’s prior written approval and shall be consistent throughout the Project, and otherwise consistent Landlord’s signage program at the Project and applicable Legal Requirements. Tenant shall, at Tenant’s sole cost and expense, remove all of Tenant’s signs at the expiration or earlier termination of this Lease and repair all damage resulting from such removal. Tenant shall have the right to (i) assign its signage rights under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in connection with an assignment of this Lease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(ii) permit the usage of its signage rights by a third party subleasing 50% or more of the Premises.</w:t>
      </w:r>
    </w:p>
    <w:p>
      <w:pPr>
        <w:spacing w:after="0" w:line="186" w:lineRule="exact"/>
        <w:rPr>
          <w:sz w:val="20"/>
          <w:szCs w:val="20"/>
          <w:color w:val="auto"/>
        </w:rPr>
      </w:pPr>
    </w:p>
    <w:p>
      <w:pPr>
        <w:ind w:left="2440" w:hanging="1555"/>
        <w:spacing w:after="0"/>
        <w:tabs>
          <w:tab w:leader="none" w:pos="244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Right to Extend Term</w:t>
      </w:r>
      <w:r>
        <w:rPr>
          <w:rFonts w:ascii="Arial" w:cs="Arial" w:eastAsia="Arial" w:hAnsi="Arial"/>
          <w:sz w:val="17"/>
          <w:szCs w:val="17"/>
          <w:color w:val="auto"/>
        </w:rPr>
        <w:t>. Tenant shall have the right to extend the Term of the Lease upon the following terms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0" w:lineRule="exact"/>
        <w:rPr>
          <w:sz w:val="20"/>
          <w:szCs w:val="20"/>
          <w:color w:val="auto"/>
        </w:rPr>
      </w:pPr>
    </w:p>
    <w:p>
      <w:pPr>
        <w:jc w:val="both"/>
        <w:ind w:firstLine="885"/>
        <w:spacing w:after="0" w:line="242" w:lineRule="auto"/>
        <w:tabs>
          <w:tab w:leader="none" w:pos="239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1 right (the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not less than 3 years and not more than 5 years (the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and the Work Letter) by giving Landlord written notice of its election to exercise the Extension Right (the “</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at least 9 months prior, and no more than 12 months prior, to the expiration of the Base Term of the Lease, which Extension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identify the specific period for the Extension Term elected by Tenant (provided that such period is no less than 3 years and no more than 5 years).</w:t>
      </w:r>
    </w:p>
    <w:p>
      <w:pPr>
        <w:spacing w:after="0" w:line="20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Tenant shall commence paying Base Rent equal to $1.26 per rentable square foot of the Premises on the commencement date of the Extension Term. Base Rent shall thereafter be adjusted on each annual anniversary of the commencement of such Extension Term by multiplying the Base Rent payable immediately before such adjustment by 3% and adding the resulting amount to the Base Rent payable immediately before such adjustment.</w:t>
      </w:r>
    </w:p>
    <w:p>
      <w:pPr>
        <w:spacing w:after="0" w:line="180" w:lineRule="exact"/>
        <w:rPr>
          <w:sz w:val="20"/>
          <w:szCs w:val="20"/>
          <w:color w:val="auto"/>
        </w:rPr>
      </w:pPr>
    </w:p>
    <w:p>
      <w:pPr>
        <w:jc w:val="both"/>
        <w:ind w:firstLine="885"/>
        <w:spacing w:after="0" w:line="253" w:lineRule="auto"/>
        <w:tabs>
          <w:tab w:leader="none" w:pos="239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is not assignable without Landlord’s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granted or withheld in Landlord’s sole discretion separate and apart from any consent by Landlord to an assignment of Tenant’s interest in the Lease, except that it may be assigned in connection with any Permitted Assignment of this Lease.</w:t>
      </w:r>
    </w:p>
    <w:p>
      <w:pPr>
        <w:spacing w:after="0" w:line="169" w:lineRule="exact"/>
        <w:rPr>
          <w:rFonts w:ascii="Arial" w:cs="Arial" w:eastAsia="Arial" w:hAnsi="Arial"/>
          <w:sz w:val="18"/>
          <w:szCs w:val="18"/>
          <w:color w:val="auto"/>
        </w:rPr>
      </w:pPr>
    </w:p>
    <w:p>
      <w:pPr>
        <w:ind w:firstLine="885"/>
        <w:spacing w:after="0" w:line="271" w:lineRule="auto"/>
        <w:tabs>
          <w:tab w:leader="none" w:pos="238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the Extension Right shall, at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not be in effect and Tenant may not exercise the Extension Right:</w:t>
      </w: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during any period of time that Tenant is in Default under any provision of this Lease; or</w:t>
      </w:r>
    </w:p>
    <w:p>
      <w:pPr>
        <w:spacing w:after="0" w:line="211" w:lineRule="exact"/>
        <w:rPr>
          <w:sz w:val="20"/>
          <w:szCs w:val="20"/>
          <w:color w:val="auto"/>
        </w:rPr>
      </w:pPr>
    </w:p>
    <w:p>
      <w:pPr>
        <w:sectPr>
          <w:pgSz w:w="11900" w:h="16838" w:orient="portrait"/>
          <w:cols w:equalWidth="0" w:num="2">
            <w:col w:w="3080" w:space="720"/>
            <w:col w:w="7620"/>
          </w:cols>
          <w:pgMar w:left="240" w:top="118" w:right="239" w:bottom="1440" w:gutter="0" w:footer="0" w:header="0"/>
          <w:type w:val="continuous"/>
        </w:sectPr>
      </w:pPr>
    </w:p>
    <w:p>
      <w:pPr>
        <w:spacing w:after="0" w:line="12" w:lineRule="exact"/>
        <w:rPr>
          <w:sz w:val="20"/>
          <w:szCs w:val="20"/>
          <w:color w:val="auto"/>
        </w:rPr>
      </w:pPr>
    </w:p>
    <w:p>
      <w:pPr>
        <w:ind w:left="1700"/>
        <w:spacing w:after="0"/>
        <w:tabs>
          <w:tab w:leader="none" w:pos="38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if Tenant has been in Default under any provision of this Lease 3 or more times, whether or not</w:t>
      </w:r>
    </w:p>
    <w:p>
      <w:pPr>
        <w:sectPr>
          <w:pgSz w:w="11900" w:h="16838" w:orient="portrait"/>
          <w:cols w:equalWidth="0" w:num="1">
            <w:col w:w="11420"/>
          </w:cols>
          <w:pgMar w:left="240" w:top="118" w:right="239" w:bottom="1440" w:gutter="0" w:footer="0" w:header="0"/>
          <w:type w:val="continuous"/>
        </w:sectPr>
      </w:pPr>
    </w:p>
    <w:p>
      <w:pPr>
        <w:spacing w:after="0" w:line="10" w:lineRule="exact"/>
        <w:rPr>
          <w:sz w:val="20"/>
          <w:szCs w:val="20"/>
          <w:color w:val="auto"/>
        </w:rPr>
      </w:pPr>
    </w:p>
    <w:p>
      <w:pPr>
        <w:ind w:left="880" w:right="20"/>
        <w:spacing w:after="0" w:line="234" w:lineRule="auto"/>
        <w:rPr>
          <w:sz w:val="20"/>
          <w:szCs w:val="20"/>
          <w:color w:val="auto"/>
        </w:rPr>
      </w:pPr>
      <w:r>
        <w:rPr>
          <w:rFonts w:ascii="Arial" w:cs="Arial" w:eastAsia="Arial" w:hAnsi="Arial"/>
          <w:sz w:val="18"/>
          <w:szCs w:val="18"/>
          <w:color w:val="auto"/>
        </w:rPr>
        <w:t>the Defaults are cured, during the 12 month period immediately prior to the date that Tenant intends to exercise the Extension Right, whether or not the Defaults are cured.</w:t>
      </w:r>
    </w:p>
    <w:p>
      <w:pPr>
        <w:spacing w:after="0" w:line="181" w:lineRule="exact"/>
        <w:rPr>
          <w:sz w:val="20"/>
          <w:szCs w:val="20"/>
          <w:color w:val="auto"/>
        </w:rPr>
      </w:pPr>
    </w:p>
    <w:p>
      <w:pPr>
        <w:ind w:right="20" w:firstLine="885"/>
        <w:spacing w:after="0" w:line="271" w:lineRule="auto"/>
        <w:tabs>
          <w:tab w:leader="none" w:pos="239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enlarged by reason of Tenant’s inability to exercise the Extension Right.</w:t>
      </w:r>
    </w:p>
    <w:p>
      <w:pPr>
        <w:spacing w:after="0" w:line="153" w:lineRule="exact"/>
        <w:rPr>
          <w:rFonts w:ascii="Arial" w:cs="Arial" w:eastAsia="Arial" w:hAnsi="Arial"/>
          <w:sz w:val="18"/>
          <w:szCs w:val="18"/>
          <w:color w:val="auto"/>
        </w:rPr>
      </w:pPr>
    </w:p>
    <w:p>
      <w:pPr>
        <w:jc w:val="both"/>
        <w:ind w:firstLine="885"/>
        <w:spacing w:after="0" w:line="244" w:lineRule="auto"/>
        <w:tabs>
          <w:tab w:leader="none" w:pos="239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 shall, at Landlord’s option, terminate and be of no further force or effect even</w:t>
      </w:r>
      <w:r>
        <w:rPr>
          <w:rFonts w:ascii="Arial" w:cs="Arial" w:eastAsia="Arial" w:hAnsi="Arial"/>
          <w:sz w:val="18"/>
          <w:szCs w:val="18"/>
          <w:b w:val="1"/>
          <w:bCs w:val="1"/>
          <w:color w:val="auto"/>
        </w:rPr>
        <w:t xml:space="preserve"> </w:t>
      </w:r>
      <w:r>
        <w:rPr>
          <w:rFonts w:ascii="Arial" w:cs="Arial" w:eastAsia="Arial" w:hAnsi="Arial"/>
          <w:sz w:val="18"/>
          <w:szCs w:val="18"/>
          <w:color w:val="auto"/>
        </w:rPr>
        <w:t>after Tenant’s due and timely exercise of the 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127000</wp:posOffset>
            </wp:positionV>
            <wp:extent cx="2426970"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4" w:name="page85"/>
    <w:bookmarkEnd w:id="84"/>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31</w:t>
      </w:r>
    </w:p>
    <w:p>
      <w:pPr>
        <w:spacing w:after="0" w:line="17" w:lineRule="exact"/>
        <w:rPr>
          <w:sz w:val="20"/>
          <w:szCs w:val="20"/>
          <w:color w:val="auto"/>
        </w:rPr>
      </w:pPr>
    </w:p>
    <w:p>
      <w:pPr>
        <w:ind w:left="2440" w:hanging="1555"/>
        <w:spacing w:after="0"/>
        <w:tabs>
          <w:tab w:leader="none" w:pos="24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The Alexandria Amenities</w:t>
      </w:r>
      <w:r>
        <w:rPr>
          <w:rFonts w:ascii="Arial" w:cs="Arial" w:eastAsia="Arial" w:hAnsi="Arial"/>
          <w:sz w:val="18"/>
          <w:szCs w:val="18"/>
          <w:color w:val="auto"/>
        </w:rPr>
        <w:t>.</w:t>
      </w:r>
    </w:p>
    <w:p>
      <w:pPr>
        <w:spacing w:after="0" w:line="190" w:lineRule="exact"/>
        <w:rPr>
          <w:sz w:val="20"/>
          <w:szCs w:val="20"/>
          <w:color w:val="auto"/>
        </w:rPr>
      </w:pPr>
    </w:p>
    <w:p>
      <w:pPr>
        <w:jc w:val="both"/>
        <w:ind w:firstLine="885"/>
        <w:spacing w:after="0" w:line="238" w:lineRule="auto"/>
        <w:tabs>
          <w:tab w:leader="none" w:pos="2394"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Generally</w:t>
      </w:r>
      <w:r>
        <w:rPr>
          <w:rFonts w:ascii="Arial" w:cs="Arial" w:eastAsia="Arial" w:hAnsi="Arial"/>
          <w:sz w:val="18"/>
          <w:szCs w:val="18"/>
          <w:color w:val="auto"/>
        </w:rPr>
        <w:t>. ARE-SD Region No. 17, LLC, a Delaware limited liability company (“</w:t>
      </w:r>
      <w:r>
        <w:rPr>
          <w:rFonts w:ascii="Arial" w:cs="Arial" w:eastAsia="Arial" w:hAnsi="Arial"/>
          <w:sz w:val="18"/>
          <w:szCs w:val="18"/>
          <w:b w:val="1"/>
          <w:bCs w:val="1"/>
          <w:color w:val="auto"/>
        </w:rPr>
        <w:t>Torreyana Landlord</w:t>
      </w:r>
      <w:r>
        <w:rPr>
          <w:rFonts w:ascii="Arial" w:cs="Arial" w:eastAsia="Arial" w:hAnsi="Arial"/>
          <w:sz w:val="18"/>
          <w:szCs w:val="18"/>
          <w:color w:val="auto"/>
        </w:rPr>
        <w:t>”) has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constructed certain amenities at the property owned by Torreyana Landlord located at 10996 Torreyana Road, San Diego, California (“</w:t>
      </w:r>
      <w:r>
        <w:rPr>
          <w:rFonts w:ascii="Arial" w:cs="Arial" w:eastAsia="Arial" w:hAnsi="Arial"/>
          <w:sz w:val="18"/>
          <w:szCs w:val="18"/>
          <w:b w:val="1"/>
          <w:bCs w:val="1"/>
          <w:color w:val="auto"/>
        </w:rPr>
        <w:t>Torreyana Project</w:t>
      </w:r>
      <w:r>
        <w:rPr>
          <w:rFonts w:ascii="Arial" w:cs="Arial" w:eastAsia="Arial" w:hAnsi="Arial"/>
          <w:sz w:val="18"/>
          <w:szCs w:val="18"/>
          <w:color w:val="auto"/>
        </w:rPr>
        <w:t>”), which include, without limitation, shared conference facilities (“</w:t>
      </w:r>
      <w:r>
        <w:rPr>
          <w:rFonts w:ascii="Arial" w:cs="Arial" w:eastAsia="Arial" w:hAnsi="Arial"/>
          <w:sz w:val="18"/>
          <w:szCs w:val="18"/>
          <w:b w:val="1"/>
          <w:bCs w:val="1"/>
          <w:color w:val="auto"/>
        </w:rPr>
        <w:t>Shared Conference Facilities</w:t>
      </w:r>
      <w:r>
        <w:rPr>
          <w:rFonts w:ascii="Arial" w:cs="Arial" w:eastAsia="Arial" w:hAnsi="Arial"/>
          <w:sz w:val="18"/>
          <w:szCs w:val="18"/>
          <w:color w:val="auto"/>
        </w:rPr>
        <w:t>”), a fitness center and restaurant (collectively, the “</w:t>
      </w:r>
      <w:r>
        <w:rPr>
          <w:rFonts w:ascii="Arial" w:cs="Arial" w:eastAsia="Arial" w:hAnsi="Arial"/>
          <w:sz w:val="18"/>
          <w:szCs w:val="18"/>
          <w:b w:val="1"/>
          <w:bCs w:val="1"/>
          <w:color w:val="auto"/>
        </w:rPr>
        <w:t>Amenities</w:t>
      </w:r>
      <w:r>
        <w:rPr>
          <w:rFonts w:ascii="Arial" w:cs="Arial" w:eastAsia="Arial" w:hAnsi="Arial"/>
          <w:sz w:val="18"/>
          <w:szCs w:val="18"/>
          <w:color w:val="auto"/>
        </w:rPr>
        <w:t>”) for non-exclusive use by (a) Tenant, (b) other tenants of the Project, (c) Landlord, (d) the tenants of Torreyana Landlord, (e) Torreyana Landlord, (e) other affiliates of Landlord, Torreyana Landlord and Alexandria Real Estate Equities, Inc. (“</w:t>
      </w:r>
      <w:r>
        <w:rPr>
          <w:rFonts w:ascii="Arial" w:cs="Arial" w:eastAsia="Arial" w:hAnsi="Arial"/>
          <w:sz w:val="18"/>
          <w:szCs w:val="18"/>
          <w:b w:val="1"/>
          <w:bCs w:val="1"/>
          <w:color w:val="auto"/>
        </w:rPr>
        <w:t>ARE</w:t>
      </w:r>
      <w:r>
        <w:rPr>
          <w:rFonts w:ascii="Arial" w:cs="Arial" w:eastAsia="Arial" w:hAnsi="Arial"/>
          <w:sz w:val="18"/>
          <w:szCs w:val="18"/>
          <w:color w:val="auto"/>
        </w:rPr>
        <w:t>”), (f) the tenants of such other affiliates of Landlord, Torreyana Landlord and ARE, and (g) any other parties permitted by Torreyana Landlord (collectively, “</w:t>
      </w:r>
      <w:r>
        <w:rPr>
          <w:rFonts w:ascii="Arial" w:cs="Arial" w:eastAsia="Arial" w:hAnsi="Arial"/>
          <w:sz w:val="18"/>
          <w:szCs w:val="18"/>
          <w:b w:val="1"/>
          <w:bCs w:val="1"/>
          <w:color w:val="auto"/>
        </w:rPr>
        <w:t>Users</w:t>
      </w:r>
      <w:r>
        <w:rPr>
          <w:rFonts w:ascii="Arial" w:cs="Arial" w:eastAsia="Arial" w:hAnsi="Arial"/>
          <w:sz w:val="18"/>
          <w:szCs w:val="18"/>
          <w:color w:val="auto"/>
        </w:rPr>
        <w:t>”). Landlord, Torreyana Landlord, ARE, and all affiliates of Landlord, Torreyana and ARE may be referred to collectively herein as the “</w:t>
      </w:r>
      <w:r>
        <w:rPr>
          <w:rFonts w:ascii="Arial" w:cs="Arial" w:eastAsia="Arial" w:hAnsi="Arial"/>
          <w:sz w:val="18"/>
          <w:szCs w:val="18"/>
          <w:b w:val="1"/>
          <w:bCs w:val="1"/>
          <w:color w:val="auto"/>
        </w:rPr>
        <w:t>ARE Parties</w:t>
      </w:r>
      <w:r>
        <w:rPr>
          <w:rFonts w:ascii="Arial" w:cs="Arial" w:eastAsia="Arial" w:hAnsi="Arial"/>
          <w:sz w:val="18"/>
          <w:szCs w:val="18"/>
          <w:color w:val="auto"/>
        </w:rPr>
        <w:t>.” Notwithstanding anything to the contrary contained herein, Tenant acknowledges and agrees that Torreyana Landlord shall have the right, at the sole discretion of Torreyana Landlord, to not make the Amenities available for use by some or all currently contemplated Users (including Tenant). Torreyana Landlord shall have the sole right to determine all matters related to the Amenities including, without limitation, relating to the reconfiguration, relocation, modification or removal of any of the Amenities at the Torreyana Project and/or to revise, expand or discontinue any of the services (if any) provided in connection with the Amenities.</w:t>
      </w:r>
    </w:p>
    <w:p>
      <w:pPr>
        <w:spacing w:after="0" w:line="183" w:lineRule="exact"/>
        <w:rPr>
          <w:rFonts w:ascii="Arial" w:cs="Arial" w:eastAsia="Arial" w:hAnsi="Arial"/>
          <w:sz w:val="18"/>
          <w:szCs w:val="18"/>
          <w:color w:val="auto"/>
        </w:rPr>
      </w:pPr>
    </w:p>
    <w:p>
      <w:pPr>
        <w:jc w:val="both"/>
        <w:ind w:firstLine="885"/>
        <w:spacing w:after="0" w:line="238" w:lineRule="auto"/>
        <w:tabs>
          <w:tab w:leader="none" w:pos="2394"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License</w:t>
      </w:r>
      <w:r>
        <w:rPr>
          <w:rFonts w:ascii="Arial" w:cs="Arial" w:eastAsia="Arial" w:hAnsi="Arial"/>
          <w:sz w:val="18"/>
          <w:szCs w:val="18"/>
          <w:color w:val="auto"/>
        </w:rPr>
        <w:t>. Commencing on the Rent Commencement Date, and so long as the Torreyana Project and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continue to be owned by affiliates of ARE, Tenant shall have the non-exclusive right to the use of the available Amenities in common with other Users pursuant to the terms of this </w:t>
      </w:r>
      <w:r>
        <w:rPr>
          <w:rFonts w:ascii="Arial" w:cs="Arial" w:eastAsia="Arial" w:hAnsi="Arial"/>
          <w:sz w:val="18"/>
          <w:szCs w:val="18"/>
          <w:u w:val="single" w:color="auto"/>
          <w:color w:val="auto"/>
        </w:rPr>
        <w:t>Section 40</w:t>
      </w:r>
      <w:r>
        <w:rPr>
          <w:rFonts w:ascii="Arial" w:cs="Arial" w:eastAsia="Arial" w:hAnsi="Arial"/>
          <w:sz w:val="18"/>
          <w:szCs w:val="18"/>
          <w:color w:val="auto"/>
        </w:rPr>
        <w:t>. As of the Rent Commencement Date, passes to the fitness center shall be issued to Tenant for all full time employees of Tenant employed at the Premises. Commencing on the Rent Commencement Date, Tenant shall commence paying Landlord a fixed fee during the Base Term equal to $0.08 per rentable square foot of the Premises per month (“</w:t>
      </w:r>
      <w:r>
        <w:rPr>
          <w:rFonts w:ascii="Arial" w:cs="Arial" w:eastAsia="Arial" w:hAnsi="Arial"/>
          <w:sz w:val="18"/>
          <w:szCs w:val="18"/>
          <w:b w:val="1"/>
          <w:bCs w:val="1"/>
          <w:color w:val="auto"/>
        </w:rPr>
        <w:t>Amenities Fee</w:t>
      </w:r>
      <w:r>
        <w:rPr>
          <w:rFonts w:ascii="Arial" w:cs="Arial" w:eastAsia="Arial" w:hAnsi="Arial"/>
          <w:sz w:val="18"/>
          <w:szCs w:val="18"/>
          <w:color w:val="auto"/>
        </w:rPr>
        <w:t>”), which Amenities Fee shall by payable on the first day of each month during the Term whether or not Tenant elects to use any or all of the Amenities. The Amenities Fee shall be increased annually on each anniversary of the Rent Commencement Date by 3%. The Amenities Fee shall continue to increase by 3% annually during the Extension Term. If the Amenities in their entirety become materially unavailable for use by Tenant (for any reason other than a Default by Tenant under this Lease or the default by Tenant of any agreement(s) relating to the use of the Amenities by Tenant) for a period in excess of 30 consecutive days, then, commencing on the date that the Amenities in their entirety become materially unavailable for use by Tenant and continuing for the period that the Amenities in their entirety remain materially unavailable for use by Tenant, the Amenities Fee then-currently payable by Tenant shall be abated.</w:t>
      </w:r>
    </w:p>
    <w:p>
      <w:pPr>
        <w:spacing w:after="0" w:line="183" w:lineRule="exact"/>
        <w:rPr>
          <w:rFonts w:ascii="Arial" w:cs="Arial" w:eastAsia="Arial" w:hAnsi="Arial"/>
          <w:sz w:val="18"/>
          <w:szCs w:val="18"/>
          <w:color w:val="auto"/>
        </w:rPr>
      </w:pPr>
    </w:p>
    <w:p>
      <w:pPr>
        <w:jc w:val="both"/>
        <w:ind w:firstLine="885"/>
        <w:spacing w:after="0" w:line="241" w:lineRule="auto"/>
        <w:tabs>
          <w:tab w:leader="none" w:pos="2384"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Shared Conference Facilities</w:t>
      </w:r>
      <w:r>
        <w:rPr>
          <w:rFonts w:ascii="Arial" w:cs="Arial" w:eastAsia="Arial" w:hAnsi="Arial"/>
          <w:sz w:val="18"/>
          <w:szCs w:val="18"/>
          <w:color w:val="auto"/>
        </w:rPr>
        <w:t>. Use by Tenant of the Shared Conference Facilities and restaurant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Torreyana Project shall be in common with other Users with scheduling procedures reasonably determined by Torreyana Landlord. Torreyana Landlord reserves the right to exercise its reasonable discretion in the event of conflicting scheduling requests among Users. Tenant hereby acknowledges that (i) Biocom/San Diego, a California non-profit corporation (“</w:t>
      </w:r>
      <w:r>
        <w:rPr>
          <w:rFonts w:ascii="Arial" w:cs="Arial" w:eastAsia="Arial" w:hAnsi="Arial"/>
          <w:sz w:val="18"/>
          <w:szCs w:val="18"/>
          <w:b w:val="1"/>
          <w:bCs w:val="1"/>
          <w:color w:val="auto"/>
        </w:rPr>
        <w:t>Biocom</w:t>
      </w:r>
      <w:r>
        <w:rPr>
          <w:rFonts w:ascii="Arial" w:cs="Arial" w:eastAsia="Arial" w:hAnsi="Arial"/>
          <w:sz w:val="18"/>
          <w:szCs w:val="18"/>
          <w:color w:val="auto"/>
        </w:rPr>
        <w:t>”) has the right to reserve the Shared Conference Facilities and any reservable dining area(s) included within the Amenities for up to 50% of the time that such Shared Conference Facilities and reservable dining area(s) are available for use by Users each calendar month, and (ii) Illumina, Inc., a Delaware corporation, has the exclusive use of the main conference room within the Shared Conference Facilities for up to 4 days per calendar month.</w:t>
      </w:r>
    </w:p>
    <w:p>
      <w:pPr>
        <w:spacing w:after="0" w:line="201"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color w:val="auto"/>
        </w:rPr>
        <w:t>Any vendors engaged by Tenant in connection with Tenant’s use of the Shared Conference Facilities shall be professional licensed vendors. Torreyana Landlord shall have the right to approve any vendors utilized by Tenant in connection with Tenant’s use of the Shared Conference Facilities. Prior to any entry by any such vendor onto the Torreyana Project, Tenant shall deliver to Landlord a copy of the contract between Tenant and such vendor and certificates of insurance from such vendor evidencing industry standard commercial general liability, automotive liability, and workers’ compensation insurance. Tenant shall cause all such vendors utilized by Tenant to provide a certificate of insurance naming Landlord, ARE, and Torreyana Landlord as additional insureds under the vendor’s liability policies. Notwithstanding the foregoing, Tenant shall be required to use the food service operator used by Torreyana Landlord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Torreyana Project for any food service or catered events held by Tenant in the Shared Conference Facilities.</w:t>
      </w:r>
    </w:p>
    <w:p>
      <w:pPr>
        <w:spacing w:after="0" w:line="212"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18"/>
          <w:szCs w:val="18"/>
          <w:color w:val="auto"/>
        </w:rPr>
        <w:t>Tenant shall, at Tenant’s sole cost and expense, (i) be responsible for the set-up of the Shared Conference Facilities in connection with Tenant’s use (including, without limitation ensuring that Tenant has a sufficient number of chairs and tables and the appropriate equipment), and (ii) surrender the Shared Conference Facilities after each time that Tenant uses the Shared Conference Facilities free of Tenant’s personal property, in substantially the same set up and same condition as received, and free of any debris and trash. If Tenant fails to restore and surrender the Shared Conference Facilities as required by sub-section (ii) of the immediately preceding sentence, such failure shall constitute a “</w:t>
      </w:r>
      <w:r>
        <w:rPr>
          <w:rFonts w:ascii="Arial" w:cs="Arial" w:eastAsia="Arial" w:hAnsi="Arial"/>
          <w:sz w:val="18"/>
          <w:szCs w:val="18"/>
          <w:b w:val="1"/>
          <w:bCs w:val="1"/>
          <w:color w:val="auto"/>
        </w:rPr>
        <w:t>Shared Facilities Default</w:t>
      </w:r>
      <w:r>
        <w:rPr>
          <w:rFonts w:ascii="Arial" w:cs="Arial" w:eastAsia="Arial" w:hAnsi="Arial"/>
          <w:sz w:val="18"/>
          <w:szCs w:val="18"/>
          <w:color w:val="auto"/>
        </w:rPr>
        <w:t xml:space="preserve">.” Each time that Landlord reasonably determines that Tenant has committed a Shared Facilities Default, Tenant shall be required to pay Landlord a penalty within 5 days after notice from Landlord of such Shared Facilities Default. The penalty payable by Tenant in connection with the first Shared Facilities Default shall be $200. The penalty payable shall increase by $50 for each subsequent Shared Facilities Default (for the avoidance of doubt, the penalty shall be $250 for the second Shared Facilities Default, shall be $300 for the third Shared Facilities Default, etc.). In addition to the foregoing, Tenant shall be responsible for reimbursing Torreyana Landlord or Landlord, as applicable, for all costs expended by Torreyana Landlord or Landlord, as applicable, in repairing any damage to the Shared Conference Facilities, the Amenities, or the Torreyana Project caused by Tenant or any Tenant Related Party. The provisions of this </w:t>
      </w:r>
      <w:r>
        <w:rPr>
          <w:rFonts w:ascii="Arial" w:cs="Arial" w:eastAsia="Arial" w:hAnsi="Arial"/>
          <w:sz w:val="18"/>
          <w:szCs w:val="18"/>
          <w:u w:val="single" w:color="auto"/>
          <w:color w:val="auto"/>
        </w:rPr>
        <w:t>Section 40(c)</w:t>
      </w:r>
      <w:r>
        <w:rPr>
          <w:rFonts w:ascii="Arial" w:cs="Arial" w:eastAsia="Arial" w:hAnsi="Arial"/>
          <w:sz w:val="18"/>
          <w:szCs w:val="18"/>
          <w:color w:val="auto"/>
        </w:rPr>
        <w:t xml:space="preserve"> shall survive the expiration or earlier termination of this Lease.</w:t>
      </w:r>
    </w:p>
    <w:p>
      <w:pPr>
        <w:spacing w:after="0" w:line="182" w:lineRule="exact"/>
        <w:rPr>
          <w:sz w:val="20"/>
          <w:szCs w:val="20"/>
          <w:color w:val="auto"/>
        </w:rPr>
      </w:pPr>
    </w:p>
    <w:p>
      <w:pPr>
        <w:jc w:val="both"/>
        <w:ind w:firstLine="885"/>
        <w:spacing w:after="0" w:line="239" w:lineRule="auto"/>
        <w:tabs>
          <w:tab w:leader="none" w:pos="2394"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be solely responsible for paying for any and all ancillary services (e.g.,</w:t>
      </w:r>
      <w:r>
        <w:rPr>
          <w:rFonts w:ascii="Arial" w:cs="Arial" w:eastAsia="Arial" w:hAnsi="Arial"/>
          <w:sz w:val="18"/>
          <w:szCs w:val="18"/>
          <w:b w:val="1"/>
          <w:bCs w:val="1"/>
          <w:color w:val="auto"/>
        </w:rPr>
        <w:t xml:space="preserve"> </w:t>
      </w:r>
      <w:r>
        <w:rPr>
          <w:rFonts w:ascii="Arial" w:cs="Arial" w:eastAsia="Arial" w:hAnsi="Arial"/>
          <w:sz w:val="18"/>
          <w:szCs w:val="18"/>
          <w:color w:val="auto"/>
        </w:rPr>
        <w:t>audio visual equipment) provided to Tenant, all food services operators and any other third party vendors providing services to Tenant at the Torreyana Project. Tenant shall use the Amenities (including, without limitation, the Shared Conference Facilities) in compliance with all applicable Legal Requirements and any rules and regulations imposed by Torreyana Landlord or Landlord from time to time and in a manner that will not interfere with the rights of other Users. The use of Amenities other than the Shared Conference Facilities by employees of Tenant shall be in accordance with the terms and conditions of the standard licenses, indemnification and waiver agreement required by Torreyana Landlord or the operator of the Amenities to be executed by all persons wishing to use such Amenities. Neither Torreyana Landlord nor Landlord (nor, if applicable, any other affiliate of Landlord) shall have any liability or obligation for the breach of any rules or regulations by other Users with respect to the Amenities. Tenant shall not make any alterations, additions, or improvements of any kind to the Shared Conference Facilities, the Amenities or the Torreyana Project.</w:t>
      </w:r>
    </w:p>
    <w:p>
      <w:pPr>
        <w:spacing w:after="0" w:line="203"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Tenant acknowledges and agrees that Torreyana Landlord shall have the right at any time and from time to time to reconfigure, relocate, modify or remove any of the Amenities at the Torreyana Project and/or to revise, expand or discontinue any of the services (if any) provided in connection with the Amenities.</w:t>
      </w:r>
    </w:p>
    <w:p>
      <w:pPr>
        <w:spacing w:after="0" w:line="181" w:lineRule="exact"/>
        <w:rPr>
          <w:sz w:val="20"/>
          <w:szCs w:val="20"/>
          <w:color w:val="auto"/>
        </w:rPr>
      </w:pPr>
    </w:p>
    <w:p>
      <w:pPr>
        <w:jc w:val="both"/>
        <w:ind w:firstLine="885"/>
        <w:spacing w:after="0" w:line="255" w:lineRule="auto"/>
        <w:tabs>
          <w:tab w:leader="none" w:pos="2394"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Waiver of Liability and Indemnification</w:t>
      </w:r>
      <w:r>
        <w:rPr>
          <w:rFonts w:ascii="Arial" w:cs="Arial" w:eastAsia="Arial" w:hAnsi="Arial"/>
          <w:sz w:val="17"/>
          <w:szCs w:val="17"/>
          <w:color w:val="auto"/>
        </w:rPr>
        <w:t>. Tenant warrants that it will use reasonable care to prevent damage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property and injury to persons while on the Torreyana Project. Tenant waives any claims it or any Tenant Parties may have against any ARE Parties relating to, arising out of or in connection with the Amenities and any entry by Tenant and/or any Tenant Parties onto the Torreyana Project, and Tenant releases and exculpates all ARE Parties from any liability relating to, arising out of or in connection with the Amenities and any entry by Tenant and/or any Tenant Parties onto the Torreyana Project, except, in each case, to the extent caused by the willful misconduct or gross negligence of any ARE Party. Tenant hereby agrees to indemnify, defend, and hold harmless the ARE Parties from any claim of damage to property or injury to person relating to, arising out of or in connection with (i) the use of the Amenities by Tenant or any Tenant Parties, and (ii) any entry by Tenant and/or any Tenant Parties onto the Torreyana Project, except to the extent caused by the willful misconduct or gross negligence of any ARE Party. The provisions of this </w:t>
      </w:r>
      <w:r>
        <w:rPr>
          <w:rFonts w:ascii="Arial" w:cs="Arial" w:eastAsia="Arial" w:hAnsi="Arial"/>
          <w:sz w:val="17"/>
          <w:szCs w:val="17"/>
          <w:u w:val="single" w:color="auto"/>
          <w:color w:val="auto"/>
        </w:rPr>
        <w:t>Section 40</w:t>
      </w:r>
      <w:r>
        <w:rPr>
          <w:rFonts w:ascii="Arial" w:cs="Arial" w:eastAsia="Arial" w:hAnsi="Arial"/>
          <w:sz w:val="17"/>
          <w:szCs w:val="17"/>
          <w:color w:val="auto"/>
        </w:rPr>
        <w:t xml:space="preserve"> shall survive the expiration or earlier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122555</wp:posOffset>
            </wp:positionV>
            <wp:extent cx="242697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33</w:t>
      </w:r>
    </w:p>
    <w:p>
      <w:pPr>
        <w:spacing w:after="0" w:line="17" w:lineRule="exact"/>
        <w:rPr>
          <w:sz w:val="20"/>
          <w:szCs w:val="20"/>
          <w:color w:val="auto"/>
        </w:rPr>
      </w:pPr>
    </w:p>
    <w:p>
      <w:pPr>
        <w:jc w:val="both"/>
        <w:ind w:firstLine="885"/>
        <w:spacing w:after="0"/>
        <w:tabs>
          <w:tab w:leader="none" w:pos="2344"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As of the Amenities Commencement Date, Tenant shall cause Torreyana Landlord to be named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additional insured under the commercial general liability policy of insurance that Tenant is required to maintain pursuant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of this Lease.</w:t>
      </w:r>
    </w:p>
    <w:p>
      <w:pPr>
        <w:spacing w:after="0" w:line="181" w:lineRule="exact"/>
        <w:rPr>
          <w:sz w:val="20"/>
          <w:szCs w:val="20"/>
          <w:color w:val="auto"/>
        </w:rPr>
      </w:pPr>
    </w:p>
    <w:p>
      <w:pPr>
        <w:jc w:val="both"/>
        <w:ind w:firstLine="885"/>
        <w:spacing w:after="0" w:line="244" w:lineRule="auto"/>
        <w:tabs>
          <w:tab w:leader="none" w:pos="2424"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Satellite Dish</w:t>
      </w:r>
      <w:r>
        <w:rPr>
          <w:rFonts w:ascii="Arial" w:cs="Arial" w:eastAsia="Arial" w:hAnsi="Arial"/>
          <w:sz w:val="18"/>
          <w:szCs w:val="18"/>
          <w:color w:val="auto"/>
        </w:rPr>
        <w:t>. As long as Tenant is not in default under this Lease, Tenant shall have the right at its sole cost</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 (but without the requirement to pay any additional Base Rent in connection therewith), subject to compliance with all Legal Requirements, to install, maintain, and remove on the top of the roof of the Building one satellite dish weighing up to 50 pounds and having a diameter of up to 20 inches and ancillary cable and other related equipment for the transmission or reception of communication of signals as Tenant may from time to time desire (collectively, “</w:t>
      </w:r>
      <w:r>
        <w:rPr>
          <w:rFonts w:ascii="Arial" w:cs="Arial" w:eastAsia="Arial" w:hAnsi="Arial"/>
          <w:sz w:val="18"/>
          <w:szCs w:val="18"/>
          <w:b w:val="1"/>
          <w:bCs w:val="1"/>
          <w:color w:val="auto"/>
        </w:rPr>
        <w:t>Satellite Dish</w:t>
      </w:r>
      <w:r>
        <w:rPr>
          <w:rFonts w:ascii="Arial" w:cs="Arial" w:eastAsia="Arial" w:hAnsi="Arial"/>
          <w:sz w:val="18"/>
          <w:szCs w:val="18"/>
          <w:color w:val="auto"/>
        </w:rPr>
        <w:t>”) on the following terms and conditions:</w:t>
      </w:r>
    </w:p>
    <w:p>
      <w:pPr>
        <w:spacing w:after="0" w:line="177" w:lineRule="exact"/>
        <w:rPr>
          <w:sz w:val="20"/>
          <w:szCs w:val="20"/>
          <w:color w:val="auto"/>
        </w:rPr>
      </w:pPr>
    </w:p>
    <w:p>
      <w:pPr>
        <w:jc w:val="both"/>
        <w:ind w:firstLine="885"/>
        <w:spacing w:after="0" w:line="239" w:lineRule="auto"/>
        <w:tabs>
          <w:tab w:leader="none" w:pos="239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Requirements</w:t>
      </w:r>
      <w:r>
        <w:rPr>
          <w:rFonts w:ascii="Arial" w:cs="Arial" w:eastAsia="Arial" w:hAnsi="Arial"/>
          <w:sz w:val="18"/>
          <w:szCs w:val="18"/>
          <w:color w:val="auto"/>
        </w:rPr>
        <w:t>. Tenant shall submit to Landlord (i) the plans and specifications for the installation of the Satellite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Dish, (ii) copies of all required governmental and quasi-governmental permits, licenses, and authorizations that Tenant will and must obtain at its own expense, with the cooperation of Landlord, if necessary for the installation and operation of the Satellite Dish, and (iii) an insurance policy or certificate of insurance evidencing insurance coverage as required by this Lease and any other insurance as reasonably required by Landlord for the installation and operation of the Satellite Dish. Landlord shall not unreasonably withhold or delay its approval for the installation and operation of the Satellite Dish;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may reasonably withhold its approval if the installation or operation of the Satellite Dish (A) may damage the structural integrity of the Building, (B) may void, terminate, or invalidate any applicable roof warranty, (C) may interfere with any service provided by Landlord, (D) may reduce the leasable space in the Building, or (E) is not properly screened from the viewing public. Notwithstanding anything to the contrary contained herein, Landlord retains the right to utilize during the Term the remainder of the roof (on which the Satellite Dish is not located) in its sole and absolute discretion.</w:t>
      </w:r>
    </w:p>
    <w:p>
      <w:pPr>
        <w:spacing w:after="0" w:line="180" w:lineRule="exact"/>
        <w:rPr>
          <w:rFonts w:ascii="Arial" w:cs="Arial" w:eastAsia="Arial" w:hAnsi="Arial"/>
          <w:sz w:val="18"/>
          <w:szCs w:val="18"/>
          <w:color w:val="auto"/>
        </w:rPr>
      </w:pPr>
    </w:p>
    <w:p>
      <w:pPr>
        <w:jc w:val="both"/>
        <w:ind w:firstLine="885"/>
        <w:spacing w:after="0" w:line="239" w:lineRule="auto"/>
        <w:tabs>
          <w:tab w:leader="none" w:pos="239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No Damage to Roof</w:t>
      </w:r>
      <w:r>
        <w:rPr>
          <w:rFonts w:ascii="Arial" w:cs="Arial" w:eastAsia="Arial" w:hAnsi="Arial"/>
          <w:sz w:val="18"/>
          <w:szCs w:val="18"/>
          <w:color w:val="auto"/>
        </w:rPr>
        <w:t>. If installation of the Satellite Dish requires Tenant to make any roof cuts or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roofing work, such cuts shall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Satellite Dish such damage shall be repaired promptly at Tenant’s expense and the roof shall be restored in the same condition it was in before the damage. Landlord shall not charge Tenant Additional Rent for the installation and use of the Satellite Dish. If, however, Landlord’s insurance premium or Tax assessment increases as a result of the Satellite Dish, Tenant shall pay such increase as Additional Rent within ten (10) days after receipt of a reasonably detailed invoice from Landlord. Tenant shall not be entitled to any abatement or reduction in the amount of Rent payable under this Lease if for any reason Tenant is unable to use the Satellite Dish. In no event whatsoever shall the installation, operation, maintenance, or removal of the Satellite Dish by Tenant or its agents void, terminate, or invalidate any applicable roof warranty.</w:t>
      </w:r>
    </w:p>
    <w:p>
      <w:pPr>
        <w:spacing w:after="0" w:line="180" w:lineRule="exact"/>
        <w:rPr>
          <w:rFonts w:ascii="Arial" w:cs="Arial" w:eastAsia="Arial" w:hAnsi="Arial"/>
          <w:sz w:val="18"/>
          <w:szCs w:val="18"/>
          <w:color w:val="auto"/>
        </w:rPr>
      </w:pPr>
    </w:p>
    <w:p>
      <w:pPr>
        <w:jc w:val="both"/>
        <w:ind w:firstLine="885"/>
        <w:spacing w:after="0" w:line="247" w:lineRule="auto"/>
        <w:tabs>
          <w:tab w:leader="none" w:pos="238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Protection</w:t>
      </w:r>
      <w:r>
        <w:rPr>
          <w:rFonts w:ascii="Arial" w:cs="Arial" w:eastAsia="Arial" w:hAnsi="Arial"/>
          <w:sz w:val="18"/>
          <w:szCs w:val="18"/>
          <w:color w:val="auto"/>
        </w:rPr>
        <w:t>. The installation, operation, and removal of the Satellite Dish shall be at Tenant’s sole risk.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indemnify, defend, and hold Landlord harmless from and against any and all claims, costs, damages, liabilities and expenses (including, but not limited to, attorneys’ fees) of every kind and description that may arise out of or be connected in any way with Tenant’s installation, operation, or removal of the Satellite Dish.</w:t>
      </w:r>
    </w:p>
    <w:p>
      <w:pPr>
        <w:spacing w:after="0" w:line="174" w:lineRule="exact"/>
        <w:rPr>
          <w:rFonts w:ascii="Arial" w:cs="Arial" w:eastAsia="Arial" w:hAnsi="Arial"/>
          <w:sz w:val="18"/>
          <w:szCs w:val="18"/>
          <w:color w:val="auto"/>
        </w:rPr>
      </w:pPr>
    </w:p>
    <w:p>
      <w:pPr>
        <w:jc w:val="both"/>
        <w:ind w:firstLine="885"/>
        <w:spacing w:after="0" w:line="242" w:lineRule="auto"/>
        <w:tabs>
          <w:tab w:leader="none" w:pos="239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At the expiration or earlier termination of this Lease or the discontinuance of the use of the Satellite</w:t>
      </w:r>
      <w:r>
        <w:rPr>
          <w:rFonts w:ascii="Arial" w:cs="Arial" w:eastAsia="Arial" w:hAnsi="Arial"/>
          <w:sz w:val="18"/>
          <w:szCs w:val="18"/>
          <w:b w:val="1"/>
          <w:bCs w:val="1"/>
          <w:color w:val="auto"/>
        </w:rPr>
        <w:t xml:space="preserve"> </w:t>
      </w:r>
      <w:r>
        <w:rPr>
          <w:rFonts w:ascii="Arial" w:cs="Arial" w:eastAsia="Arial" w:hAnsi="Arial"/>
          <w:sz w:val="18"/>
          <w:szCs w:val="18"/>
          <w:color w:val="auto"/>
        </w:rPr>
        <w:t>Dish by Tenant, Tenant shall, at its sole cost and expense, remove the Satellite Dish from the Building. Tenant shall leave the portion of the roof where the Satellite Dish was located in good order and repair, reasonable wear and tear excepted. If Tenant does not so remove the Satellite Dish, Tenant hereby authorizes Landlord to remove and dispose of the Satellite Dish and charge Tenant as Additional Rent for all costs and expenses incurred by Landlord in such removal and disposal. Tenant agrees that Landlord shall not be liable for any Satellite Dish or related property disposed of or removed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128270</wp:posOffset>
            </wp:positionV>
            <wp:extent cx="2426970" cy="411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34</w:t>
      </w:r>
    </w:p>
    <w:p>
      <w:pPr>
        <w:spacing w:after="0" w:line="17" w:lineRule="exact"/>
        <w:rPr>
          <w:sz w:val="20"/>
          <w:szCs w:val="20"/>
          <w:color w:val="auto"/>
        </w:rPr>
      </w:pPr>
    </w:p>
    <w:p>
      <w:pPr>
        <w:jc w:val="both"/>
        <w:ind w:firstLine="885"/>
        <w:spacing w:after="0" w:line="239" w:lineRule="auto"/>
        <w:tabs>
          <w:tab w:leader="none" w:pos="239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The Satellite Dish shall not interfere with the proper functioning of any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or devices that have been installed or will be installed by Landlord or for any future tenant of the Building. Tenant agrees that any other tenant of the Building that in the future takes possession of any portion of the Building will be permitted to install such telecommunication equipment that is of a type and frequency that will not cause unreasonable interference to the Satellite Dish.</w:t>
      </w:r>
    </w:p>
    <w:p>
      <w:pPr>
        <w:spacing w:after="0" w:line="179" w:lineRule="exact"/>
        <w:rPr>
          <w:rFonts w:ascii="Arial" w:cs="Arial" w:eastAsia="Arial" w:hAnsi="Arial"/>
          <w:sz w:val="18"/>
          <w:szCs w:val="18"/>
          <w:color w:val="auto"/>
        </w:rPr>
      </w:pPr>
    </w:p>
    <w:p>
      <w:pPr>
        <w:jc w:val="both"/>
        <w:ind w:firstLine="885"/>
        <w:spacing w:after="0" w:line="253" w:lineRule="auto"/>
        <w:tabs>
          <w:tab w:leader="none" w:pos="234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Relocation</w:t>
      </w:r>
      <w:r>
        <w:rPr>
          <w:rFonts w:ascii="Arial" w:cs="Arial" w:eastAsia="Arial" w:hAnsi="Arial"/>
          <w:sz w:val="18"/>
          <w:szCs w:val="18"/>
          <w:color w:val="auto"/>
        </w:rPr>
        <w:t>. Landlord shall have the right, at its expense and after 60 days prior notice to Tenant, to relocate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Satellite Dish to another site on the roof of the Building, as long as such site reasonably meets Tenant’s sight line and interference requirements and does not unreasonably interfere with Tenant’s use and operation of the Satellite Dish.</w:t>
      </w:r>
    </w:p>
    <w:p>
      <w:pPr>
        <w:spacing w:after="0" w:line="169" w:lineRule="exact"/>
        <w:rPr>
          <w:rFonts w:ascii="Arial" w:cs="Arial" w:eastAsia="Arial" w:hAnsi="Arial"/>
          <w:sz w:val="18"/>
          <w:szCs w:val="18"/>
          <w:color w:val="auto"/>
        </w:rPr>
      </w:pPr>
    </w:p>
    <w:p>
      <w:pPr>
        <w:jc w:val="both"/>
        <w:ind w:firstLine="885"/>
        <w:spacing w:after="0" w:line="244" w:lineRule="auto"/>
        <w:tabs>
          <w:tab w:leader="none" w:pos="239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Access</w:t>
      </w:r>
      <w:r>
        <w:rPr>
          <w:rFonts w:ascii="Arial" w:cs="Arial" w:eastAsia="Arial" w:hAnsi="Arial"/>
          <w:sz w:val="18"/>
          <w:szCs w:val="18"/>
          <w:color w:val="auto"/>
        </w:rPr>
        <w:t>. Landlord grants to Tenant the right of ingress and egress on a 24 hour 7 day per week basis to install,</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and maintain the Satellite Dish.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spacing w:after="0" w:line="176" w:lineRule="exact"/>
        <w:rPr>
          <w:rFonts w:ascii="Arial" w:cs="Arial" w:eastAsia="Arial" w:hAnsi="Arial"/>
          <w:sz w:val="18"/>
          <w:szCs w:val="18"/>
          <w:color w:val="auto"/>
        </w:rPr>
      </w:pPr>
    </w:p>
    <w:p>
      <w:pPr>
        <w:ind w:firstLine="885"/>
        <w:spacing w:after="0" w:line="271" w:lineRule="auto"/>
        <w:tabs>
          <w:tab w:leader="none" w:pos="239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Satellite Dish shall be painted the same color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so as to render the Satellite Dish virtually invisible from ground level.</w:t>
      </w:r>
    </w:p>
    <w:p>
      <w:pPr>
        <w:spacing w:after="0" w:line="153" w:lineRule="exact"/>
        <w:rPr>
          <w:rFonts w:ascii="Arial" w:cs="Arial" w:eastAsia="Arial" w:hAnsi="Arial"/>
          <w:sz w:val="18"/>
          <w:szCs w:val="18"/>
          <w:color w:val="auto"/>
        </w:rPr>
      </w:pPr>
    </w:p>
    <w:p>
      <w:pPr>
        <w:jc w:val="both"/>
        <w:ind w:firstLine="885"/>
        <w:spacing w:after="0" w:line="242" w:lineRule="auto"/>
        <w:tabs>
          <w:tab w:leader="none" w:pos="233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The right of Tenant to use and operate the Satellite Dish shall be personal solely to Tandem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Diabetes Care, Inc., a Delaware corporation, and (i) no other person or entity shall have any right to use or operate the Satellite Dish other than in connection with an assignment of this Lease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the sublease of more than 50% of the Premises, and (ii) Tenant shall not assign, convey, or otherwise transfer to any person or entity any right, title, or interest in all or any portion of the Satellite Dish or the use and operation thereof, other than in connection with an assignment of this Lease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the sublease of more than 50% of the Premises.</w:t>
      </w:r>
    </w:p>
    <w:p>
      <w:pPr>
        <w:spacing w:after="0" w:line="179" w:lineRule="exact"/>
        <w:rPr>
          <w:sz w:val="20"/>
          <w:szCs w:val="20"/>
          <w:color w:val="auto"/>
        </w:rPr>
      </w:pPr>
    </w:p>
    <w:p>
      <w:pPr>
        <w:ind w:left="2440" w:hanging="1555"/>
        <w:spacing w:after="0"/>
        <w:tabs>
          <w:tab w:leader="none" w:pos="24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47" w:lineRule="auto"/>
        <w:tabs>
          <w:tab w:leader="none" w:pos="2394"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upon 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4" w:lineRule="exact"/>
        <w:rPr>
          <w:rFonts w:ascii="Arial" w:cs="Arial" w:eastAsia="Arial" w:hAnsi="Arial"/>
          <w:sz w:val="18"/>
          <w:szCs w:val="18"/>
          <w:color w:val="auto"/>
        </w:rPr>
      </w:pPr>
    </w:p>
    <w:p>
      <w:pPr>
        <w:ind w:firstLine="885"/>
        <w:spacing w:after="0" w:line="271" w:lineRule="auto"/>
        <w:tabs>
          <w:tab w:leader="none" w:pos="2394"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one person or entity, each shall be jointly and severally liable for the obligations of Tenant.</w:t>
      </w:r>
    </w:p>
    <w:p>
      <w:pPr>
        <w:spacing w:after="0" w:line="153" w:lineRule="exact"/>
        <w:rPr>
          <w:rFonts w:ascii="Arial" w:cs="Arial" w:eastAsia="Arial" w:hAnsi="Arial"/>
          <w:sz w:val="18"/>
          <w:szCs w:val="18"/>
          <w:color w:val="auto"/>
        </w:rPr>
      </w:pPr>
    </w:p>
    <w:p>
      <w:pPr>
        <w:jc w:val="both"/>
        <w:ind w:firstLine="885"/>
        <w:spacing w:after="0" w:line="242" w:lineRule="auto"/>
        <w:tabs>
          <w:tab w:leader="none" w:pos="2384"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Financial Information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not publicly available to Landlord, Tenant shall deliver to Landlord Tenant’s most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recent financial statements within 121 days after the end of each calendar year or, if applicable, the end of Tenant’s fiscal year. If such financial statements have been audited, Tenant shall deliver audited financial statements. If not publicly available to Landlord, Tenant shall also deliver to Landlord any other financial information or summaries that Tenant typically provides to its lenders or shareholders. Landlord shall treat all such materials and information contained therein as confidential information. So long as Tenant is a “public company” and its financial information is publicly available, then the foregoing delivery requirements of this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shall not apply.</w:t>
      </w:r>
    </w:p>
    <w:p>
      <w:pPr>
        <w:spacing w:after="0" w:line="179" w:lineRule="exact"/>
        <w:rPr>
          <w:rFonts w:ascii="Arial" w:cs="Arial" w:eastAsia="Arial" w:hAnsi="Arial"/>
          <w:sz w:val="18"/>
          <w:szCs w:val="18"/>
          <w:color w:val="auto"/>
        </w:rPr>
      </w:pPr>
    </w:p>
    <w:p>
      <w:pPr>
        <w:ind w:firstLine="885"/>
        <w:spacing w:after="0" w:line="271" w:lineRule="auto"/>
        <w:tabs>
          <w:tab w:leader="none" w:pos="2394"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public record. Landlord may prepare and file, and upon request by Landlord Tenant will execute, a memorandum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112395</wp:posOffset>
            </wp:positionV>
            <wp:extent cx="242697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35</w:t>
      </w:r>
    </w:p>
    <w:p>
      <w:pPr>
        <w:spacing w:after="0" w:line="19" w:lineRule="exact"/>
        <w:rPr>
          <w:sz w:val="20"/>
          <w:szCs w:val="20"/>
          <w:color w:val="auto"/>
        </w:rPr>
      </w:pPr>
    </w:p>
    <w:p>
      <w:pPr>
        <w:jc w:val="both"/>
        <w:ind w:firstLine="885"/>
        <w:spacing w:after="0" w:line="238" w:lineRule="auto"/>
        <w:tabs>
          <w:tab w:leader="none" w:pos="2394"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drafting 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80" w:lineRule="exact"/>
        <w:rPr>
          <w:rFonts w:ascii="Arial" w:cs="Arial" w:eastAsia="Arial" w:hAnsi="Arial"/>
          <w:sz w:val="18"/>
          <w:szCs w:val="18"/>
          <w:color w:val="auto"/>
        </w:rPr>
      </w:pPr>
    </w:p>
    <w:p>
      <w:pPr>
        <w:jc w:val="both"/>
        <w:ind w:firstLine="885"/>
        <w:spacing w:after="0" w:line="253" w:lineRule="auto"/>
        <w:tabs>
          <w:tab w:leader="none" w:pos="2344"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w:t>
      </w:r>
      <w:r>
        <w:rPr>
          <w:rFonts w:ascii="Arial" w:cs="Arial" w:eastAsia="Arial" w:hAnsi="Arial"/>
          <w:sz w:val="18"/>
          <w:szCs w:val="18"/>
          <w:b w:val="1"/>
          <w:bCs w:val="1"/>
          <w:color w:val="auto"/>
        </w:rPr>
        <w:t xml:space="preserve"> </w:t>
      </w:r>
      <w:r>
        <w:rPr>
          <w:rFonts w:ascii="Arial" w:cs="Arial" w:eastAsia="Arial" w:hAnsi="Arial"/>
          <w:sz w:val="18"/>
          <w:szCs w:val="18"/>
          <w:color w:val="auto"/>
        </w:rPr>
        <w:t>effect, shall not constitute an option for the leasing of the Premises, nor confer any right or impose any obligations upon either party until execution of this Lease by both parties.</w:t>
      </w:r>
    </w:p>
    <w:p>
      <w:pPr>
        <w:spacing w:after="0" w:line="169" w:lineRule="exact"/>
        <w:rPr>
          <w:rFonts w:ascii="Arial" w:cs="Arial" w:eastAsia="Arial" w:hAnsi="Arial"/>
          <w:sz w:val="18"/>
          <w:szCs w:val="18"/>
          <w:color w:val="auto"/>
        </w:rPr>
      </w:pPr>
    </w:p>
    <w:p>
      <w:pPr>
        <w:jc w:val="both"/>
        <w:ind w:firstLine="885"/>
        <w:spacing w:after="0" w:line="241" w:lineRule="auto"/>
        <w:tabs>
          <w:tab w:leader="none" w:pos="2394"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9" w:lineRule="exact"/>
        <w:rPr>
          <w:rFonts w:ascii="Arial" w:cs="Arial" w:eastAsia="Arial" w:hAnsi="Arial"/>
          <w:sz w:val="18"/>
          <w:szCs w:val="18"/>
          <w:color w:val="auto"/>
        </w:rPr>
      </w:pPr>
    </w:p>
    <w:p>
      <w:pPr>
        <w:ind w:firstLine="885"/>
        <w:spacing w:after="0" w:line="271" w:lineRule="auto"/>
        <w:tabs>
          <w:tab w:leader="none" w:pos="2394"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the Premises are located, excluding any principles of conflicts of laws.</w:t>
      </w:r>
    </w:p>
    <w:p>
      <w:pPr>
        <w:spacing w:after="0" w:line="153" w:lineRule="exact"/>
        <w:rPr>
          <w:rFonts w:ascii="Arial" w:cs="Arial" w:eastAsia="Arial" w:hAnsi="Arial"/>
          <w:sz w:val="18"/>
          <w:szCs w:val="18"/>
          <w:color w:val="auto"/>
        </w:rPr>
      </w:pPr>
    </w:p>
    <w:p>
      <w:pPr>
        <w:ind w:left="2340" w:hanging="1455"/>
        <w:spacing w:after="0"/>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11" w:lineRule="exact"/>
        <w:rPr>
          <w:rFonts w:ascii="Arial" w:cs="Arial" w:eastAsia="Arial" w:hAnsi="Arial"/>
          <w:sz w:val="18"/>
          <w:szCs w:val="18"/>
          <w:color w:val="auto"/>
        </w:rPr>
      </w:pPr>
    </w:p>
    <w:p>
      <w:pPr>
        <w:jc w:val="both"/>
        <w:ind w:firstLine="885"/>
        <w:spacing w:after="0" w:line="241" w:lineRule="auto"/>
        <w:tabs>
          <w:tab w:leader="none" w:pos="2334"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all beneficial owners of Tenant, and Landlord are currently (a) in compliance with and shall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during the Term of 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ectPr>
          <w:pgSz w:w="11900" w:h="16838" w:orient="portrait"/>
          <w:cols w:equalWidth="0" w:num="1">
            <w:col w:w="11420"/>
          </w:cols>
          <w:pgMar w:left="240" w:top="115" w:right="239" w:bottom="1440" w:gutter="0" w:footer="0" w:header="0"/>
        </w:sectPr>
      </w:pPr>
    </w:p>
    <w:p>
      <w:pPr>
        <w:spacing w:after="0" w:line="197"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(k)</w:t>
      </w:r>
    </w:p>
    <w:p>
      <w:pPr>
        <w:spacing w:after="0" w:line="234" w:lineRule="auto"/>
        <w:rPr>
          <w:sz w:val="20"/>
          <w:szCs w:val="20"/>
          <w:color w:val="auto"/>
        </w:rPr>
      </w:pPr>
      <w:r>
        <w:rPr>
          <w:rFonts w:ascii="Arial" w:cs="Arial" w:eastAsia="Arial" w:hAnsi="Arial"/>
          <w:sz w:val="18"/>
          <w:szCs w:val="18"/>
          <w:color w:val="auto"/>
        </w:rPr>
        <w:t>and made a part 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firstLine="325"/>
        <w:spacing w:after="0" w:line="271" w:lineRule="auto"/>
        <w:rPr>
          <w:sz w:val="20"/>
          <w:szCs w:val="20"/>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If there is any conflict between such exhibits or addenda and the terms of this Lease, such exhibits or addenda shall</w:t>
      </w:r>
    </w:p>
    <w:p>
      <w:pPr>
        <w:spacing w:after="0" w:line="356" w:lineRule="exact"/>
        <w:rPr>
          <w:sz w:val="20"/>
          <w:szCs w:val="20"/>
          <w:color w:val="auto"/>
        </w:rPr>
      </w:pPr>
    </w:p>
    <w:p>
      <w:pPr>
        <w:sectPr>
          <w:pgSz w:w="11900" w:h="16838" w:orient="portrait"/>
          <w:cols w:equalWidth="0" w:num="2">
            <w:col w:w="1960" w:space="100"/>
            <w:col w:w="9360"/>
          </w:cols>
          <w:pgMar w:left="240" w:top="115" w:right="239" w:bottom="1440" w:gutter="0" w:footer="0" w:header="0"/>
          <w:type w:val="continuous"/>
        </w:sectPr>
      </w:pPr>
    </w:p>
    <w:p>
      <w:pPr>
        <w:jc w:val="both"/>
        <w:ind w:firstLine="885"/>
        <w:spacing w:after="0" w:line="244" w:lineRule="auto"/>
        <w:tabs>
          <w:tab w:leader="none" w:pos="2334"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Lease, including the exhibits attached hereto, constitutes the entire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76" w:lineRule="exact"/>
        <w:rPr>
          <w:rFonts w:ascii="Arial" w:cs="Arial" w:eastAsia="Arial" w:hAnsi="Arial"/>
          <w:sz w:val="18"/>
          <w:szCs w:val="18"/>
          <w:color w:val="auto"/>
        </w:rPr>
      </w:pPr>
    </w:p>
    <w:p>
      <w:pPr>
        <w:jc w:val="both"/>
        <w:ind w:firstLine="885"/>
        <w:spacing w:after="0" w:line="247" w:lineRule="auto"/>
        <w:tabs>
          <w:tab w:leader="none" w:pos="2444"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125095</wp:posOffset>
            </wp:positionV>
            <wp:extent cx="2426970" cy="411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89" w:name="page90"/>
    <w:bookmarkEnd w:id="89"/>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36</w:t>
      </w:r>
    </w:p>
    <w:p>
      <w:pPr>
        <w:spacing w:after="0" w:line="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satisfaction. Landlord may accept such check or payment without prejudice to Landlord’s right to recover the balance of such Rent or to pursue any other remedy provided in this Lease.</w:t>
      </w:r>
    </w:p>
    <w:p>
      <w:pPr>
        <w:spacing w:after="0" w:line="175" w:lineRule="exact"/>
        <w:rPr>
          <w:sz w:val="20"/>
          <w:szCs w:val="20"/>
          <w:color w:val="auto"/>
        </w:rPr>
      </w:pPr>
    </w:p>
    <w:p>
      <w:pPr>
        <w:jc w:val="both"/>
        <w:ind w:firstLine="885"/>
        <w:spacing w:after="0" w:line="237" w:lineRule="auto"/>
        <w:tabs>
          <w:tab w:leader="none" w:pos="239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Redevelopment of Project</w:t>
      </w:r>
      <w:r>
        <w:rPr>
          <w:rFonts w:ascii="Arial" w:cs="Arial" w:eastAsia="Arial" w:hAnsi="Arial"/>
          <w:sz w:val="18"/>
          <w:szCs w:val="18"/>
          <w:color w:val="auto"/>
        </w:rPr>
        <w:t>. Tenant acknowledges that Landlord, in its sole discretion, may,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 forth in the fourth sentence of </w:t>
      </w:r>
      <w:r>
        <w:rPr>
          <w:rFonts w:ascii="Arial" w:cs="Arial" w:eastAsia="Arial" w:hAnsi="Arial"/>
          <w:sz w:val="18"/>
          <w:szCs w:val="18"/>
          <w:u w:val="single" w:color="auto"/>
          <w:color w:val="auto"/>
        </w:rPr>
        <w:t>Section 1</w:t>
      </w:r>
      <w:r>
        <w:rPr>
          <w:rFonts w:ascii="Arial" w:cs="Arial" w:eastAsia="Arial" w:hAnsi="Arial"/>
          <w:sz w:val="18"/>
          <w:szCs w:val="18"/>
          <w:color w:val="auto"/>
        </w:rPr>
        <w:t>, from time to time expand, renovate and/or reconfigure the Project as the same may exist from time to time and, in connection therewith or in addition thereto, as the case may be, from time to time without limitation: (a) change the shape, size, location, number and/or extent of any improvements, buildings, structures, lobbies, hallways, entrances, exits, parking and/or parking areas relative to any portion of the Project; (b) modify, eliminate and/or add any buildings, improvements, and parking structure(s) either above or below grade, to the Project, the Common Areas and/or any other portion of the Project and/or make any other changes thereto affecting the same; and (c) make any other changes, additions and/or deletions in any way affecting the Project and/or any portion thereof as Landlord may elect from time to time, including without limitation, additions to and/or deletions from the land comprising the Project, the Common Areas and/or any other portion of the Project; provided, however, in no event may Landlord make any changes to the Building or, other than on a temporary basis, reduce the number of parking spaces available to Tenant. Notwithstanding anything to the contrary contained in this Lease, Tenant shall have no right to seek damages (including abatement of Rent) or to cancel or terminate this Lease because of any proposed changes, expansion, renovation or reconfiguration of the Project nor shall Tenant have the right to restrict, inhibit or prohibit any such changes, expansion, renovation or reconfiguration; provided, however, Landlord shall not change the size, dimensions, location or Tenant’s Permitted Use of the Premises.</w:t>
      </w:r>
    </w:p>
    <w:p>
      <w:pPr>
        <w:spacing w:after="0" w:line="190" w:lineRule="exact"/>
        <w:rPr>
          <w:rFonts w:ascii="Arial" w:cs="Arial" w:eastAsia="Arial" w:hAnsi="Arial"/>
          <w:sz w:val="18"/>
          <w:szCs w:val="18"/>
          <w:color w:val="auto"/>
        </w:rPr>
      </w:pPr>
    </w:p>
    <w:p>
      <w:pPr>
        <w:jc w:val="both"/>
        <w:ind w:firstLine="885"/>
        <w:spacing w:after="0" w:line="242" w:lineRule="auto"/>
        <w:tabs>
          <w:tab w:leader="none" w:pos="239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Discontinued Use</w:t>
      </w:r>
      <w:r>
        <w:rPr>
          <w:rFonts w:ascii="Arial" w:cs="Arial" w:eastAsia="Arial" w:hAnsi="Arial"/>
          <w:sz w:val="18"/>
          <w:szCs w:val="18"/>
          <w:color w:val="auto"/>
        </w:rPr>
        <w:t>. If, at any time following the Rent Commencement Date, Tenant does not continuously</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its business in the Premises for a period of 90 consecutive days, Landlord may, but is not obligated to, elect to terminate this Lease upon 30 days’ written notice to Tenant, whereupon this Lease shall terminate 30 days’ after Landlord’s delivery of such written notice (“</w:t>
      </w:r>
      <w:r>
        <w:rPr>
          <w:rFonts w:ascii="Arial" w:cs="Arial" w:eastAsia="Arial" w:hAnsi="Arial"/>
          <w:sz w:val="18"/>
          <w:szCs w:val="18"/>
          <w:b w:val="1"/>
          <w:bCs w:val="1"/>
          <w:color w:val="auto"/>
        </w:rPr>
        <w:t>Termination Date</w:t>
      </w:r>
      <w:r>
        <w:rPr>
          <w:rFonts w:ascii="Arial" w:cs="Arial" w:eastAsia="Arial" w:hAnsi="Arial"/>
          <w:sz w:val="18"/>
          <w:szCs w:val="18"/>
          <w:color w:val="auto"/>
        </w:rPr>
        <w:t>”), and Tenant shall vacate the Premises and deliver possession thereof to Landlord in the condition required by the terms of this Lease on or before the Termination Date and Tenant shall have no further obligations under this Lease except for those accruing prior to the Termination Date and those which, pursuant to the terms of the Lease, survive the expiration or early termination of the Lease.</w:t>
      </w:r>
    </w:p>
    <w:p>
      <w:pPr>
        <w:spacing w:after="0" w:line="179" w:lineRule="exact"/>
        <w:rPr>
          <w:rFonts w:ascii="Arial" w:cs="Arial" w:eastAsia="Arial" w:hAnsi="Arial"/>
          <w:sz w:val="18"/>
          <w:szCs w:val="18"/>
          <w:color w:val="auto"/>
        </w:rPr>
      </w:pPr>
    </w:p>
    <w:p>
      <w:pPr>
        <w:jc w:val="both"/>
        <w:ind w:firstLine="885"/>
        <w:spacing w:after="0" w:line="237" w:lineRule="auto"/>
        <w:tabs>
          <w:tab w:leader="none" w:pos="239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Alternative Premises</w:t>
      </w:r>
      <w:r>
        <w:rPr>
          <w:rFonts w:ascii="Arial" w:cs="Arial" w:eastAsia="Arial" w:hAnsi="Arial"/>
          <w:sz w:val="18"/>
          <w:szCs w:val="18"/>
          <w:color w:val="auto"/>
        </w:rPr>
        <w:t>. Commencing on the date that is 18 months prior to the expiration date of the Base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(the “</w:t>
      </w:r>
      <w:r>
        <w:rPr>
          <w:rFonts w:ascii="Arial" w:cs="Arial" w:eastAsia="Arial" w:hAnsi="Arial"/>
          <w:sz w:val="18"/>
          <w:szCs w:val="18"/>
          <w:b w:val="1"/>
          <w:bCs w:val="1"/>
          <w:color w:val="auto"/>
        </w:rPr>
        <w:t>Alternative Premises Commencement Date</w:t>
      </w:r>
      <w:r>
        <w:rPr>
          <w:rFonts w:ascii="Arial" w:cs="Arial" w:eastAsia="Arial" w:hAnsi="Arial"/>
          <w:sz w:val="18"/>
          <w:szCs w:val="18"/>
          <w:color w:val="auto"/>
        </w:rPr>
        <w:t>”), through the date that is 15 months prior to the expiration date of the Base Term of the Lease (the “</w:t>
      </w:r>
      <w:r>
        <w:rPr>
          <w:rFonts w:ascii="Arial" w:cs="Arial" w:eastAsia="Arial" w:hAnsi="Arial"/>
          <w:sz w:val="18"/>
          <w:szCs w:val="18"/>
          <w:b w:val="1"/>
          <w:bCs w:val="1"/>
          <w:color w:val="auto"/>
        </w:rPr>
        <w:t>Alternative Premises Expiration Date</w:t>
      </w:r>
      <w:r>
        <w:rPr>
          <w:rFonts w:ascii="Arial" w:cs="Arial" w:eastAsia="Arial" w:hAnsi="Arial"/>
          <w:sz w:val="18"/>
          <w:szCs w:val="18"/>
          <w:color w:val="auto"/>
        </w:rPr>
        <w:t>”), Landlord shall have the opportunity, if it so elects and without any obligation to do so, to offer one or more alternative premises for lease to Tenant which reasonably satisfies the premises being sought by Tenant following the expiration or earlier termination of the Base Term of this Lease for purposes of relocating the operations then being performed at the Building (“</w:t>
      </w:r>
      <w:r>
        <w:rPr>
          <w:rFonts w:ascii="Arial" w:cs="Arial" w:eastAsia="Arial" w:hAnsi="Arial"/>
          <w:sz w:val="18"/>
          <w:szCs w:val="18"/>
          <w:b w:val="1"/>
          <w:bCs w:val="1"/>
          <w:color w:val="auto"/>
        </w:rPr>
        <w:t>Alternative Premises</w:t>
      </w:r>
      <w:r>
        <w:rPr>
          <w:rFonts w:ascii="Arial" w:cs="Arial" w:eastAsia="Arial" w:hAnsi="Arial"/>
          <w:sz w:val="18"/>
          <w:szCs w:val="18"/>
          <w:color w:val="auto"/>
        </w:rPr>
        <w:t>”). Such Alternative Premises shall be offered, if at all, to Tenant at market terms and may be located at the Project or, if Landlord so elects, at another property in the San Diego area owned or controlled by an entity controlled by, under common control with, or controlling Landlord including, without limitation, any of the constituent members of Landlord or Alexandria Real Estate Equities, Inc. (any such entity, an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Alternatively, Landlord and/or any Affiliate, as the case may be, shall have the right, if it so elects and without any obligation to do so, to acquire a new project or redevelop any existing project it then owns to provide the Alternative Premises. Such new lease shall, if entered into, otherwise be upon terms and conditions acceptable to Landlord or Affiliate, as the case may be, and Tenant in their respective good faith sole discretion. Tenant agrees to evaluate any such offer by Landlord (or its Affiliate) in good faith, but shall have no obligation to enter into any such new lease. The provisions of this </w:t>
      </w:r>
      <w:r>
        <w:rPr>
          <w:rFonts w:ascii="Arial" w:cs="Arial" w:eastAsia="Arial" w:hAnsi="Arial"/>
          <w:sz w:val="18"/>
          <w:szCs w:val="18"/>
          <w:u w:val="single" w:color="auto"/>
          <w:color w:val="auto"/>
        </w:rPr>
        <w:t>Section 42(p)</w:t>
      </w:r>
      <w:r>
        <w:rPr>
          <w:rFonts w:ascii="Arial" w:cs="Arial" w:eastAsia="Arial" w:hAnsi="Arial"/>
          <w:sz w:val="18"/>
          <w:szCs w:val="18"/>
          <w:color w:val="auto"/>
        </w:rPr>
        <w:t xml:space="preserve"> shall only apply so long as ARE-SD Region No. 36, LLC, or an Affiliate is the owner of the Project. Further, the provisions of this </w:t>
      </w:r>
      <w:r>
        <w:rPr>
          <w:rFonts w:ascii="Arial" w:cs="Arial" w:eastAsia="Arial" w:hAnsi="Arial"/>
          <w:sz w:val="18"/>
          <w:szCs w:val="18"/>
          <w:u w:val="single" w:color="auto"/>
          <w:color w:val="auto"/>
        </w:rPr>
        <w:t>Section 42(p)</w:t>
      </w:r>
      <w:r>
        <w:rPr>
          <w:rFonts w:ascii="Arial" w:cs="Arial" w:eastAsia="Arial" w:hAnsi="Arial"/>
          <w:sz w:val="18"/>
          <w:szCs w:val="18"/>
          <w:color w:val="auto"/>
        </w:rPr>
        <w:t xml:space="preserve"> shall only apply so long as the original Tenant is the Tenant under this Lease and shall not apply following any assignment of the Lease by the original Tenant.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277495</wp:posOffset>
            </wp:positionV>
            <wp:extent cx="2426970"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tabs>
          <w:tab w:leader="none" w:pos="1480" w:val="left"/>
        </w:tabs>
        <w:rPr>
          <w:sz w:val="20"/>
          <w:szCs w:val="20"/>
          <w:color w:val="auto"/>
        </w:rPr>
      </w:pPr>
      <w:r>
        <w:rPr>
          <w:rFonts w:ascii="Arial" w:cs="Arial" w:eastAsia="Arial" w:hAnsi="Arial"/>
          <w:sz w:val="18"/>
          <w:szCs w:val="18"/>
          <w:b w:val="1"/>
          <w:bCs w:val="1"/>
          <w:color w:val="auto"/>
        </w:rPr>
        <w:t>Net Lease</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Landlord and Tenant have executed this Lease as of the day and year first above written.</w:t>
      </w: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TANDEM DIABETES CARE, INC.</w:t>
      </w:r>
      <w:r>
        <w:rPr>
          <w:rFonts w:ascii="Arial" w:cs="Arial" w:eastAsia="Arial" w:hAnsi="Arial"/>
          <w:sz w:val="18"/>
          <w:szCs w:val="18"/>
          <w:color w:val="auto"/>
        </w:rPr>
        <w:t>,</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Cajigas</w:t>
      </w:r>
    </w:p>
    <w:p>
      <w:pPr>
        <w:ind w:left="528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ARE-SD REGION NO. 36, LLC</w:t>
      </w:r>
      <w:r>
        <w:rPr>
          <w:rFonts w:ascii="Arial" w:cs="Arial" w:eastAsia="Arial" w:hAnsi="Arial"/>
          <w:sz w:val="18"/>
          <w:szCs w:val="18"/>
          <w:color w:val="auto"/>
        </w:rPr>
        <w:t>,</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0219"/>
          </w:cols>
          <w:pgMar w:left="240" w:top="118" w:right="1440" w:bottom="1440" w:gutter="0" w:footer="0" w:header="0"/>
        </w:sect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379"/>
        <w:spacing w:after="0"/>
        <w:rPr>
          <w:sz w:val="20"/>
          <w:szCs w:val="20"/>
          <w:color w:val="auto"/>
        </w:rPr>
      </w:pPr>
      <w:r>
        <w:rPr>
          <w:rFonts w:ascii="Arial" w:cs="Arial" w:eastAsia="Arial" w:hAnsi="Arial"/>
          <w:sz w:val="18"/>
          <w:szCs w:val="18"/>
          <w:color w:val="auto"/>
        </w:rPr>
        <w:t>ALEXANDRIA REAL ESTATE EQUITIES, L.P., a Delaware limited partnership, managing member</w:t>
      </w:r>
    </w:p>
    <w:p>
      <w:pPr>
        <w:spacing w:after="0" w:line="198" w:lineRule="exact"/>
        <w:rPr>
          <w:sz w:val="20"/>
          <w:szCs w:val="20"/>
          <w:color w:val="auto"/>
        </w:rPr>
      </w:pPr>
    </w:p>
    <w:p>
      <w:pPr>
        <w:sectPr>
          <w:pgSz w:w="11900" w:h="16838" w:orient="portrait"/>
          <w:cols w:equalWidth="0" w:num="2">
            <w:col w:w="5520" w:space="600"/>
            <w:col w:w="4099"/>
          </w:cols>
          <w:pgMar w:left="240" w:top="118" w:right="1440" w:bottom="1440" w:gutter="0" w:footer="0" w:header="0"/>
          <w:type w:val="continuous"/>
        </w:sectPr>
      </w:pPr>
    </w:p>
    <w:p>
      <w:pPr>
        <w:spacing w:after="0" w:line="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6420" w:space="600"/>
            <w:col w:w="3199"/>
          </w:cols>
          <w:pgMar w:left="240" w:top="118" w:right="1440" w:bottom="1440" w:gutter="0" w:footer="0" w:header="0"/>
          <w:type w:val="continuous"/>
        </w:sectPr>
      </w:pPr>
    </w:p>
    <w:p>
      <w:pPr>
        <w:spacing w:after="0" w:line="2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Gary Dean</w:t>
      </w:r>
    </w:p>
    <w:p>
      <w:pPr>
        <w:ind w:left="960"/>
        <w:spacing w:after="0"/>
        <w:rPr>
          <w:sz w:val="20"/>
          <w:szCs w:val="20"/>
          <w:color w:val="auto"/>
        </w:rPr>
      </w:pPr>
      <w:r>
        <w:rPr>
          <w:rFonts w:ascii="Arial" w:cs="Arial" w:eastAsia="Arial" w:hAnsi="Arial"/>
          <w:sz w:val="17"/>
          <w:szCs w:val="17"/>
          <w:color w:val="auto"/>
        </w:rPr>
        <w:t xml:space="preserve">Its: </w:t>
      </w:r>
      <w:r>
        <w:rPr>
          <w:rFonts w:ascii="Arial" w:cs="Arial" w:eastAsia="Arial" w:hAnsi="Arial"/>
          <w:sz w:val="17"/>
          <w:szCs w:val="17"/>
          <w:u w:val="single" w:color="auto"/>
          <w:color w:val="auto"/>
        </w:rPr>
        <w:t>Senior Vice President RE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553720</wp:posOffset>
            </wp:positionV>
            <wp:extent cx="2426970" cy="411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EXHIBIT A TO LEASE</w:t>
      </w:r>
    </w:p>
    <w:p>
      <w:pPr>
        <w:spacing w:after="0" w:line="190"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5528945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224790</wp:posOffset>
            </wp:positionV>
            <wp:extent cx="5883275" cy="5248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83275" cy="5248275"/>
                    </a:xfrm>
                    <a:prstGeom prst="rect">
                      <a:avLst/>
                    </a:prstGeom>
                    <a:noFill/>
                  </pic:spPr>
                </pic:pic>
              </a:graphicData>
            </a:graphic>
          </wp:anchor>
        </w:drawing>
      </w:r>
    </w:p>
    <w:p>
      <w:pPr>
        <w:sectPr>
          <w:pgSz w:w="11900" w:h="16838" w:orient="portrait"/>
          <w:cols w:equalWidth="0" w:num="1">
            <w:col w:w="9339"/>
          </w:cols>
          <w:pgMar w:left="1120" w:top="118" w:right="1440"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5459730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18415</wp:posOffset>
            </wp:positionV>
            <wp:extent cx="5883275" cy="5385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83275" cy="5385435"/>
                    </a:xfrm>
                    <a:prstGeom prst="rect">
                      <a:avLst/>
                    </a:prstGeom>
                    <a:noFill/>
                  </pic:spPr>
                </pic:pic>
              </a:graphicData>
            </a:graphic>
          </wp:anchor>
        </w:drawing>
      </w:r>
    </w:p>
    <w:p>
      <w:pPr>
        <w:sectPr>
          <w:pgSz w:w="11900" w:h="16838" w:orient="portrait"/>
          <w:cols w:equalWidth="0" w:num="1">
            <w:col w:w="9339"/>
          </w:cols>
          <w:pgMar w:left="1120" w:top="118" w:right="1440"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EXHIBIT B TO LEASE</w:t>
      </w:r>
    </w:p>
    <w:p>
      <w:pPr>
        <w:spacing w:after="0" w:line="190"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u w:val="single" w:color="auto"/>
          <w:color w:val="auto"/>
        </w:rPr>
        <w:t>DESCRIPTION OF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7355840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224790</wp:posOffset>
            </wp:positionV>
            <wp:extent cx="5883275" cy="70751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83275" cy="7075170"/>
                    </a:xfrm>
                    <a:prstGeom prst="rect">
                      <a:avLst/>
                    </a:prstGeom>
                    <a:noFill/>
                  </pic:spPr>
                </pic:pic>
              </a:graphicData>
            </a:graphic>
          </wp:anchor>
        </w:drawing>
      </w:r>
    </w:p>
    <w:p>
      <w:pPr>
        <w:sectPr>
          <w:pgSz w:w="11900" w:h="16838" w:orient="portrait"/>
          <w:cols w:equalWidth="0" w:num="1">
            <w:col w:w="9339"/>
          </w:cols>
          <w:pgMar w:left="1120" w:top="118"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b w:val="1"/>
                <w:bCs w:val="1"/>
                <w:color w:val="auto"/>
              </w:rPr>
              <w:t>Work Letter – Tenant Build</w:t>
            </w:r>
          </w:p>
        </w:tc>
        <w:tc>
          <w:tcPr>
            <w:tcW w:w="4040" w:type="dxa"/>
            <w:vAlign w:val="bottom"/>
            <w:gridSpan w:val="3"/>
          </w:tcPr>
          <w:p>
            <w:pPr>
              <w:ind w:left="32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tc>
      </w:tr>
      <w:tr>
        <w:trPr>
          <w:trHeight w:val="239"/>
        </w:trPr>
        <w:tc>
          <w:tcPr>
            <w:tcW w:w="2600" w:type="dxa"/>
            <w:vAlign w:val="bottom"/>
          </w:tcPr>
          <w:p>
            <w:pPr>
              <w:spacing w:after="0"/>
              <w:rPr>
                <w:sz w:val="20"/>
                <w:szCs w:val="20"/>
                <w:color w:val="auto"/>
              </w:rPr>
            </w:pPr>
          </w:p>
        </w:tc>
        <w:tc>
          <w:tcPr>
            <w:tcW w:w="4040" w:type="dxa"/>
            <w:vAlign w:val="bottom"/>
            <w:gridSpan w:val="3"/>
          </w:tcPr>
          <w:p>
            <w:pPr>
              <w:jc w:val="center"/>
              <w:ind w:left="2110"/>
              <w:spacing w:after="0"/>
              <w:rPr>
                <w:sz w:val="20"/>
                <w:szCs w:val="20"/>
                <w:color w:val="auto"/>
              </w:rPr>
            </w:pPr>
            <w:r>
              <w:rPr>
                <w:rFonts w:ascii="Arial" w:cs="Arial" w:eastAsia="Arial" w:hAnsi="Arial"/>
                <w:sz w:val="18"/>
                <w:szCs w:val="18"/>
                <w:b w:val="1"/>
                <w:bCs w:val="1"/>
                <w:color w:val="auto"/>
                <w:w w:val="99"/>
              </w:rPr>
              <w:t>EXHIBIT C TO LEASE</w:t>
            </w:r>
          </w:p>
        </w:tc>
      </w:tr>
      <w:tr>
        <w:trPr>
          <w:trHeight w:val="378"/>
        </w:trPr>
        <w:tc>
          <w:tcPr>
            <w:tcW w:w="2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WORK LETTER</w:t>
            </w:r>
          </w:p>
        </w:tc>
        <w:tc>
          <w:tcPr>
            <w:tcW w:w="260" w:type="dxa"/>
            <w:vAlign w:val="bottom"/>
          </w:tcPr>
          <w:p>
            <w:pPr>
              <w:spacing w:after="0"/>
              <w:rPr>
                <w:sz w:val="24"/>
                <w:szCs w:val="24"/>
                <w:color w:val="auto"/>
              </w:rPr>
            </w:pPr>
          </w:p>
        </w:tc>
      </w:tr>
    </w:tbl>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WORK LETTER (this "</w:t>
      </w:r>
      <w:r>
        <w:rPr>
          <w:rFonts w:ascii="Arial" w:cs="Arial" w:eastAsia="Arial" w:hAnsi="Arial"/>
          <w:sz w:val="18"/>
          <w:szCs w:val="18"/>
          <w:b w:val="1"/>
          <w:bCs w:val="1"/>
          <w:color w:val="auto"/>
        </w:rPr>
        <w:t>Work Letter</w:t>
      </w:r>
      <w:r>
        <w:rPr>
          <w:rFonts w:ascii="Arial" w:cs="Arial" w:eastAsia="Arial" w:hAnsi="Arial"/>
          <w:sz w:val="18"/>
          <w:szCs w:val="18"/>
          <w:color w:val="auto"/>
        </w:rPr>
        <w:t>") is incorporated into that certain Lease Agreement (the "</w:t>
      </w:r>
      <w:r>
        <w:rPr>
          <w:rFonts w:ascii="Arial" w:cs="Arial" w:eastAsia="Arial" w:hAnsi="Arial"/>
          <w:sz w:val="18"/>
          <w:szCs w:val="18"/>
          <w:b w:val="1"/>
          <w:bCs w:val="1"/>
          <w:color w:val="auto"/>
        </w:rPr>
        <w:t>Lease</w:t>
      </w:r>
      <w:r>
        <w:rPr>
          <w:rFonts w:ascii="Arial" w:cs="Arial" w:eastAsia="Arial" w:hAnsi="Arial"/>
          <w:sz w:val="18"/>
          <w:szCs w:val="18"/>
          <w:color w:val="auto"/>
        </w:rPr>
        <w:t>")  dated  as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 _____ by and between </w:t>
      </w:r>
      <w:r>
        <w:rPr>
          <w:rFonts w:ascii="Arial" w:cs="Arial" w:eastAsia="Arial" w:hAnsi="Arial"/>
          <w:sz w:val="18"/>
          <w:szCs w:val="18"/>
          <w:b w:val="1"/>
          <w:bCs w:val="1"/>
          <w:color w:val="auto"/>
        </w:rPr>
        <w:t>ARE-SD REGION NO. 36,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TANDEM</w:t>
      </w:r>
    </w:p>
    <w:p>
      <w:pPr>
        <w:spacing w:after="0" w:line="246" w:lineRule="auto"/>
        <w:rPr>
          <w:sz w:val="20"/>
          <w:szCs w:val="20"/>
          <w:color w:val="auto"/>
        </w:rPr>
      </w:pPr>
      <w:r>
        <w:rPr>
          <w:rFonts w:ascii="Arial" w:cs="Arial" w:eastAsia="Arial" w:hAnsi="Arial"/>
          <w:sz w:val="18"/>
          <w:szCs w:val="18"/>
          <w:b w:val="1"/>
          <w:bCs w:val="1"/>
          <w:color w:val="auto"/>
        </w:rPr>
        <w:t>DIABETES CARE,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Any initially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given them in the Lease.</w:t>
      </w:r>
    </w:p>
    <w:p>
      <w:pPr>
        <w:spacing w:after="0" w:line="175" w:lineRule="exact"/>
        <w:rPr>
          <w:sz w:val="20"/>
          <w:szCs w:val="20"/>
          <w:color w:val="auto"/>
        </w:rPr>
      </w:pPr>
    </w:p>
    <w:p>
      <w:pPr>
        <w:ind w:left="2340" w:hanging="1455"/>
        <w:spacing w:after="0"/>
        <w:tabs>
          <w:tab w:leader="none" w:pos="23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44" w:lineRule="auto"/>
        <w:tabs>
          <w:tab w:leader="none" w:pos="239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Tenant designates John Cajigas and Bret Henning (either such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acting alone, "</w:t>
      </w:r>
      <w:r>
        <w:rPr>
          <w:rFonts w:ascii="Arial" w:cs="Arial" w:eastAsia="Arial" w:hAnsi="Arial"/>
          <w:sz w:val="18"/>
          <w:szCs w:val="18"/>
          <w:b w:val="1"/>
          <w:bCs w:val="1"/>
          <w:color w:val="auto"/>
        </w:rPr>
        <w:t>Tenant's Representative</w:t>
      </w:r>
      <w:r>
        <w:rPr>
          <w:rFonts w:ascii="Arial" w:cs="Arial" w:eastAsia="Arial" w:hAnsi="Arial"/>
          <w:sz w:val="18"/>
          <w:szCs w:val="18"/>
          <w:color w:val="auto"/>
        </w:rPr>
        <w:t>") as the only persons authorized to act for Tenant pursuant to this Work Letter. Landlord shall not be obligated to respond to or act upon any 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Work Letter unless such Communication is in writing from Tenant's Representative. Tenant may change either Tenant's Representative at any time upon not less than 2 business days advance written notice to Landlord.</w:t>
      </w:r>
    </w:p>
    <w:p>
      <w:pPr>
        <w:spacing w:after="0" w:line="176" w:lineRule="exact"/>
        <w:rPr>
          <w:rFonts w:ascii="Arial" w:cs="Arial" w:eastAsia="Arial" w:hAnsi="Arial"/>
          <w:sz w:val="18"/>
          <w:szCs w:val="18"/>
          <w:color w:val="auto"/>
        </w:rPr>
      </w:pPr>
    </w:p>
    <w:p>
      <w:pPr>
        <w:jc w:val="both"/>
        <w:ind w:firstLine="885"/>
        <w:spacing w:after="0" w:line="244" w:lineRule="auto"/>
        <w:tabs>
          <w:tab w:leader="none" w:pos="239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Jenny Gardner and Eric Hedblad (either such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2 business days advance written notice to Tenant.</w:t>
      </w:r>
    </w:p>
    <w:p>
      <w:pPr>
        <w:spacing w:after="0" w:line="176" w:lineRule="exact"/>
        <w:rPr>
          <w:rFonts w:ascii="Arial" w:cs="Arial" w:eastAsia="Arial" w:hAnsi="Arial"/>
          <w:sz w:val="18"/>
          <w:szCs w:val="18"/>
          <w:color w:val="auto"/>
        </w:rPr>
      </w:pPr>
    </w:p>
    <w:p>
      <w:pPr>
        <w:jc w:val="both"/>
        <w:ind w:firstLine="885"/>
        <w:spacing w:after="0" w:line="244" w:lineRule="auto"/>
        <w:tabs>
          <w:tab w:leader="none" w:pos="238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xml:space="preserve">") for the Tenant Improvements (as defined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below), the general contractor and any subcontractors for the Tenant Improvements shall be selected by Tenant, subject to Landlord's approval, which approval shall not be unreasonably withheld, conditioned or delayed. Landlord shall be named a third party beneficiary of any contract entered into by Tenant with the TI Architect, any consultant, any contractor or any subcontractor, and of any warranty made by any contractor or any subcontractor.</w:t>
      </w:r>
    </w:p>
    <w:p>
      <w:pPr>
        <w:spacing w:after="0" w:line="177" w:lineRule="exact"/>
        <w:rPr>
          <w:sz w:val="20"/>
          <w:szCs w:val="20"/>
          <w:color w:val="auto"/>
        </w:rPr>
      </w:pPr>
    </w:p>
    <w:p>
      <w:pPr>
        <w:ind w:left="2340" w:hanging="1455"/>
        <w:spacing w:after="0"/>
        <w:tabs>
          <w:tab w:leader="none" w:pos="234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47" w:lineRule="auto"/>
        <w:tabs>
          <w:tab w:leader="none" w:pos="2394"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desired by Tenant of a fixed and permanent nature. Other than funding the TI Allowance (as defined below) as provided herein and the performance of Landlord’s Work pursuant to the terms of the Lease, Landlord shall not have any obligation whatsoever with respect to the finishing of the Premises for Tenant's use and occupancy.</w:t>
      </w:r>
    </w:p>
    <w:p>
      <w:pPr>
        <w:spacing w:after="0" w:line="174" w:lineRule="exact"/>
        <w:rPr>
          <w:rFonts w:ascii="Arial" w:cs="Arial" w:eastAsia="Arial" w:hAnsi="Arial"/>
          <w:sz w:val="18"/>
          <w:szCs w:val="18"/>
          <w:color w:val="auto"/>
        </w:rPr>
      </w:pPr>
    </w:p>
    <w:p>
      <w:pPr>
        <w:jc w:val="both"/>
        <w:ind w:firstLine="885"/>
        <w:spacing w:after="0" w:line="241" w:lineRule="auto"/>
        <w:tabs>
          <w:tab w:leader="none" w:pos="2394"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Tenant shall deliver to Landlord schematic drawings and outline specifications (the "</w:t>
      </w:r>
      <w:r>
        <w:rPr>
          <w:rFonts w:ascii="Arial" w:cs="Arial" w:eastAsia="Arial" w:hAnsi="Arial"/>
          <w:sz w:val="18"/>
          <w:szCs w:val="18"/>
          <w:b w:val="1"/>
          <w:bCs w:val="1"/>
          <w:color w:val="auto"/>
        </w:rPr>
        <w:t>TI Design Drawings</w:t>
      </w:r>
      <w:r>
        <w:rPr>
          <w:rFonts w:ascii="Arial" w:cs="Arial" w:eastAsia="Arial" w:hAnsi="Arial"/>
          <w:sz w:val="18"/>
          <w:szCs w:val="18"/>
          <w:color w:val="auto"/>
        </w:rPr>
        <w:t>") detailing Tenant's requirements for the Tenant Improvements. Not more than 5 business days thereafter,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Tenant the written objections, questions or comments of Landlord and the TI Architect with regard to the TI Design Drawings. Tenant shall cause the TI Design Drawings to be revised to address such written comments and shall resubmit said drawings to Landlord for approval within 5 business days thereafter. Such process shall continue until Landlord has approved the TI Design Drawings. If necessary or reasonably desirable during this process, Landlord shall make Landlord’s Representatives reasonably available to meet and confer with the Tenant Representatives or the TI Architect, or both, to resolve Landlord’s objections, questions and/or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128270</wp:posOffset>
            </wp:positionV>
            <wp:extent cx="2426970" cy="411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5" w:name="page96"/>
    <w:bookmarkEnd w:id="95"/>
    <w:p>
      <w:pPr>
        <w:spacing w:after="0"/>
        <w:tabs>
          <w:tab w:leader="none" w:pos="2900" w:val="left"/>
        </w:tabs>
        <w:rPr>
          <w:sz w:val="20"/>
          <w:szCs w:val="20"/>
          <w:color w:val="auto"/>
        </w:rPr>
      </w:pPr>
      <w:r>
        <w:rPr>
          <w:rFonts w:ascii="Arial" w:cs="Arial" w:eastAsia="Arial" w:hAnsi="Arial"/>
          <w:sz w:val="18"/>
          <w:szCs w:val="18"/>
          <w:b w:val="1"/>
          <w:bCs w:val="1"/>
          <w:color w:val="auto"/>
        </w:rPr>
        <w:t>Work Letter – Tenant Build</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w:t>
      </w:r>
    </w:p>
    <w:p>
      <w:pPr>
        <w:spacing w:after="0" w:line="19" w:lineRule="exact"/>
        <w:rPr>
          <w:sz w:val="20"/>
          <w:szCs w:val="20"/>
          <w:color w:val="auto"/>
        </w:rPr>
      </w:pPr>
    </w:p>
    <w:p>
      <w:pPr>
        <w:jc w:val="both"/>
        <w:ind w:firstLine="885"/>
        <w:spacing w:after="0" w:line="236" w:lineRule="auto"/>
        <w:tabs>
          <w:tab w:leader="none" w:pos="2384"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Within a reasonable period following the approval of the TI Design Drawings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cause the TI Architect to prepare and deliver to Landlord for review and comment construction plans, specifications and drawings for the Tenant Improvements ("</w:t>
      </w:r>
      <w:r>
        <w:rPr>
          <w:rFonts w:ascii="Arial" w:cs="Arial" w:eastAsia="Arial" w:hAnsi="Arial"/>
          <w:sz w:val="18"/>
          <w:szCs w:val="18"/>
          <w:b w:val="1"/>
          <w:bCs w:val="1"/>
          <w:color w:val="auto"/>
        </w:rPr>
        <w:t>TI Construction Drawings</w:t>
      </w:r>
      <w:r>
        <w:rPr>
          <w:rFonts w:ascii="Arial" w:cs="Arial" w:eastAsia="Arial" w:hAnsi="Arial"/>
          <w:sz w:val="18"/>
          <w:szCs w:val="18"/>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Landlord shall deliver its written comments on the TI Construction Drawings to Tenant not later than 5 business days after Landlord's receipt of the same; provided, however, that Landlord may not disapprove any matter that is consistent with the TI Design Drawings. Tenant and the TI Architect shall consider all such comments in good faith and shall, within 5 business days after receipt, notify Landlord how Tenant proposes to respond to such comments. Any disputes in connection with such comments shall be resolved in accordance with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hereof. Provided that the design reflected in the TI Construction Drawings is consistent with the TI Design Drawings, Landlord shall approve the TI Construction Drawings submitted by Tenant. Once approved by Landlord, subject to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 If necessary or reasonably desirable during this process, Landlord shall make Landlord’s Representatives reasonably available to meet and confer with Tenant’s Representatives or the TI Architect, or both, to resolve Landlord’s comments.</w:t>
      </w:r>
    </w:p>
    <w:p>
      <w:pPr>
        <w:spacing w:after="0" w:line="180" w:lineRule="exact"/>
        <w:rPr>
          <w:rFonts w:ascii="Arial" w:cs="Arial" w:eastAsia="Arial" w:hAnsi="Arial"/>
          <w:sz w:val="18"/>
          <w:szCs w:val="18"/>
          <w:color w:val="auto"/>
        </w:rPr>
      </w:pPr>
    </w:p>
    <w:p>
      <w:pPr>
        <w:jc w:val="both"/>
        <w:ind w:firstLine="885"/>
        <w:spacing w:after="0" w:line="241" w:lineRule="auto"/>
        <w:tabs>
          <w:tab w:leader="none" w:pos="2394"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Approval and Completion</w:t>
      </w:r>
      <w:r>
        <w:rPr>
          <w:rFonts w:ascii="Arial" w:cs="Arial" w:eastAsia="Arial" w:hAnsi="Arial"/>
          <w:sz w:val="18"/>
          <w:szCs w:val="18"/>
          <w:color w:val="auto"/>
        </w:rPr>
        <w:t>. If any dispute regarding the design of the Tenant Improvements is not settled within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79" w:lineRule="exact"/>
        <w:rPr>
          <w:sz w:val="20"/>
          <w:szCs w:val="20"/>
          <w:color w:val="auto"/>
        </w:rPr>
      </w:pPr>
    </w:p>
    <w:p>
      <w:pPr>
        <w:ind w:left="2340" w:hanging="1455"/>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Performance of the Tenant Improvements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39" w:lineRule="auto"/>
        <w:tabs>
          <w:tab w:leader="none" w:pos="2394"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Commencement and Permitting of the Tenant Improvements</w:t>
      </w:r>
      <w:r>
        <w:rPr>
          <w:rFonts w:ascii="Arial" w:cs="Arial" w:eastAsia="Arial" w:hAnsi="Arial"/>
          <w:sz w:val="18"/>
          <w:szCs w:val="18"/>
          <w:color w:val="auto"/>
        </w:rPr>
        <w:t>. Tenant shall commence construction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Improvements upon obtaining and delivering to Landlord a building permit (the "</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Landlord. The cost of obtaining the TI Permit shall be payable from the TI Fund.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84" w:lineRule="exact"/>
        <w:rPr>
          <w:rFonts w:ascii="Arial" w:cs="Arial" w:eastAsia="Arial" w:hAnsi="Arial"/>
          <w:sz w:val="18"/>
          <w:szCs w:val="18"/>
          <w:color w:val="auto"/>
        </w:rPr>
      </w:pPr>
    </w:p>
    <w:p>
      <w:pPr>
        <w:jc w:val="both"/>
        <w:ind w:firstLine="885"/>
        <w:spacing w:after="0" w:line="247" w:lineRule="auto"/>
        <w:tabs>
          <w:tab w:leader="none" w:pos="2394"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Selection of Materials, Etc</w:t>
      </w:r>
      <w:r>
        <w:rPr>
          <w:rFonts w:ascii="Arial" w:cs="Arial" w:eastAsia="Arial" w:hAnsi="Arial"/>
          <w:sz w:val="18"/>
          <w:szCs w:val="18"/>
          <w:color w:val="auto"/>
        </w:rPr>
        <w:t>. Where more than one type of material or structure is indicated on the TI</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Drawings approved by Tenant and Landlord, the option will be within Tenant's reasonable discretion if the matter concerns the Tenant Improvements, and within Landlord's reasonable discretion if the matter concerns the structural components of the Building or any Building system. In each case, materials shall be new unless otherwise specified in the TI Construction Drawings.</w:t>
      </w:r>
    </w:p>
    <w:p>
      <w:pPr>
        <w:spacing w:after="0" w:line="174" w:lineRule="exact"/>
        <w:rPr>
          <w:rFonts w:ascii="Arial" w:cs="Arial" w:eastAsia="Arial" w:hAnsi="Arial"/>
          <w:sz w:val="18"/>
          <w:szCs w:val="18"/>
          <w:color w:val="auto"/>
        </w:rPr>
      </w:pPr>
    </w:p>
    <w:p>
      <w:pPr>
        <w:ind w:left="2400" w:hanging="1515"/>
        <w:spacing w:after="0"/>
        <w:tabs>
          <w:tab w:leader="none" w:pos="24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Tenant Liability</w:t>
      </w:r>
      <w:r>
        <w:rPr>
          <w:rFonts w:ascii="Arial" w:cs="Arial" w:eastAsia="Arial" w:hAnsi="Arial"/>
          <w:sz w:val="18"/>
          <w:szCs w:val="18"/>
          <w:color w:val="auto"/>
        </w:rPr>
        <w:t>.   Tenant  shall  be  responsible  for  correcting  any  deficiencies  or  defects  in  the  Tenant</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Improvements.</w:t>
      </w:r>
    </w:p>
    <w:p>
      <w:pPr>
        <w:spacing w:after="0" w:line="189" w:lineRule="exact"/>
        <w:rPr>
          <w:rFonts w:ascii="Arial" w:cs="Arial" w:eastAsia="Arial" w:hAnsi="Arial"/>
          <w:sz w:val="18"/>
          <w:szCs w:val="18"/>
          <w:color w:val="auto"/>
        </w:rPr>
      </w:pPr>
    </w:p>
    <w:p>
      <w:pPr>
        <w:ind w:firstLine="885"/>
        <w:spacing w:after="0" w:line="271" w:lineRule="auto"/>
        <w:tabs>
          <w:tab w:leader="none" w:pos="2394"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Substantial Completion</w:t>
      </w:r>
      <w:r>
        <w:rPr>
          <w:rFonts w:ascii="Arial" w:cs="Arial" w:eastAsia="Arial" w:hAnsi="Arial"/>
          <w:sz w:val="18"/>
          <w:szCs w:val="18"/>
          <w:color w:val="auto"/>
        </w:rPr>
        <w:t>. Tenant shall substantially complete or cause to be substantially completed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a good and workmanlike manner, in accordance with the TI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112395</wp:posOffset>
            </wp:positionV>
            <wp:extent cx="2426970" cy="411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6" w:name="page97"/>
    <w:bookmarkEnd w:id="96"/>
    <w:p>
      <w:pPr>
        <w:spacing w:after="0"/>
        <w:tabs>
          <w:tab w:leader="none" w:pos="2900" w:val="left"/>
        </w:tabs>
        <w:rPr>
          <w:sz w:val="20"/>
          <w:szCs w:val="20"/>
          <w:color w:val="auto"/>
        </w:rPr>
      </w:pPr>
      <w:r>
        <w:rPr>
          <w:rFonts w:ascii="Arial" w:cs="Arial" w:eastAsia="Arial" w:hAnsi="Arial"/>
          <w:sz w:val="18"/>
          <w:szCs w:val="18"/>
          <w:b w:val="1"/>
          <w:bCs w:val="1"/>
          <w:color w:val="auto"/>
        </w:rPr>
        <w:t>Work Letter – Tenant Build</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3</w:t>
      </w:r>
    </w:p>
    <w:p>
      <w:pPr>
        <w:spacing w:after="0" w:line="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subject, in each case, to Minor Variations and normal "punch list" items of a non-material nature which do not interfere with the use of the Premises ("</w:t>
      </w:r>
      <w:r>
        <w:rPr>
          <w:rFonts w:ascii="Arial" w:cs="Arial" w:eastAsia="Arial" w:hAnsi="Arial"/>
          <w:sz w:val="18"/>
          <w:szCs w:val="18"/>
          <w:b w:val="1"/>
          <w:bCs w:val="1"/>
          <w:color w:val="auto"/>
        </w:rPr>
        <w:t>Substantial Completion</w:t>
      </w:r>
      <w:r>
        <w:rPr>
          <w:rFonts w:ascii="Arial" w:cs="Arial" w:eastAsia="Arial" w:hAnsi="Arial"/>
          <w:sz w:val="18"/>
          <w:szCs w:val="18"/>
          <w:color w:val="auto"/>
        </w:rPr>
        <w:t>" or "</w:t>
      </w:r>
      <w:r>
        <w:rPr>
          <w:rFonts w:ascii="Arial" w:cs="Arial" w:eastAsia="Arial" w:hAnsi="Arial"/>
          <w:sz w:val="18"/>
          <w:szCs w:val="18"/>
          <w:b w:val="1"/>
          <w:bCs w:val="1"/>
          <w:color w:val="auto"/>
        </w:rPr>
        <w:t>Substantially Complete</w:t>
      </w:r>
      <w:r>
        <w:rPr>
          <w:rFonts w:ascii="Arial" w:cs="Arial" w:eastAsia="Arial" w:hAnsi="Arial"/>
          <w:sz w:val="18"/>
          <w:szCs w:val="18"/>
          <w:color w:val="auto"/>
        </w:rPr>
        <w:t>"). Upon Substantial Completion of the Tenant Improvements, Tenant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8"/>
          <w:szCs w:val="18"/>
          <w:b w:val="1"/>
          <w:bCs w:val="1"/>
          <w:color w:val="auto"/>
        </w:rPr>
        <w:t>AIA</w:t>
      </w:r>
      <w:r>
        <w:rPr>
          <w:rFonts w:ascii="Arial" w:cs="Arial" w:eastAsia="Arial" w:hAnsi="Arial"/>
          <w:sz w:val="18"/>
          <w:szCs w:val="18"/>
          <w:color w:val="auto"/>
        </w:rPr>
        <w:t>") document G704. For purposes of this Work Letter, "</w:t>
      </w:r>
      <w:r>
        <w:rPr>
          <w:rFonts w:ascii="Arial" w:cs="Arial" w:eastAsia="Arial" w:hAnsi="Arial"/>
          <w:sz w:val="18"/>
          <w:szCs w:val="18"/>
          <w:b w:val="1"/>
          <w:bCs w:val="1"/>
          <w:color w:val="auto"/>
        </w:rPr>
        <w:t>Minor Variations</w:t>
      </w:r>
      <w:r>
        <w:rPr>
          <w:rFonts w:ascii="Arial" w:cs="Arial" w:eastAsia="Arial" w:hAnsi="Arial"/>
          <w:sz w:val="18"/>
          <w:szCs w:val="18"/>
          <w:color w:val="auto"/>
        </w:rPr>
        <w:t>" shall mean any modifications reasonably required: (i) to comply with all applicable Legal Requirements and/or to obtain or to comply with any required permit (including the TI Permit); (ii) to comport with good design, engineering, and construction practices which are not material; or (iii) to make reasonable adjustments for field deviations or conditions encountered during the construction of the Tenant Improvements.</w:t>
      </w:r>
    </w:p>
    <w:p>
      <w:pPr>
        <w:spacing w:after="0" w:line="181" w:lineRule="exact"/>
        <w:rPr>
          <w:sz w:val="20"/>
          <w:szCs w:val="20"/>
          <w:color w:val="auto"/>
        </w:rPr>
      </w:pPr>
    </w:p>
    <w:p>
      <w:pPr>
        <w:jc w:val="both"/>
        <w:ind w:firstLine="885"/>
        <w:spacing w:after="0" w:line="253" w:lineRule="auto"/>
        <w:tabs>
          <w:tab w:leader="none" w:pos="2324"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of the TI Design Drawings,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which approval shall not be unreasonably withheld, conditioned or delayed.</w:t>
      </w:r>
    </w:p>
    <w:p>
      <w:pPr>
        <w:spacing w:after="0" w:line="169" w:lineRule="exact"/>
        <w:rPr>
          <w:sz w:val="20"/>
          <w:szCs w:val="20"/>
          <w:color w:val="auto"/>
        </w:rPr>
      </w:pPr>
    </w:p>
    <w:p>
      <w:pPr>
        <w:jc w:val="both"/>
        <w:ind w:firstLine="885"/>
        <w:spacing w:after="0" w:line="244" w:lineRule="auto"/>
        <w:tabs>
          <w:tab w:leader="none" w:pos="2394"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Tenant's Right to Request Changes</w:t>
      </w:r>
      <w:r>
        <w:rPr>
          <w:rFonts w:ascii="Arial" w:cs="Arial" w:eastAsia="Arial" w:hAnsi="Arial"/>
          <w:sz w:val="18"/>
          <w:szCs w:val="18"/>
          <w:color w:val="auto"/>
        </w:rPr>
        <w:t>. If Tenant shall request changes ("</w:t>
      </w:r>
      <w:r>
        <w:rPr>
          <w:rFonts w:ascii="Arial" w:cs="Arial" w:eastAsia="Arial" w:hAnsi="Arial"/>
          <w:sz w:val="18"/>
          <w:szCs w:val="18"/>
          <w:b w:val="1"/>
          <w:bCs w:val="1"/>
          <w:color w:val="auto"/>
        </w:rPr>
        <w:t>Changes</w:t>
      </w:r>
      <w:r>
        <w:rPr>
          <w:rFonts w:ascii="Arial" w:cs="Arial" w:eastAsia="Arial" w:hAnsi="Arial"/>
          <w:sz w:val="18"/>
          <w:szCs w:val="18"/>
          <w:color w:val="auto"/>
        </w:rPr>
        <w:t>"), Tenant shall request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by notifying Landlord in writing in substantially the same form as the AIA standard change order form (a "</w:t>
      </w:r>
      <w:r>
        <w:rPr>
          <w:rFonts w:ascii="Arial" w:cs="Arial" w:eastAsia="Arial" w:hAnsi="Arial"/>
          <w:sz w:val="18"/>
          <w:szCs w:val="18"/>
          <w:b w:val="1"/>
          <w:bCs w:val="1"/>
          <w:color w:val="auto"/>
        </w:rPr>
        <w:t>Change Request</w:t>
      </w:r>
      <w:r>
        <w:rPr>
          <w:rFonts w:ascii="Arial" w:cs="Arial" w:eastAsia="Arial" w:hAnsi="Arial"/>
          <w:sz w:val="18"/>
          <w:szCs w:val="18"/>
          <w:color w:val="auto"/>
        </w:rPr>
        <w:t>"), which Change Request shall detail the nature and extent of any such Change. Such Change Request must be signed by Tenant's Representative. Landlord shall review and approve or disapprove such Change Request within 10 business days thereafter, provided that Landlord's approval shall not be unreasonably withheld, conditioned or delayed.</w:t>
      </w:r>
    </w:p>
    <w:p>
      <w:pPr>
        <w:spacing w:after="0" w:line="176" w:lineRule="exact"/>
        <w:rPr>
          <w:rFonts w:ascii="Arial" w:cs="Arial" w:eastAsia="Arial" w:hAnsi="Arial"/>
          <w:sz w:val="18"/>
          <w:szCs w:val="18"/>
          <w:color w:val="auto"/>
        </w:rPr>
      </w:pPr>
    </w:p>
    <w:p>
      <w:pPr>
        <w:jc w:val="both"/>
        <w:ind w:firstLine="885"/>
        <w:spacing w:after="0" w:line="253" w:lineRule="auto"/>
        <w:tabs>
          <w:tab w:leader="none" w:pos="2394"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Landlord approves such Change, Tenant may cause the approved Change to</w:t>
      </w:r>
      <w:r>
        <w:rPr>
          <w:rFonts w:ascii="Arial" w:cs="Arial" w:eastAsia="Arial" w:hAnsi="Arial"/>
          <w:sz w:val="18"/>
          <w:szCs w:val="18"/>
          <w:b w:val="1"/>
          <w:bCs w:val="1"/>
          <w:color w:val="auto"/>
        </w:rPr>
        <w:t xml:space="preserve"> </w:t>
      </w:r>
      <w:r>
        <w:rPr>
          <w:rFonts w:ascii="Arial" w:cs="Arial" w:eastAsia="Arial" w:hAnsi="Arial"/>
          <w:sz w:val="18"/>
          <w:szCs w:val="18"/>
          <w:color w:val="auto"/>
        </w:rPr>
        <w:t>be instituted. If any TI Permit modification or change is required as a result of such Change, Tenant shall provide Landlord with a copy of such TI Permit modification or change promptly upon receipt by Tenant.</w:t>
      </w:r>
    </w:p>
    <w:p>
      <w:pPr>
        <w:spacing w:after="0" w:line="169" w:lineRule="exact"/>
        <w:rPr>
          <w:sz w:val="20"/>
          <w:szCs w:val="20"/>
          <w:color w:val="auto"/>
        </w:rPr>
      </w:pPr>
    </w:p>
    <w:p>
      <w:pPr>
        <w:ind w:left="2340" w:hanging="1455"/>
        <w:spacing w:after="0"/>
        <w:tabs>
          <w:tab w:leader="none" w:pos="234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12" w:lineRule="exact"/>
        <w:rPr>
          <w:sz w:val="20"/>
          <w:szCs w:val="20"/>
          <w:color w:val="auto"/>
        </w:rPr>
      </w:pPr>
    </w:p>
    <w:p>
      <w:pPr>
        <w:jc w:val="both"/>
        <w:ind w:firstLine="885"/>
        <w:spacing w:after="0" w:line="239" w:lineRule="auto"/>
        <w:tabs>
          <w:tab w:leader="none" w:pos="2394"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obtain a detailed breakdown, by trade, of the costs incurred or that will be incurred, in connection with the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and deliver a copy of the Budget to Landlord for Landlord's approval, which shall not be unreasonably withheld or delayed. The Budget shall be based upon the TI Construction Drawings approved by Landlord. The Budget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equal to 1% of the TI Costs (as hereinafter defined) for monitoring and inspecting the construction of the Tenant Improvements, which sum shall be payable from the TI Fund, but which amount, as disbursed, shall not bear interest. Such Administrative Rent shall include, without limitation, all reasonable out-of-pocket costs, expenses and fees incurred by or on behalf of Landlord arising from, out of, or in connection with, such monitoring of the construction of the Tenant Improvements, and shall be payable out of the TI Fund.</w:t>
      </w:r>
    </w:p>
    <w:p>
      <w:pPr>
        <w:spacing w:after="0" w:line="184" w:lineRule="exact"/>
        <w:rPr>
          <w:rFonts w:ascii="Arial" w:cs="Arial" w:eastAsia="Arial" w:hAnsi="Arial"/>
          <w:sz w:val="18"/>
          <w:szCs w:val="18"/>
          <w:color w:val="auto"/>
        </w:rPr>
      </w:pPr>
    </w:p>
    <w:p>
      <w:pPr>
        <w:jc w:val="both"/>
        <w:ind w:firstLine="885"/>
        <w:spacing w:after="0" w:line="242" w:lineRule="auto"/>
        <w:tabs>
          <w:tab w:leader="none" w:pos="2394"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w:t>
      </w:r>
      <w:r>
        <w:rPr>
          <w:rFonts w:ascii="Arial" w:cs="Arial" w:eastAsia="Arial" w:hAnsi="Arial"/>
          <w:sz w:val="18"/>
          <w:szCs w:val="18"/>
          <w:b w:val="1"/>
          <w:bCs w:val="1"/>
          <w:color w:val="auto"/>
        </w:rPr>
        <w:t>TI Allowance</w:t>
      </w:r>
      <w:r>
        <w:rPr>
          <w:rFonts w:ascii="Arial" w:cs="Arial" w:eastAsia="Arial" w:hAnsi="Arial"/>
          <w:sz w:val="18"/>
          <w:szCs w:val="18"/>
          <w:color w:val="auto"/>
        </w:rPr>
        <w:t>") of $70.00 per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rentable square foot of the Premises, or $3,421,600 in the aggregate, which shall, to the extent used, result in TI Rent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of the Lease. Within 60 days after the mutual execution and delivery of the Lease by the parties, Tenant shall notify Landlord how much of the TI Allowance Tenant has elected to receive from Landlord. Such election shall be final and binding on Tenant, and may not thereafter be modified without Landlord's consent, which may be granted or withheld in Landlord's sole and absolute subjective discretion. The TI Allowance shall be disbursed in accordance with this Work Letter.</w:t>
      </w:r>
    </w:p>
    <w:p>
      <w:pPr>
        <w:spacing w:after="0" w:line="201"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 xml:space="preserve">Tenant shall have no right to the use or benefit (including any reduction to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spacing w:after="0"/>
        <w:tabs>
          <w:tab w:leader="none" w:pos="2900" w:val="left"/>
        </w:tabs>
        <w:rPr>
          <w:sz w:val="20"/>
          <w:szCs w:val="20"/>
          <w:color w:val="auto"/>
        </w:rPr>
      </w:pPr>
      <w:r>
        <w:rPr>
          <w:rFonts w:ascii="Arial" w:cs="Arial" w:eastAsia="Arial" w:hAnsi="Arial"/>
          <w:sz w:val="18"/>
          <w:szCs w:val="18"/>
          <w:b w:val="1"/>
          <w:bCs w:val="1"/>
          <w:color w:val="auto"/>
        </w:rPr>
        <w:t>Work Letter – Tenant Build</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4</w:t>
      </w:r>
    </w:p>
    <w:p>
      <w:pPr>
        <w:spacing w:after="0" w:line="1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shall have no right to any portion of the TI Allowance elected to be used by Tenant that is not disbursed before the last day of the month that is 12 months after the Commencement Date.</w:t>
      </w:r>
    </w:p>
    <w:p>
      <w:pPr>
        <w:spacing w:after="0" w:line="175" w:lineRule="exact"/>
        <w:rPr>
          <w:sz w:val="20"/>
          <w:szCs w:val="20"/>
          <w:color w:val="auto"/>
        </w:rPr>
      </w:pPr>
    </w:p>
    <w:p>
      <w:pPr>
        <w:jc w:val="both"/>
        <w:ind w:firstLine="885"/>
        <w:spacing w:after="0" w:line="241" w:lineRule="auto"/>
        <w:tabs>
          <w:tab w:leader="none" w:pos="2384"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Costs Includable in TI Fund</w:t>
      </w:r>
      <w:r>
        <w:rPr>
          <w:rFonts w:ascii="Arial" w:cs="Arial" w:eastAsia="Arial" w:hAnsi="Arial"/>
          <w:sz w:val="18"/>
          <w:szCs w:val="18"/>
          <w:color w:val="auto"/>
        </w:rPr>
        <w:t>. The TI Fund shall be used solely for the payment of design, engineering,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construction costs in connection with the construction of the Tenant Improvements, including, without limitation, the cost of electrical power and other utilities used in connection with the construction of the Tenant Improvements, the cost of preparing the TI Design Drawings and the TI Construction Drawings, all costs set forth in the Budget, including Landlord's Administrative Rent, and the cost of Changes (collectively, "</w:t>
      </w:r>
      <w:r>
        <w:rPr>
          <w:rFonts w:ascii="Arial" w:cs="Arial" w:eastAsia="Arial" w:hAnsi="Arial"/>
          <w:sz w:val="18"/>
          <w:szCs w:val="18"/>
          <w:b w:val="1"/>
          <w:bCs w:val="1"/>
          <w:color w:val="auto"/>
        </w:rPr>
        <w:t>TI</w:t>
      </w:r>
      <w:r>
        <w:rPr>
          <w:rFonts w:ascii="Arial" w:cs="Arial" w:eastAsia="Arial" w:hAnsi="Arial"/>
          <w:sz w:val="18"/>
          <w:szCs w:val="18"/>
          <w:color w:val="auto"/>
        </w:rPr>
        <w:t xml:space="preserve"> </w:t>
      </w:r>
      <w:r>
        <w:rPr>
          <w:rFonts w:ascii="Arial" w:cs="Arial" w:eastAsia="Arial" w:hAnsi="Arial"/>
          <w:sz w:val="18"/>
          <w:szCs w:val="18"/>
          <w:b w:val="1"/>
          <w:bCs w:val="1"/>
          <w:color w:val="auto"/>
        </w:rPr>
        <w:t>Costs</w:t>
      </w:r>
      <w:r>
        <w:rPr>
          <w:rFonts w:ascii="Arial" w:cs="Arial" w:eastAsia="Arial" w:hAnsi="Arial"/>
          <w:sz w:val="18"/>
          <w:szCs w:val="18"/>
          <w:color w:val="auto"/>
        </w:rPr>
        <w:t>"). Notwithstanding anything to the contrary contained herein, the TI Fund shall not be used to purchase any furniture, personal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non-Building system materials or equipment, including, but not be limited to, Tenant's voice or data cabling, non-ducted biological safety cabinets and other scientific equipment not incorporated into the Tenant Improvements.</w:t>
      </w:r>
    </w:p>
    <w:p>
      <w:pPr>
        <w:spacing w:after="0" w:line="179" w:lineRule="exact"/>
        <w:rPr>
          <w:rFonts w:ascii="Arial" w:cs="Arial" w:eastAsia="Arial" w:hAnsi="Arial"/>
          <w:sz w:val="18"/>
          <w:szCs w:val="18"/>
          <w:color w:val="auto"/>
        </w:rPr>
      </w:pPr>
    </w:p>
    <w:p>
      <w:pPr>
        <w:jc w:val="both"/>
        <w:ind w:firstLine="885"/>
        <w:spacing w:after="0" w:line="239" w:lineRule="auto"/>
        <w:tabs>
          <w:tab w:leader="none" w:pos="2394"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Excess TI Costs</w:t>
      </w:r>
      <w:r>
        <w:rPr>
          <w:rFonts w:ascii="Arial" w:cs="Arial" w:eastAsia="Arial" w:hAnsi="Arial"/>
          <w:sz w:val="18"/>
          <w:szCs w:val="18"/>
          <w:color w:val="auto"/>
        </w:rPr>
        <w:t>. Landlord shall have no obligation to bear any portion of the cost of any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except to the extent of the TI Allowance which Tenant elects to use. If at any time and from time-to-time, the remaining TI Costs under the Budget exceed the remaining unexpended TI Allowance (“</w:t>
      </w:r>
      <w:r>
        <w:rPr>
          <w:rFonts w:ascii="Arial" w:cs="Arial" w:eastAsia="Arial" w:hAnsi="Arial"/>
          <w:sz w:val="18"/>
          <w:szCs w:val="18"/>
          <w:b w:val="1"/>
          <w:bCs w:val="1"/>
          <w:color w:val="auto"/>
        </w:rPr>
        <w:t>Excess TI Costs</w:t>
      </w:r>
      <w:r>
        <w:rPr>
          <w:rFonts w:ascii="Arial" w:cs="Arial" w:eastAsia="Arial" w:hAnsi="Arial"/>
          <w:sz w:val="18"/>
          <w:szCs w:val="18"/>
          <w:color w:val="auto"/>
        </w:rPr>
        <w:t>”), monthly disbursements of the TI Allowance shall be made in the proportion that the remaining TI Allowance bears to the outstanding TI Costs under the Budget, and Tenant shall fund the balance of each such monthly draw. For purposes of any litigation instituted with regard to such amounts, those amounts will be deemed Rent under the Lease. The TI Allowance and Excess TI Costs is herein referred to as the "</w:t>
      </w:r>
      <w:r>
        <w:rPr>
          <w:rFonts w:ascii="Arial" w:cs="Arial" w:eastAsia="Arial" w:hAnsi="Arial"/>
          <w:sz w:val="18"/>
          <w:szCs w:val="18"/>
          <w:b w:val="1"/>
          <w:bCs w:val="1"/>
          <w:color w:val="auto"/>
        </w:rPr>
        <w:t>TI Fund</w:t>
      </w:r>
      <w:r>
        <w:rPr>
          <w:rFonts w:ascii="Arial" w:cs="Arial" w:eastAsia="Arial" w:hAnsi="Arial"/>
          <w:sz w:val="18"/>
          <w:szCs w:val="18"/>
          <w:color w:val="auto"/>
        </w:rPr>
        <w:t xml:space="preserve">." Funds deposited by Tenant shall be the first thereafter disbursed to pay TI Costs. Notwithstanding anything to the contrary set forth in this </w:t>
      </w:r>
      <w:r>
        <w:rPr>
          <w:rFonts w:ascii="Arial" w:cs="Arial" w:eastAsia="Arial" w:hAnsi="Arial"/>
          <w:sz w:val="18"/>
          <w:szCs w:val="18"/>
          <w:u w:val="single" w:color="auto"/>
          <w:color w:val="auto"/>
        </w:rPr>
        <w:t>Section 5(d)</w:t>
      </w:r>
      <w:r>
        <w:rPr>
          <w:rFonts w:ascii="Arial" w:cs="Arial" w:eastAsia="Arial" w:hAnsi="Arial"/>
          <w:sz w:val="18"/>
          <w:szCs w:val="18"/>
          <w:color w:val="auto"/>
        </w:rPr>
        <w:t>, Tenant shall be fully and solely liable for TI Costs and the cost of Minor Variations in excess of the TI Allowance. If upon Substantial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pacing w:after="0" w:line="180" w:lineRule="exact"/>
        <w:rPr>
          <w:rFonts w:ascii="Arial" w:cs="Arial" w:eastAsia="Arial" w:hAnsi="Arial"/>
          <w:sz w:val="18"/>
          <w:szCs w:val="18"/>
          <w:color w:val="auto"/>
        </w:rPr>
      </w:pPr>
    </w:p>
    <w:p>
      <w:pPr>
        <w:jc w:val="both"/>
        <w:ind w:firstLine="885"/>
        <w:spacing w:after="0" w:line="239" w:lineRule="auto"/>
        <w:tabs>
          <w:tab w:leader="none" w:pos="2394"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Payment for TI Costs</w:t>
      </w:r>
      <w:r>
        <w:rPr>
          <w:rFonts w:ascii="Arial" w:cs="Arial" w:eastAsia="Arial" w:hAnsi="Arial"/>
          <w:sz w:val="18"/>
          <w:szCs w:val="18"/>
          <w:color w:val="auto"/>
        </w:rPr>
        <w:t>. During the course of design and construction of the Tenant Improvements,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reimburse Tenant for TI Costs once a month against a draw request in Landlord's standard form, containing evidence of payment of such TI Costs by Tenant and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TI Fund),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w:t>
      </w:r>
    </w:p>
    <w:p>
      <w:pPr>
        <w:spacing w:after="0" w:line="181" w:lineRule="exact"/>
        <w:rPr>
          <w:sz w:val="20"/>
          <w:szCs w:val="20"/>
          <w:color w:val="auto"/>
        </w:rPr>
      </w:pPr>
    </w:p>
    <w:p>
      <w:pPr>
        <w:ind w:left="2340" w:hanging="1455"/>
        <w:spacing w:after="0"/>
        <w:tabs>
          <w:tab w:leader="none" w:pos="234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ind w:firstLine="885"/>
        <w:spacing w:after="0" w:line="271" w:lineRule="auto"/>
        <w:tabs>
          <w:tab w:leader="none" w:pos="239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withhold, condition or delay such consent or approval, except as may be expressly set forth herein to the contrary.</w:t>
      </w:r>
    </w:p>
    <w:p>
      <w:pPr>
        <w:spacing w:after="0" w:line="153" w:lineRule="exact"/>
        <w:rPr>
          <w:rFonts w:ascii="Arial" w:cs="Arial" w:eastAsia="Arial" w:hAnsi="Arial"/>
          <w:sz w:val="18"/>
          <w:szCs w:val="18"/>
          <w:color w:val="auto"/>
        </w:rPr>
      </w:pPr>
    </w:p>
    <w:p>
      <w:pPr>
        <w:ind w:right="20" w:firstLine="885"/>
        <w:spacing w:after="0" w:line="271" w:lineRule="auto"/>
        <w:tabs>
          <w:tab w:leader="none" w:pos="239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Landlord or Tenant unless in writing signed by Landlord and Tenant.</w:t>
      </w:r>
    </w:p>
    <w:p>
      <w:pPr>
        <w:spacing w:after="0" w:line="153" w:lineRule="exact"/>
        <w:rPr>
          <w:rFonts w:ascii="Arial" w:cs="Arial" w:eastAsia="Arial" w:hAnsi="Arial"/>
          <w:sz w:val="18"/>
          <w:szCs w:val="18"/>
          <w:color w:val="auto"/>
        </w:rPr>
      </w:pPr>
    </w:p>
    <w:p>
      <w:pPr>
        <w:ind w:firstLine="885"/>
        <w:spacing w:after="0" w:line="271" w:lineRule="auto"/>
        <w:tabs>
          <w:tab w:leader="none" w:pos="238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No Default Funding</w:t>
      </w:r>
      <w:r>
        <w:rPr>
          <w:rFonts w:ascii="Arial" w:cs="Arial" w:eastAsia="Arial" w:hAnsi="Arial"/>
          <w:sz w:val="18"/>
          <w:szCs w:val="18"/>
          <w:color w:val="auto"/>
        </w:rPr>
        <w:t>. In no event shall Landlord have any obligation to fund any portion of the TI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any period that Tenant is in Default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386715</wp:posOffset>
            </wp:positionV>
            <wp:extent cx="2426970"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left="88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 TO LEASE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ACKNOWLEDGMENT OF COMMENCEMENT DATE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this _____ day of ______________, ____, between </w:t>
      </w:r>
      <w:r>
        <w:rPr>
          <w:rFonts w:ascii="Arial" w:cs="Arial" w:eastAsia="Arial" w:hAnsi="Arial"/>
          <w:sz w:val="18"/>
          <w:szCs w:val="18"/>
          <w:b w:val="1"/>
          <w:bCs w:val="1"/>
          <w:color w:val="auto"/>
        </w:rPr>
        <w:t>ARE-SD</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REGION NO. 36,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TANDEM DIABETES CARE,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and is attached to and made a part of the Lease dated ______________, _____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203" w:lineRule="exact"/>
        <w:rPr>
          <w:sz w:val="20"/>
          <w:szCs w:val="20"/>
          <w:color w:val="auto"/>
        </w:rPr>
      </w:pPr>
    </w:p>
    <w:p>
      <w:pPr>
        <w:ind w:firstLine="877"/>
        <w:spacing w:after="0" w:line="234" w:lineRule="auto"/>
        <w:rPr>
          <w:sz w:val="20"/>
          <w:szCs w:val="20"/>
          <w:color w:val="auto"/>
        </w:rPr>
      </w:pPr>
      <w:r>
        <w:rPr>
          <w:rFonts w:ascii="Arial" w:cs="Arial" w:eastAsia="Arial" w:hAnsi="Arial"/>
          <w:sz w:val="18"/>
          <w:szCs w:val="18"/>
          <w:color w:val="auto"/>
        </w:rPr>
        <w:t>Landlord and Tenant hereby acknowledge and agree, for all purposes of the Lease, that the Commencement Date of the Base Term of the Lease is ______________, _____, the Rent Commencement Date is ______________, _____, and the termination date of the Base</w:t>
      </w:r>
    </w:p>
    <w:p>
      <w:pPr>
        <w:spacing w:after="0" w:line="236" w:lineRule="auto"/>
        <w:rPr>
          <w:sz w:val="20"/>
          <w:szCs w:val="20"/>
          <w:color w:val="auto"/>
        </w:rPr>
      </w:pPr>
      <w:r>
        <w:rPr>
          <w:rFonts w:ascii="Arial" w:cs="Arial" w:eastAsia="Arial" w:hAnsi="Arial"/>
          <w:sz w:val="18"/>
          <w:szCs w:val="18"/>
          <w:color w:val="auto"/>
        </w:rPr>
        <w:t>Term of the Lease shall be midnight on ______________, _____.  In case of a conflict between the terms of the Lease and the terms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Acknowledgment of Commencement Date, this Acknowledgment of Commencement Date shall control for all purposes.</w:t>
      </w:r>
    </w:p>
    <w:p>
      <w:pPr>
        <w:spacing w:after="0" w:line="212" w:lineRule="exact"/>
        <w:rPr>
          <w:sz w:val="20"/>
          <w:szCs w:val="20"/>
          <w:color w:val="auto"/>
        </w:rPr>
      </w:pPr>
    </w:p>
    <w:p>
      <w:pPr>
        <w:ind w:right="20" w:firstLine="877"/>
        <w:spacing w:after="0" w:line="246"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7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TANDEM DIABETES CARE, INC.</w:t>
      </w:r>
      <w:r>
        <w:rPr>
          <w:rFonts w:ascii="Arial" w:cs="Arial" w:eastAsia="Arial" w:hAnsi="Arial"/>
          <w:sz w:val="18"/>
          <w:szCs w:val="18"/>
          <w:color w:val="auto"/>
        </w:rPr>
        <w:t>,</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ind w:left="528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ARE-SD REGION NO. 36, LLC</w:t>
      </w:r>
      <w:r>
        <w:rPr>
          <w:rFonts w:ascii="Arial" w:cs="Arial" w:eastAsia="Arial" w:hAnsi="Arial"/>
          <w:sz w:val="18"/>
          <w:szCs w:val="18"/>
          <w:color w:val="auto"/>
        </w:rPr>
        <w:t>,</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11420"/>
          </w:cols>
          <w:pgMar w:left="240" w:top="115" w:right="239" w:bottom="1440" w:gutter="0" w:footer="0" w:header="0"/>
        </w:sect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580"/>
        <w:spacing w:after="0"/>
        <w:rPr>
          <w:sz w:val="20"/>
          <w:szCs w:val="20"/>
          <w:color w:val="auto"/>
        </w:rPr>
      </w:pPr>
      <w:r>
        <w:rPr>
          <w:rFonts w:ascii="Arial" w:cs="Arial" w:eastAsia="Arial" w:hAnsi="Arial"/>
          <w:sz w:val="18"/>
          <w:szCs w:val="18"/>
          <w:color w:val="auto"/>
        </w:rPr>
        <w:t>ALEXANDRIA REAL ESTATE EQUITIES, L.P., a Delaware limited partnership, managing member</w:t>
      </w:r>
    </w:p>
    <w:p>
      <w:pPr>
        <w:spacing w:after="0" w:line="198" w:lineRule="exact"/>
        <w:rPr>
          <w:sz w:val="20"/>
          <w:szCs w:val="20"/>
          <w:color w:val="auto"/>
        </w:rPr>
      </w:pPr>
    </w:p>
    <w:p>
      <w:pPr>
        <w:sectPr>
          <w:pgSz w:w="11900" w:h="16838" w:orient="portrait"/>
          <w:cols w:equalWidth="0" w:num="2">
            <w:col w:w="5520" w:space="600"/>
            <w:col w:w="5300"/>
          </w:cols>
          <w:pgMar w:left="240" w:top="115" w:right="239" w:bottom="1440" w:gutter="0" w:footer="0" w:header="0"/>
          <w:type w:val="continuous"/>
        </w:sectPr>
      </w:pPr>
    </w:p>
    <w:p>
      <w:pPr>
        <w:spacing w:after="0" w:line="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rPr>
          <w:sz w:val="20"/>
          <w:szCs w:val="20"/>
          <w:color w:val="auto"/>
        </w:rPr>
      </w:pPr>
      <w:r>
        <w:rPr>
          <w:rFonts w:ascii="Arial" w:cs="Arial" w:eastAsia="Arial" w:hAnsi="Arial"/>
          <w:sz w:val="17"/>
          <w:szCs w:val="17"/>
          <w:color w:val="auto"/>
        </w:rPr>
        <w:t>a Maryland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6420" w:space="600"/>
            <w:col w:w="4400"/>
          </w:cols>
          <w:pgMar w:left="240" w:top="115" w:right="239" w:bottom="1440" w:gutter="0" w:footer="0" w:header="0"/>
          <w:type w:val="continuous"/>
        </w:sectPr>
      </w:pPr>
    </w:p>
    <w:p>
      <w:pPr>
        <w:spacing w:after="0" w:line="228"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By:</w:t>
      </w:r>
    </w:p>
    <w:p>
      <w:pPr>
        <w:spacing w:after="0" w:line="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546735</wp:posOffset>
            </wp:positionV>
            <wp:extent cx="2426970" cy="411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b w:val="1"/>
                <w:bCs w:val="1"/>
                <w:color w:val="auto"/>
              </w:rPr>
              <w:t>Rules and Regulations</w:t>
            </w:r>
          </w:p>
        </w:tc>
        <w:tc>
          <w:tcPr>
            <w:tcW w:w="4400" w:type="dxa"/>
            <w:vAlign w:val="bottom"/>
            <w:gridSpan w:val="2"/>
          </w:tcPr>
          <w:p>
            <w:pPr>
              <w:ind w:left="32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tc>
      </w:tr>
      <w:tr>
        <w:trPr>
          <w:trHeight w:val="239"/>
        </w:trPr>
        <w:tc>
          <w:tcPr>
            <w:tcW w:w="2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EXHIBIT E TO LEASE</w:t>
            </w:r>
          </w:p>
        </w:tc>
      </w:tr>
      <w:tr>
        <w:trPr>
          <w:trHeight w:val="378"/>
        </w:trPr>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Rules and Regulations</w:t>
            </w:r>
          </w:p>
        </w:tc>
      </w:tr>
    </w:tbl>
    <w:p>
      <w:pPr>
        <w:spacing w:after="0" w:line="229" w:lineRule="exact"/>
        <w:rPr>
          <w:sz w:val="20"/>
          <w:szCs w:val="20"/>
          <w:color w:val="auto"/>
        </w:rPr>
      </w:pPr>
    </w:p>
    <w:p>
      <w:pPr>
        <w:ind w:firstLine="885"/>
        <w:spacing w:after="0" w:line="246" w:lineRule="auto"/>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196" w:lineRule="exact"/>
        <w:rPr>
          <w:rFonts w:ascii="Arial" w:cs="Arial" w:eastAsia="Arial" w:hAnsi="Arial"/>
          <w:sz w:val="18"/>
          <w:szCs w:val="18"/>
          <w:color w:val="auto"/>
        </w:rPr>
      </w:pPr>
    </w:p>
    <w:p>
      <w:pPr>
        <w:ind w:firstLine="885"/>
        <w:spacing w:after="0" w:line="246" w:lineRule="auto"/>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w:t>
      </w:r>
    </w:p>
    <w:p>
      <w:pPr>
        <w:spacing w:after="0" w:line="192" w:lineRule="exact"/>
        <w:rPr>
          <w:rFonts w:ascii="Arial" w:cs="Arial" w:eastAsia="Arial" w:hAnsi="Arial"/>
          <w:sz w:val="18"/>
          <w:szCs w:val="18"/>
          <w:color w:val="auto"/>
        </w:rPr>
      </w:pPr>
    </w:p>
    <w:p>
      <w:pPr>
        <w:ind w:left="2340" w:hanging="1455"/>
        <w:spacing w:after="0"/>
        <w:tabs>
          <w:tab w:leader="none" w:pos="2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for animals assisting the disabled, no animals shall be allowed in the offices, halls, or corridors in the</w:t>
      </w:r>
    </w:p>
    <w:p>
      <w:pPr>
        <w:spacing w:after="0"/>
        <w:rPr>
          <w:rFonts w:ascii="Arial" w:cs="Arial" w:eastAsia="Arial" w:hAnsi="Arial"/>
          <w:sz w:val="18"/>
          <w:szCs w:val="18"/>
          <w:color w:val="auto"/>
        </w:rPr>
      </w:pPr>
      <w:r>
        <w:rPr>
          <w:rFonts w:ascii="Arial" w:cs="Arial" w:eastAsia="Arial" w:hAnsi="Arial"/>
          <w:sz w:val="18"/>
          <w:szCs w:val="18"/>
          <w:color w:val="auto"/>
        </w:rPr>
        <w:t>Project.</w:t>
      </w:r>
    </w:p>
    <w:p>
      <w:pPr>
        <w:spacing w:after="0" w:line="211" w:lineRule="exact"/>
        <w:rPr>
          <w:rFonts w:ascii="Arial" w:cs="Arial" w:eastAsia="Arial" w:hAnsi="Arial"/>
          <w:sz w:val="18"/>
          <w:szCs w:val="18"/>
          <w:color w:val="auto"/>
        </w:rPr>
      </w:pPr>
    </w:p>
    <w:p>
      <w:pPr>
        <w:ind w:firstLine="885"/>
        <w:spacing w:after="0" w:line="246" w:lineRule="auto"/>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196" w:lineRule="exact"/>
        <w:rPr>
          <w:rFonts w:ascii="Arial" w:cs="Arial" w:eastAsia="Arial" w:hAnsi="Arial"/>
          <w:sz w:val="18"/>
          <w:szCs w:val="18"/>
          <w:color w:val="auto"/>
        </w:rPr>
      </w:pPr>
    </w:p>
    <w:p>
      <w:pPr>
        <w:jc w:val="both"/>
        <w:ind w:firstLine="885"/>
        <w:spacing w:after="0"/>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202" w:lineRule="exact"/>
        <w:rPr>
          <w:rFonts w:ascii="Arial" w:cs="Arial" w:eastAsia="Arial" w:hAnsi="Arial"/>
          <w:sz w:val="18"/>
          <w:szCs w:val="18"/>
          <w:color w:val="auto"/>
        </w:rPr>
      </w:pPr>
    </w:p>
    <w:p>
      <w:pPr>
        <w:jc w:val="both"/>
        <w:ind w:firstLine="885"/>
        <w:spacing w:after="0" w:line="239" w:lineRule="auto"/>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 exclusive of the diesel fuel storage and diesel backup generators.</w:t>
      </w:r>
    </w:p>
    <w:p>
      <w:pPr>
        <w:spacing w:after="0" w:line="201" w:lineRule="exact"/>
        <w:rPr>
          <w:rFonts w:ascii="Arial" w:cs="Arial" w:eastAsia="Arial" w:hAnsi="Arial"/>
          <w:sz w:val="18"/>
          <w:szCs w:val="18"/>
          <w:color w:val="auto"/>
        </w:rPr>
      </w:pPr>
    </w:p>
    <w:p>
      <w:pPr>
        <w:jc w:val="both"/>
        <w:ind w:firstLine="885"/>
        <w:spacing w:after="0" w:line="238" w:lineRule="auto"/>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98" w:lineRule="exact"/>
        <w:rPr>
          <w:rFonts w:ascii="Arial" w:cs="Arial" w:eastAsia="Arial" w:hAnsi="Arial"/>
          <w:sz w:val="18"/>
          <w:szCs w:val="18"/>
          <w:color w:val="auto"/>
        </w:rPr>
      </w:pPr>
    </w:p>
    <w:p>
      <w:pPr>
        <w:ind w:left="2340" w:hanging="1455"/>
        <w:spacing w:after="0"/>
        <w:tabs>
          <w:tab w:leader="none" w:pos="2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use commercially reasonable efforts to maintain the Premises free from rodents, insects and other</w:t>
      </w:r>
    </w:p>
    <w:p>
      <w:pPr>
        <w:spacing w:after="0"/>
        <w:rPr>
          <w:rFonts w:ascii="Arial" w:cs="Arial" w:eastAsia="Arial" w:hAnsi="Arial"/>
          <w:sz w:val="18"/>
          <w:szCs w:val="18"/>
          <w:color w:val="auto"/>
        </w:rPr>
      </w:pPr>
      <w:r>
        <w:rPr>
          <w:rFonts w:ascii="Arial" w:cs="Arial" w:eastAsia="Arial" w:hAnsi="Arial"/>
          <w:sz w:val="18"/>
          <w:szCs w:val="18"/>
          <w:color w:val="auto"/>
        </w:rPr>
        <w:t>pests.</w:t>
      </w:r>
    </w:p>
    <w:p>
      <w:pPr>
        <w:spacing w:after="0" w:line="211" w:lineRule="exact"/>
        <w:rPr>
          <w:rFonts w:ascii="Arial" w:cs="Arial" w:eastAsia="Arial" w:hAnsi="Arial"/>
          <w:sz w:val="18"/>
          <w:szCs w:val="18"/>
          <w:color w:val="auto"/>
        </w:rPr>
      </w:pPr>
    </w:p>
    <w:p>
      <w:pPr>
        <w:jc w:val="both"/>
        <w:ind w:firstLine="885"/>
        <w:spacing w:after="0"/>
        <w:tabs>
          <w:tab w:leader="none" w:pos="23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202" w:lineRule="exact"/>
        <w:rPr>
          <w:rFonts w:ascii="Arial" w:cs="Arial" w:eastAsia="Arial" w:hAnsi="Arial"/>
          <w:sz w:val="18"/>
          <w:szCs w:val="18"/>
          <w:color w:val="auto"/>
        </w:rPr>
      </w:pPr>
    </w:p>
    <w:p>
      <w:pPr>
        <w:jc w:val="both"/>
        <w:ind w:firstLine="885"/>
        <w:spacing w:after="0"/>
        <w:tabs>
          <w:tab w:leader="none" w:pos="24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202" w:lineRule="exact"/>
        <w:rPr>
          <w:rFonts w:ascii="Arial" w:cs="Arial" w:eastAsia="Arial" w:hAnsi="Arial"/>
          <w:sz w:val="18"/>
          <w:szCs w:val="18"/>
          <w:color w:val="auto"/>
        </w:rPr>
      </w:pPr>
    </w:p>
    <w:p>
      <w:pPr>
        <w:ind w:firstLine="885"/>
        <w:spacing w:after="0" w:line="246" w:lineRule="auto"/>
        <w:tabs>
          <w:tab w:leader="none" w:pos="24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196" w:lineRule="exact"/>
        <w:rPr>
          <w:rFonts w:ascii="Arial" w:cs="Arial" w:eastAsia="Arial" w:hAnsi="Arial"/>
          <w:sz w:val="18"/>
          <w:szCs w:val="18"/>
          <w:color w:val="auto"/>
        </w:rPr>
      </w:pPr>
    </w:p>
    <w:p>
      <w:pPr>
        <w:jc w:val="both"/>
        <w:ind w:firstLine="885"/>
        <w:spacing w:after="0"/>
        <w:tabs>
          <w:tab w:leader="none" w:pos="24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129540</wp:posOffset>
            </wp:positionV>
            <wp:extent cx="2426970"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0" w:name="page101"/>
    <w:bookmarkEnd w:id="100"/>
    <w:p>
      <w:pPr>
        <w:spacing w:after="0"/>
        <w:tabs>
          <w:tab w:leader="none" w:pos="2580" w:val="left"/>
        </w:tabs>
        <w:rPr>
          <w:sz w:val="20"/>
          <w:szCs w:val="20"/>
          <w:color w:val="auto"/>
        </w:rPr>
      </w:pPr>
      <w:r>
        <w:rPr>
          <w:rFonts w:ascii="Arial" w:cs="Arial" w:eastAsia="Arial" w:hAnsi="Arial"/>
          <w:sz w:val="18"/>
          <w:szCs w:val="18"/>
          <w:b w:val="1"/>
          <w:bCs w:val="1"/>
          <w:color w:val="auto"/>
        </w:rPr>
        <w:t>Rules and Regulations</w:t>
      </w:r>
      <w:r>
        <w:rPr>
          <w:sz w:val="20"/>
          <w:szCs w:val="20"/>
          <w:color w:val="auto"/>
        </w:rPr>
        <w:tab/>
      </w:r>
      <w:r>
        <w:rPr>
          <w:rFonts w:ascii="Arial" w:cs="Arial" w:eastAsia="Arial" w:hAnsi="Arial"/>
          <w:sz w:val="17"/>
          <w:szCs w:val="17"/>
          <w:b w:val="1"/>
          <w:bCs w:val="1"/>
          <w:color w:val="auto"/>
        </w:rPr>
        <w:t xml:space="preserve">10151 Barnes Canyon/Tandem - Page </w:t>
      </w:r>
      <w:r>
        <w:rPr>
          <w:rFonts w:ascii="Arial" w:cs="Arial" w:eastAsia="Arial" w:hAnsi="Arial"/>
          <w:sz w:val="17"/>
          <w:szCs w:val="17"/>
          <w:color w:val="auto"/>
        </w:rPr>
        <w:t>2</w:t>
      </w:r>
    </w:p>
    <w:p>
      <w:pPr>
        <w:spacing w:after="0" w:line="17" w:lineRule="exact"/>
        <w:rPr>
          <w:sz w:val="20"/>
          <w:szCs w:val="20"/>
          <w:color w:val="auto"/>
        </w:rPr>
      </w:pPr>
    </w:p>
    <w:p>
      <w:pPr>
        <w:ind w:right="20" w:firstLine="885"/>
        <w:spacing w:after="0" w:line="246" w:lineRule="auto"/>
        <w:tabs>
          <w:tab w:leader="none" w:pos="2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196" w:lineRule="exact"/>
        <w:rPr>
          <w:rFonts w:ascii="Arial" w:cs="Arial" w:eastAsia="Arial" w:hAnsi="Arial"/>
          <w:sz w:val="18"/>
          <w:szCs w:val="18"/>
          <w:color w:val="auto"/>
        </w:rPr>
      </w:pPr>
    </w:p>
    <w:p>
      <w:pPr>
        <w:ind w:left="2440" w:hanging="1555"/>
        <w:spacing w:after="0"/>
        <w:tabs>
          <w:tab w:leader="none" w:pos="2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211" w:lineRule="exact"/>
        <w:rPr>
          <w:rFonts w:ascii="Arial" w:cs="Arial" w:eastAsia="Arial" w:hAnsi="Arial"/>
          <w:sz w:val="18"/>
          <w:szCs w:val="18"/>
          <w:color w:val="auto"/>
        </w:rPr>
      </w:pPr>
    </w:p>
    <w:p>
      <w:pPr>
        <w:ind w:left="2440" w:hanging="1555"/>
        <w:spacing w:after="0"/>
        <w:tabs>
          <w:tab w:leader="none" w:pos="2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211" w:lineRule="exact"/>
        <w:rPr>
          <w:rFonts w:ascii="Arial" w:cs="Arial" w:eastAsia="Arial" w:hAnsi="Arial"/>
          <w:sz w:val="18"/>
          <w:szCs w:val="18"/>
          <w:color w:val="auto"/>
        </w:rPr>
      </w:pPr>
    </w:p>
    <w:p>
      <w:pPr>
        <w:ind w:right="20" w:firstLine="885"/>
        <w:spacing w:after="0" w:line="246" w:lineRule="auto"/>
        <w:tabs>
          <w:tab w:leader="none" w:pos="2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(except in the kitchen or break room) or for any immoral or illegal purposes or for any purpose other than that specified in the Lease. No gaming devices shall be operated in the Premises.</w:t>
      </w:r>
    </w:p>
    <w:p>
      <w:pPr>
        <w:spacing w:after="0" w:line="196" w:lineRule="exact"/>
        <w:rPr>
          <w:rFonts w:ascii="Arial" w:cs="Arial" w:eastAsia="Arial" w:hAnsi="Arial"/>
          <w:sz w:val="18"/>
          <w:szCs w:val="18"/>
          <w:color w:val="auto"/>
        </w:rPr>
      </w:pPr>
    </w:p>
    <w:p>
      <w:pPr>
        <w:jc w:val="both"/>
        <w:ind w:firstLine="885"/>
        <w:spacing w:after="0" w:line="239" w:lineRule="auto"/>
        <w:tabs>
          <w:tab w:leader="none" w:pos="2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201" w:lineRule="exact"/>
        <w:rPr>
          <w:rFonts w:ascii="Arial" w:cs="Arial" w:eastAsia="Arial" w:hAnsi="Arial"/>
          <w:sz w:val="18"/>
          <w:szCs w:val="18"/>
          <w:color w:val="auto"/>
        </w:rPr>
      </w:pPr>
    </w:p>
    <w:p>
      <w:pPr>
        <w:ind w:left="2440" w:hanging="1555"/>
        <w:spacing w:after="0"/>
        <w:tabs>
          <w:tab w:leader="none" w:pos="2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211" w:lineRule="exact"/>
        <w:rPr>
          <w:rFonts w:ascii="Arial" w:cs="Arial" w:eastAsia="Arial" w:hAnsi="Arial"/>
          <w:sz w:val="18"/>
          <w:szCs w:val="18"/>
          <w:color w:val="auto"/>
        </w:rPr>
      </w:pPr>
    </w:p>
    <w:p>
      <w:pPr>
        <w:jc w:val="both"/>
        <w:ind w:firstLine="885"/>
        <w:spacing w:after="0"/>
        <w:tabs>
          <w:tab w:leader="none" w:pos="2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541020</wp:posOffset>
            </wp:positionV>
            <wp:extent cx="2426970" cy="411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ind w:left="88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F TO LEASE</w:t>
      </w:r>
    </w:p>
    <w:p>
      <w:pPr>
        <w:spacing w:after="0" w:line="190"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409575</wp:posOffset>
            </wp:positionV>
            <wp:extent cx="2426970" cy="411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EXHIBIT G TO LEASE</w:t>
      </w:r>
    </w:p>
    <w:p>
      <w:pPr>
        <w:spacing w:after="0" w:line="190"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898525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430530</wp:posOffset>
            </wp:positionV>
            <wp:extent cx="2426970" cy="411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9339"/>
          </w:cols>
          <w:pgMar w:left="1120" w:top="118" w:right="1440" w:bottom="1440" w:gutter="0" w:footer="0" w:header="0"/>
        </w:sectPr>
      </w:pPr>
    </w:p>
    <w:bookmarkStart w:id="103" w:name="page104"/>
    <w:bookmarkEnd w:id="103"/>
    <w:p>
      <w:pPr>
        <w:ind w:left="88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 TO LEASE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LANDLORD’S WORK/SCHEDULE</w:t>
      </w:r>
    </w:p>
    <w:p>
      <w:pPr>
        <w:spacing w:after="0" w:line="3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Initial Landlord’s Work: (1) infill of openings in existing interior seismic sheer walls, (2) cutting and capping (flush or below floor level) of all pipes located at the southwest corner of the Building</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Remaining Landlord’s Work: (1) upgrade of primary electrical service to Premises with no more than 2,000 amps, 277-480v 3-phase power pulled to the electric room in the building, (2) new R-19 TPO or foam roof, including removal of existing HVAC equipment, (3) site upgrades described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Lease to meet current ADA code requirements for the parking lot, all pathways and entrances to the Building, including any exterior lighting for exiting or path of travel, (4) landscape cleanup including demo of existing trees at building perimeter, (5) new slurry seal and restripe of existing parking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403860</wp:posOffset>
            </wp:positionV>
            <wp:extent cx="2426970" cy="41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EXHIBIT I TO LEASE</w:t>
      </w:r>
    </w:p>
    <w:p>
      <w:pPr>
        <w:spacing w:after="0" w:line="190" w:lineRule="exact"/>
        <w:rPr>
          <w:sz w:val="20"/>
          <w:szCs w:val="20"/>
          <w:color w:val="auto"/>
        </w:rPr>
      </w:pPr>
    </w:p>
    <w:p>
      <w:pPr>
        <w:jc w:val="right"/>
        <w:ind w:right="2719"/>
        <w:spacing w:after="0"/>
        <w:rPr>
          <w:sz w:val="20"/>
          <w:szCs w:val="20"/>
          <w:color w:val="auto"/>
        </w:rPr>
      </w:pPr>
      <w:r>
        <w:rPr>
          <w:rFonts w:ascii="Arial" w:cs="Arial" w:eastAsia="Arial" w:hAnsi="Arial"/>
          <w:sz w:val="18"/>
          <w:szCs w:val="18"/>
          <w:b w:val="1"/>
          <w:bCs w:val="1"/>
          <w:u w:val="single" w:color="auto"/>
          <w:color w:val="auto"/>
        </w:rPr>
        <w:t>TENANT’S MAINTENANCE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6165215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286385</wp:posOffset>
            </wp:positionV>
            <wp:extent cx="5188585" cy="5822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5822950"/>
                    </a:xfrm>
                    <a:prstGeom prst="rect">
                      <a:avLst/>
                    </a:prstGeom>
                    <a:noFill/>
                  </pic:spPr>
                </pic:pic>
              </a:graphicData>
            </a:graphic>
          </wp:anchor>
        </w:drawing>
      </w:r>
    </w:p>
    <w:p>
      <w:pPr>
        <w:sectPr>
          <w:pgSz w:w="11900" w:h="16838" w:orient="portrait"/>
          <w:cols w:equalWidth="0" w:num="1">
            <w:col w:w="9339"/>
          </w:cols>
          <w:pgMar w:left="1120" w:top="118" w:right="1440" w:bottom="1440" w:gutter="0" w:footer="0" w:header="0"/>
        </w:sectPr>
      </w:pPr>
    </w:p>
    <w:bookmarkStart w:id="105" w:name="page106"/>
    <w:bookmarkEnd w:id="105"/>
    <w:p>
      <w:pPr>
        <w:ind w:left="880"/>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J TO LEASE</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18"/>
          <w:szCs w:val="18"/>
          <w:b w:val="1"/>
          <w:bCs w:val="1"/>
          <w:u w:val="single" w:color="auto"/>
          <w:color w:val="auto"/>
        </w:rPr>
        <w:t>HAZARDOUS MATERIALS LIST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hazardous materials which shall be used in quantities small enough to qualify as “de minimis” quantities:</w:t>
      </w:r>
    </w:p>
    <w:p>
      <w:pPr>
        <w:spacing w:after="0" w:line="212" w:lineRule="exact"/>
        <w:rPr>
          <w:sz w:val="20"/>
          <w:szCs w:val="20"/>
          <w:color w:val="auto"/>
        </w:rPr>
      </w:pPr>
    </w:p>
    <w:p>
      <w:pPr>
        <w:ind w:left="880" w:right="7699" w:hanging="872"/>
        <w:spacing w:after="0" w:line="234" w:lineRule="auto"/>
        <w:tabs>
          <w:tab w:leader="none" w:pos="2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Cleaners/Solvents including: Ethanol</w:t>
      </w:r>
    </w:p>
    <w:p>
      <w:pPr>
        <w:spacing w:after="0" w:line="1" w:lineRule="exact"/>
        <w:rPr>
          <w:rFonts w:ascii="Arial" w:cs="Arial" w:eastAsia="Arial" w:hAnsi="Arial"/>
          <w:sz w:val="18"/>
          <w:szCs w:val="18"/>
          <w:color w:val="auto"/>
        </w:rPr>
      </w:pPr>
    </w:p>
    <w:p>
      <w:pPr>
        <w:ind w:left="880" w:right="7679"/>
        <w:spacing w:after="0" w:line="234" w:lineRule="auto"/>
        <w:rPr>
          <w:rFonts w:ascii="Arial" w:cs="Arial" w:eastAsia="Arial" w:hAnsi="Arial"/>
          <w:sz w:val="18"/>
          <w:szCs w:val="18"/>
          <w:color w:val="auto"/>
        </w:rPr>
      </w:pPr>
      <w:r>
        <w:rPr>
          <w:rFonts w:ascii="Arial" w:cs="Arial" w:eastAsia="Arial" w:hAnsi="Arial"/>
          <w:sz w:val="18"/>
          <w:szCs w:val="18"/>
          <w:color w:val="auto"/>
        </w:rPr>
        <w:t>Propanol Acetone Propylene glycol Methyl propyl ketone</w:t>
      </w:r>
    </w:p>
    <w:p>
      <w:pPr>
        <w:spacing w:after="0" w:line="3" w:lineRule="exact"/>
        <w:rPr>
          <w:rFonts w:ascii="Arial" w:cs="Arial" w:eastAsia="Arial" w:hAnsi="Arial"/>
          <w:sz w:val="18"/>
          <w:szCs w:val="18"/>
          <w:color w:val="auto"/>
        </w:rPr>
      </w:pPr>
    </w:p>
    <w:p>
      <w:pPr>
        <w:ind w:left="240" w:hanging="232"/>
        <w:spacing w:after="0" w:line="234" w:lineRule="auto"/>
        <w:tabs>
          <w:tab w:leader="none" w:pos="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Adhesives (Loctite, etc.)</w:t>
      </w:r>
    </w:p>
    <w:p>
      <w:pPr>
        <w:ind w:left="260" w:hanging="252"/>
        <w:spacing w:after="0" w:line="234" w:lineRule="auto"/>
        <w:tabs>
          <w:tab w:leader="none" w:pos="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Oils/greases/lubricants</w:t>
      </w:r>
    </w:p>
    <w:p>
      <w:pPr>
        <w:ind w:left="260" w:hanging="252"/>
        <w:spacing w:after="0"/>
        <w:tabs>
          <w:tab w:leader="none" w:pos="2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Lead Solder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 that may exceed de minimis quantities:</w:t>
      </w:r>
    </w:p>
    <w:p>
      <w:pPr>
        <w:spacing w:after="0" w:line="207" w:lineRule="exact"/>
        <w:rPr>
          <w:sz w:val="20"/>
          <w:szCs w:val="20"/>
          <w:color w:val="auto"/>
        </w:rPr>
      </w:pPr>
    </w:p>
    <w:p>
      <w:pPr>
        <w:ind w:left="240" w:hanging="215"/>
        <w:spacing w:after="0"/>
        <w:tabs>
          <w:tab w:leader="none" w:pos="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Isopropanol Alcohol (stored in 1 Gallon containers, no tanks)</w:t>
      </w:r>
    </w:p>
    <w:p>
      <w:pPr>
        <w:ind w:left="280" w:hanging="255"/>
        <w:spacing w:after="0" w:line="234" w:lineRule="auto"/>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Nitrogen</w:t>
      </w:r>
    </w:p>
    <w:p>
      <w:pPr>
        <w:ind w:left="280" w:hanging="255"/>
        <w:spacing w:after="0" w:line="234" w:lineRule="auto"/>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Diesel (outside generators)</w:t>
      </w:r>
    </w:p>
    <w:p>
      <w:pPr>
        <w:ind w:left="260" w:hanging="235"/>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Adhesives/silicone Elastomers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409575</wp:posOffset>
            </wp:positionV>
            <wp:extent cx="2426970" cy="411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26970" cy="41148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 xml:space="preserve">10151 Barnes Canyon/Tandem - Page </w:t>
      </w:r>
      <w:r>
        <w:rPr>
          <w:rFonts w:ascii="Arial" w:cs="Arial" w:eastAsia="Arial" w:hAnsi="Arial"/>
          <w:sz w:val="18"/>
          <w:szCs w:val="18"/>
          <w:color w:val="auto"/>
        </w:rPr>
        <w:t>1</w:t>
      </w:r>
    </w:p>
    <w:p>
      <w:pPr>
        <w:spacing w:after="0" w:line="17"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auto"/>
        </w:rPr>
        <w:t>EXHIBIT K TO LEASE</w:t>
      </w:r>
    </w:p>
    <w:p>
      <w:pPr>
        <w:spacing w:after="0" w:line="20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u w:val="single" w:color="auto"/>
          <w:color w:val="auto"/>
        </w:rPr>
        <w:t>PIPE CLUSTER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217805</wp:posOffset>
            </wp:positionV>
            <wp:extent cx="5883275" cy="47593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83275" cy="4759325"/>
                    </a:xfrm>
                    <a:prstGeom prst="rect">
                      <a:avLst/>
                    </a:prstGeom>
                    <a:noFill/>
                  </pic:spPr>
                </pic:pic>
              </a:graphicData>
            </a:graphic>
          </wp:anchor>
        </w:drawing>
      </w:r>
    </w:p>
    <w:p>
      <w:pPr>
        <w:sectPr>
          <w:pgSz w:w="11900" w:h="16838" w:orient="portrait"/>
          <w:cols w:equalWidth="0" w:num="1">
            <w:col w:w="9339"/>
          </w:cols>
          <w:pgMar w:left="1120" w:top="118"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2"/>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2"/>
          <w:numId w:val="1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2"/>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2"/>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D. Blickenstaff</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Cajigas, certify that:</w:t>
      </w:r>
    </w:p>
    <w:p>
      <w:pPr>
        <w:spacing w:after="0" w:line="225"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2"/>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2"/>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2"/>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Cajigas</w:t>
      </w:r>
    </w:p>
    <w:p>
      <w:pPr>
        <w:spacing w:after="0" w:line="3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26587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June 30, 2016,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June 30, 2016, as filed with the Securities and Exchange Commission on the date hereof (the “Report”), I, John Cajigas,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color w:val="auto"/>
        </w:rPr>
        <w:t>/s/ John Cajigas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1)"/>
      <w:numFmt w:val="decimal"/>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1)"/>
      <w:numFmt w:val="decimal"/>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1."/>
      <w:numFmt w:val="decimal"/>
      <w:start w:val="1"/>
    </w:lvl>
  </w:abstractNum>
  <w:abstractNum w:abstractNumId="34">
    <w:nsid w:val="11447B73"/>
    <w:multiLevelType w:val="hybridMultilevel"/>
    <w:lvl w:ilvl="0">
      <w:lvlJc w:val="left"/>
      <w:lvlText w:val="%1."/>
      <w:numFmt w:val="decimal"/>
      <w:start w:val="3"/>
    </w:lvl>
  </w:abstractNum>
  <w:abstractNum w:abstractNumId="35">
    <w:nsid w:val="42963E5A"/>
    <w:multiLevelType w:val="hybridMultilevel"/>
    <w:lvl w:ilvl="0">
      <w:lvlJc w:val="left"/>
      <w:lvlText w:val="(%1)"/>
      <w:numFmt w:val="lowerLetter"/>
      <w:start w:val="1"/>
    </w:lvl>
  </w:abstractNum>
  <w:abstractNum w:abstractNumId="36">
    <w:nsid w:val="A0382C5"/>
    <w:multiLevelType w:val="hybridMultilevel"/>
    <w:lvl w:ilvl="0">
      <w:lvlJc w:val="left"/>
      <w:lvlText w:val="(%1)"/>
      <w:numFmt w:val="lowerLetter"/>
      <w:start w:val="2"/>
    </w:lvl>
  </w:abstractNum>
  <w:abstractNum w:abstractNumId="37">
    <w:nsid w:val="8F2B15E"/>
    <w:multiLevelType w:val="hybridMultilevel"/>
    <w:lvl w:ilvl="0">
      <w:lvlJc w:val="left"/>
      <w:lvlText w:val="%1."/>
      <w:numFmt w:val="decimal"/>
      <w:start w:val="4"/>
    </w:lvl>
  </w:abstractNum>
  <w:abstractNum w:abstractNumId="38">
    <w:nsid w:val="1A32234B"/>
    <w:multiLevelType w:val="hybridMultilevel"/>
    <w:lvl w:ilvl="0">
      <w:lvlJc w:val="left"/>
      <w:lvlText w:val="(%1)"/>
      <w:numFmt w:val="lowerLetter"/>
      <w:start w:val="1"/>
    </w:lvl>
  </w:abstractNum>
  <w:abstractNum w:abstractNumId="39">
    <w:nsid w:val="3B0FD379"/>
    <w:multiLevelType w:val="hybridMultilevel"/>
    <w:lvl w:ilvl="0">
      <w:lvlJc w:val="left"/>
      <w:lvlText w:val="%1."/>
      <w:numFmt w:val="decimal"/>
      <w:start w:val="5"/>
    </w:lvl>
  </w:abstractNum>
  <w:abstractNum w:abstractNumId="40">
    <w:nsid w:val="68EB2F63"/>
    <w:multiLevelType w:val="hybridMultilevel"/>
    <w:lvl w:ilvl="0">
      <w:lvlJc w:val="left"/>
      <w:lvlText w:val="(%1)"/>
      <w:numFmt w:val="lowerLetter"/>
      <w:start w:val="1"/>
    </w:lvl>
  </w:abstractNum>
  <w:abstractNum w:abstractNumId="41">
    <w:nsid w:val="4962813B"/>
    <w:multiLevelType w:val="hybridMultilevel"/>
    <w:lvl w:ilvl="0">
      <w:lvlJc w:val="left"/>
      <w:lvlText w:val="(%1)"/>
      <w:numFmt w:val="lowerLetter"/>
      <w:start w:val="12"/>
    </w:lvl>
  </w:abstractNum>
  <w:abstractNum w:abstractNumId="42">
    <w:nsid w:val="60B6DF70"/>
    <w:multiLevelType w:val="hybridMultilevel"/>
    <w:lvl w:ilvl="0">
      <w:lvlJc w:val="left"/>
      <w:lvlText w:val="(%1)"/>
      <w:numFmt w:val="lowerLetter"/>
      <w:start w:val="26"/>
    </w:lvl>
  </w:abstractNum>
  <w:abstractNum w:abstractNumId="43">
    <w:nsid w:val="6A5EE64"/>
    <w:multiLevelType w:val="hybridMultilevel"/>
    <w:lvl w:ilvl="0">
      <w:lvlJc w:val="left"/>
      <w:lvlText w:val="(%1)"/>
      <w:numFmt w:val="lowerLetter"/>
      <w:start w:val="27"/>
    </w:lvl>
  </w:abstractNum>
  <w:abstractNum w:abstractNumId="44">
    <w:nsid w:val="14330624"/>
    <w:multiLevelType w:val="hybridMultilevel"/>
    <w:lvl w:ilvl="0">
      <w:lvlJc w:val="left"/>
      <w:lvlText w:val="%1."/>
      <w:numFmt w:val="decimal"/>
      <w:start w:val="6"/>
    </w:lvl>
  </w:abstractNum>
  <w:abstractNum w:abstractNumId="45">
    <w:nsid w:val="7FFFCA11"/>
    <w:multiLevelType w:val="hybridMultilevel"/>
    <w:lvl w:ilvl="0">
      <w:lvlJc w:val="left"/>
      <w:lvlText w:val="%1."/>
      <w:numFmt w:val="decimal"/>
      <w:start w:val="8"/>
    </w:lvl>
  </w:abstractNum>
  <w:abstractNum w:abstractNumId="46">
    <w:nsid w:val="1A27709E"/>
    <w:multiLevelType w:val="hybridMultilevel"/>
    <w:lvl w:ilvl="0">
      <w:lvlJc w:val="left"/>
      <w:lvlText w:val="%1."/>
      <w:numFmt w:val="decimal"/>
      <w:start w:val="9"/>
    </w:lvl>
  </w:abstractNum>
  <w:abstractNum w:abstractNumId="47">
    <w:nsid w:val="71EA1109"/>
    <w:multiLevelType w:val="hybridMultilevel"/>
    <w:lvl w:ilvl="0">
      <w:lvlJc w:val="left"/>
      <w:lvlText w:val="%1."/>
      <w:numFmt w:val="decimal"/>
      <w:start w:val="12"/>
    </w:lvl>
  </w:abstractNum>
  <w:abstractNum w:abstractNumId="48">
    <w:nsid w:val="100F59DC"/>
    <w:multiLevelType w:val="hybridMultilevel"/>
    <w:lvl w:ilvl="0">
      <w:lvlJc w:val="left"/>
      <w:lvlText w:val="%1."/>
      <w:numFmt w:val="decimal"/>
      <w:start w:val="13"/>
    </w:lvl>
  </w:abstractNum>
  <w:abstractNum w:abstractNumId="49">
    <w:nsid w:val="7FB7E0AA"/>
    <w:multiLevelType w:val="hybridMultilevel"/>
    <w:lvl w:ilvl="0">
      <w:lvlJc w:val="left"/>
      <w:lvlText w:val="%1."/>
      <w:numFmt w:val="decimal"/>
      <w:start w:val="14"/>
    </w:lvl>
  </w:abstractNum>
  <w:abstractNum w:abstractNumId="50">
    <w:nsid w:val="6EB5BD4"/>
    <w:multiLevelType w:val="hybridMultilevel"/>
    <w:lvl w:ilvl="0">
      <w:lvlJc w:val="left"/>
      <w:lvlText w:val="%1."/>
      <w:numFmt w:val="decimal"/>
      <w:start w:val="17"/>
    </w:lvl>
  </w:abstractNum>
  <w:abstractNum w:abstractNumId="51">
    <w:nsid w:val="6F6DD9AC"/>
    <w:multiLevelType w:val="hybridMultilevel"/>
    <w:lvl w:ilvl="0">
      <w:lvlJc w:val="left"/>
      <w:lvlText w:val="(%1)"/>
      <w:numFmt w:val="lowerRoman"/>
      <w:start w:val="1"/>
    </w:lvl>
  </w:abstractNum>
  <w:abstractNum w:abstractNumId="52">
    <w:nsid w:val="94211F2"/>
    <w:multiLevelType w:val="hybridMultilevel"/>
    <w:lvl w:ilvl="0">
      <w:lvlJc w:val="left"/>
      <w:lvlText w:val="%1."/>
      <w:numFmt w:val="decimal"/>
      <w:start w:val="18"/>
    </w:lvl>
  </w:abstractNum>
  <w:abstractNum w:abstractNumId="53">
    <w:nsid w:val="885E1B"/>
    <w:multiLevelType w:val="hybridMultilevel"/>
    <w:lvl w:ilvl="0">
      <w:lvlJc w:val="left"/>
      <w:lvlText w:val="%1."/>
      <w:numFmt w:val="decimal"/>
      <w:start w:val="19"/>
    </w:lvl>
  </w:abstractNum>
  <w:abstractNum w:abstractNumId="54">
    <w:nsid w:val="76272110"/>
    <w:multiLevelType w:val="hybridMultilevel"/>
    <w:lvl w:ilvl="0">
      <w:lvlJc w:val="left"/>
      <w:lvlText w:val="(%1)"/>
      <w:numFmt w:val="lowerLetter"/>
      <w:start w:val="1"/>
    </w:lvl>
  </w:abstractNum>
  <w:abstractNum w:abstractNumId="55">
    <w:nsid w:val="4C04A8AF"/>
    <w:multiLevelType w:val="hybridMultilevel"/>
    <w:lvl w:ilvl="0">
      <w:lvlJc w:val="left"/>
      <w:lvlText w:val="(%1)"/>
      <w:numFmt w:val="lowerLetter"/>
      <w:start w:val="4"/>
    </w:lvl>
  </w:abstractNum>
  <w:abstractNum w:abstractNumId="56">
    <w:nsid w:val="1716703B"/>
    <w:multiLevelType w:val="hybridMultilevel"/>
    <w:lvl w:ilvl="0">
      <w:lvlJc w:val="left"/>
      <w:lvlText w:val="%1."/>
      <w:numFmt w:val="decimal"/>
      <w:start w:val="21"/>
    </w:lvl>
  </w:abstractNum>
  <w:abstractNum w:abstractNumId="57">
    <w:nsid w:val="14E17E33"/>
    <w:multiLevelType w:val="hybridMultilevel"/>
    <w:lvl w:ilvl="0">
      <w:lvlJc w:val="left"/>
      <w:lvlText w:val="(%1)"/>
      <w:numFmt w:val="lowerLetter"/>
      <w:start w:val="1"/>
    </w:lvl>
  </w:abstractNum>
  <w:abstractNum w:abstractNumId="58">
    <w:nsid w:val="3222E7CD"/>
    <w:multiLevelType w:val="hybridMultilevel"/>
    <w:lvl w:ilvl="0">
      <w:lvlJc w:val="left"/>
      <w:lvlText w:val="(%1)"/>
      <w:numFmt w:val="lowerLetter"/>
      <w:start w:val="2"/>
    </w:lvl>
  </w:abstractNum>
  <w:abstractNum w:abstractNumId="59">
    <w:nsid w:val="74DE0EE3"/>
    <w:multiLevelType w:val="hybridMultilevel"/>
    <w:lvl w:ilvl="0">
      <w:lvlJc w:val="left"/>
      <w:lvlText w:val="(%1)"/>
      <w:numFmt w:val="lowerLetter"/>
      <w:start w:val="4"/>
    </w:lvl>
  </w:abstractNum>
  <w:abstractNum w:abstractNumId="60">
    <w:nsid w:val="68EBC550"/>
    <w:multiLevelType w:val="hybridMultilevel"/>
    <w:lvl w:ilvl="0">
      <w:lvlJc w:val="left"/>
      <w:lvlText w:val="%1."/>
      <w:numFmt w:val="decimal"/>
      <w:start w:val="22"/>
    </w:lvl>
  </w:abstractNum>
  <w:abstractNum w:abstractNumId="61">
    <w:nsid w:val="2DF6D648"/>
    <w:multiLevelType w:val="hybridMultilevel"/>
    <w:lvl w:ilvl="0">
      <w:lvlJc w:val="left"/>
      <w:lvlText w:val="(%1)"/>
      <w:numFmt w:val="lowerLetter"/>
      <w:start w:val="1"/>
    </w:lvl>
  </w:abstractNum>
  <w:abstractNum w:abstractNumId="62">
    <w:nsid w:val="46B7D447"/>
    <w:multiLevelType w:val="hybridMultilevel"/>
    <w:lvl w:ilvl="0">
      <w:lvlJc w:val="left"/>
      <w:lvlText w:val="%1"/>
      <w:numFmt w:val="decimal"/>
      <w:start w:val="1"/>
    </w:lvl>
    <w:lvl w:ilvl="1">
      <w:lvlJc w:val="left"/>
      <w:lvlText w:val="(%2)"/>
      <w:numFmt w:val="lowerLetter"/>
      <w:start w:val="2"/>
    </w:lvl>
  </w:abstractNum>
  <w:abstractNum w:abstractNumId="63">
    <w:nsid w:val="4A2AC315"/>
    <w:multiLevelType w:val="hybridMultilevel"/>
    <w:lvl w:ilvl="0">
      <w:lvlJc w:val="left"/>
      <w:lvlText w:val="(%1)"/>
      <w:numFmt w:val="decimal"/>
      <w:start w:val="5"/>
    </w:lvl>
    <w:lvl w:ilvl="1">
      <w:lvlJc w:val="left"/>
      <w:lvlText w:val="%2"/>
      <w:numFmt w:val="lowerLetter"/>
      <w:start w:val="1"/>
    </w:lvl>
  </w:abstractNum>
  <w:abstractNum w:abstractNumId="64">
    <w:nsid w:val="39EE015C"/>
    <w:multiLevelType w:val="hybridMultilevel"/>
    <w:lvl w:ilvl="0">
      <w:lvlJc w:val="left"/>
      <w:lvlText w:val="(%1)"/>
      <w:numFmt w:val="lowerLetter"/>
      <w:start w:val="3"/>
    </w:lvl>
  </w:abstractNum>
  <w:abstractNum w:abstractNumId="65">
    <w:nsid w:val="57FC4FBB"/>
    <w:multiLevelType w:val="hybridMultilevel"/>
    <w:lvl w:ilvl="0">
      <w:lvlJc w:val="left"/>
      <w:lvlText w:val="(%1)"/>
      <w:numFmt w:val="lowerLetter"/>
      <w:start w:val="4"/>
    </w:lvl>
  </w:abstractNum>
  <w:abstractNum w:abstractNumId="66">
    <w:nsid w:val="CC1016F"/>
    <w:multiLevelType w:val="hybridMultilevel"/>
    <w:lvl w:ilvl="0">
      <w:lvlJc w:val="left"/>
      <w:lvlText w:val="(%1)"/>
      <w:numFmt w:val="lowerLetter"/>
      <w:start w:val="5"/>
    </w:lvl>
  </w:abstractNum>
  <w:abstractNum w:abstractNumId="67">
    <w:nsid w:val="43F18422"/>
    <w:multiLevelType w:val="hybridMultilevel"/>
    <w:lvl w:ilvl="0">
      <w:lvlJc w:val="left"/>
      <w:lvlText w:val="%1."/>
      <w:numFmt w:val="decimal"/>
      <w:start w:val="23"/>
    </w:lvl>
  </w:abstractNum>
  <w:abstractNum w:abstractNumId="68">
    <w:nsid w:val="60EF0119"/>
    <w:multiLevelType w:val="hybridMultilevel"/>
    <w:lvl w:ilvl="0">
      <w:lvlJc w:val="left"/>
      <w:lvlText w:val="%1"/>
      <w:numFmt w:val="lowerRoman"/>
      <w:start w:val="1"/>
    </w:lvl>
    <w:lvl w:ilvl="1">
      <w:lvlJc w:val="left"/>
      <w:lvlText w:val="%2."/>
      <w:numFmt w:val="decimal"/>
      <w:start w:val="28"/>
    </w:lvl>
  </w:abstractNum>
  <w:abstractNum w:abstractNumId="69">
    <w:nsid w:val="26F324BA"/>
    <w:multiLevelType w:val="hybridMultilevel"/>
    <w:lvl w:ilvl="0">
      <w:lvlJc w:val="left"/>
      <w:lvlText w:val="(%1)"/>
      <w:numFmt w:val="lowerRoman"/>
      <w:start w:val="2"/>
    </w:lvl>
    <w:lvl w:ilvl="1">
      <w:lvlJc w:val="left"/>
      <w:lvlText w:val="%2"/>
      <w:numFmt w:val="decimal"/>
      <w:start w:val="1"/>
    </w:lvl>
  </w:abstractNum>
  <w:abstractNum w:abstractNumId="70">
    <w:nsid w:val="7F01579B"/>
    <w:multiLevelType w:val="hybridMultilevel"/>
    <w:lvl w:ilvl="0">
      <w:lvlJc w:val="left"/>
      <w:lvlText w:val="%1."/>
      <w:numFmt w:val="decimal"/>
      <w:start w:val="29"/>
    </w:lvl>
  </w:abstractNum>
  <w:abstractNum w:abstractNumId="71">
    <w:nsid w:val="49DA307D"/>
    <w:multiLevelType w:val="hybridMultilevel"/>
    <w:lvl w:ilvl="0">
      <w:lvlJc w:val="left"/>
      <w:lvlText w:val="(%1)"/>
      <w:numFmt w:val="lowerLetter"/>
      <w:start w:val="1"/>
    </w:lvl>
  </w:abstractNum>
  <w:abstractNum w:abstractNumId="72">
    <w:nsid w:val="7055A5F5"/>
    <w:multiLevelType w:val="hybridMultilevel"/>
    <w:lvl w:ilvl="0">
      <w:lvlJc w:val="left"/>
      <w:lvlText w:val="(%1)"/>
      <w:numFmt w:val="lowerLetter"/>
      <w:start w:val="2"/>
    </w:lvl>
  </w:abstractNum>
  <w:abstractNum w:abstractNumId="73">
    <w:nsid w:val="5FB8370B"/>
    <w:multiLevelType w:val="hybridMultilevel"/>
    <w:lvl w:ilvl="0">
      <w:lvlJc w:val="left"/>
      <w:lvlText w:val="(%1)"/>
      <w:numFmt w:val="lowerLetter"/>
      <w:start w:val="4"/>
    </w:lvl>
  </w:abstractNum>
  <w:abstractNum w:abstractNumId="74">
    <w:nsid w:val="50801EE1"/>
    <w:multiLevelType w:val="hybridMultilevel"/>
    <w:lvl w:ilvl="0">
      <w:lvlJc w:val="left"/>
      <w:lvlText w:val="(%1)"/>
      <w:numFmt w:val="lowerLetter"/>
      <w:start w:val="5"/>
    </w:lvl>
  </w:abstractNum>
  <w:abstractNum w:abstractNumId="75">
    <w:nsid w:val="488AC1A"/>
    <w:multiLevelType w:val="hybridMultilevel"/>
    <w:lvl w:ilvl="0">
      <w:lvlJc w:val="left"/>
      <w:lvlText w:val="%1."/>
      <w:numFmt w:val="decimal"/>
      <w:start w:val="31"/>
    </w:lvl>
  </w:abstractNum>
  <w:abstractNum w:abstractNumId="76">
    <w:nsid w:val="5FB8011C"/>
    <w:multiLevelType w:val="hybridMultilevel"/>
    <w:lvl w:ilvl="0">
      <w:lvlJc w:val="left"/>
      <w:lvlText w:val="%1."/>
      <w:numFmt w:val="decimal"/>
      <w:start w:val="32"/>
    </w:lvl>
  </w:abstractNum>
  <w:abstractNum w:abstractNumId="77">
    <w:nsid w:val="6AA78F7F"/>
    <w:multiLevelType w:val="hybridMultilevel"/>
    <w:lvl w:ilvl="0">
      <w:lvlJc w:val="left"/>
      <w:lvlText w:val="%1."/>
      <w:numFmt w:val="decimal"/>
      <w:start w:val="35"/>
    </w:lvl>
  </w:abstractNum>
  <w:abstractNum w:abstractNumId="78">
    <w:nsid w:val="7672BD23"/>
    <w:multiLevelType w:val="hybridMultilevel"/>
    <w:lvl w:ilvl="0">
      <w:lvlJc w:val="left"/>
      <w:lvlText w:val="%1"/>
      <w:numFmt w:val="upperLetter"/>
      <w:start w:val="1"/>
    </w:lvl>
    <w:lvl w:ilvl="1">
      <w:lvlJc w:val="left"/>
      <w:lvlText w:val="%2."/>
      <w:numFmt w:val="decimal"/>
      <w:start w:val="36"/>
    </w:lvl>
  </w:abstractNum>
  <w:abstractNum w:abstractNumId="79">
    <w:nsid w:val="6FC75AF8"/>
    <w:multiLevelType w:val="hybridMultilevel"/>
    <w:lvl w:ilvl="0">
      <w:lvlJc w:val="left"/>
      <w:lvlText w:val="(%1)"/>
      <w:numFmt w:val="upperLetter"/>
      <w:start w:val="2"/>
    </w:lvl>
    <w:lvl w:ilvl="1">
      <w:lvlJc w:val="left"/>
      <w:lvlText w:val="%2."/>
      <w:numFmt w:val="decimal"/>
      <w:start w:val="37"/>
    </w:lvl>
  </w:abstractNum>
  <w:abstractNum w:abstractNumId="80">
    <w:nsid w:val="6A5F7029"/>
    <w:multiLevelType w:val="hybridMultilevel"/>
    <w:lvl w:ilvl="0">
      <w:lvlJc w:val="left"/>
      <w:lvlText w:val="%1."/>
      <w:numFmt w:val="decimal"/>
      <w:start w:val="39"/>
    </w:lvl>
  </w:abstractNum>
  <w:abstractNum w:abstractNumId="81">
    <w:nsid w:val="7D5E18F8"/>
    <w:multiLevelType w:val="hybridMultilevel"/>
    <w:lvl w:ilvl="0">
      <w:lvlJc w:val="left"/>
      <w:lvlText w:val="(%1)"/>
      <w:numFmt w:val="lowerLetter"/>
      <w:start w:val="1"/>
    </w:lvl>
  </w:abstractNum>
  <w:abstractNum w:abstractNumId="82">
    <w:nsid w:val="5F3534A4"/>
    <w:multiLevelType w:val="hybridMultilevel"/>
    <w:lvl w:ilvl="0">
      <w:lvlJc w:val="left"/>
      <w:lvlText w:val="(%1)"/>
      <w:numFmt w:val="lowerLetter"/>
      <w:start w:val="2"/>
    </w:lvl>
  </w:abstractNum>
  <w:abstractNum w:abstractNumId="83">
    <w:nsid w:val="73A1821B"/>
    <w:multiLevelType w:val="hybridMultilevel"/>
    <w:lvl w:ilvl="0">
      <w:lvlJc w:val="left"/>
      <w:lvlText w:val="(%1)"/>
      <w:numFmt w:val="lowerLetter"/>
      <w:start w:val="4"/>
    </w:lvl>
  </w:abstractNum>
  <w:abstractNum w:abstractNumId="84">
    <w:nsid w:val="7DE67713"/>
    <w:multiLevelType w:val="hybridMultilevel"/>
    <w:lvl w:ilvl="0">
      <w:lvlJc w:val="left"/>
      <w:lvlText w:val="%1."/>
      <w:numFmt w:val="decimal"/>
      <w:start w:val="40"/>
    </w:lvl>
  </w:abstractNum>
  <w:abstractNum w:abstractNumId="85">
    <w:nsid w:val="555C55B5"/>
    <w:multiLevelType w:val="hybridMultilevel"/>
    <w:lvl w:ilvl="0">
      <w:lvlJc w:val="left"/>
      <w:lvlText w:val="(%1)"/>
      <w:numFmt w:val="lowerLetter"/>
      <w:start w:val="1"/>
    </w:lvl>
  </w:abstractNum>
  <w:abstractNum w:abstractNumId="86">
    <w:nsid w:val="3FA62ACA"/>
    <w:multiLevelType w:val="hybridMultilevel"/>
    <w:lvl w:ilvl="0">
      <w:lvlJc w:val="left"/>
      <w:lvlText w:val="(%1)"/>
      <w:numFmt w:val="lowerLetter"/>
      <w:start w:val="4"/>
    </w:lvl>
  </w:abstractNum>
  <w:abstractNum w:abstractNumId="87">
    <w:nsid w:val="14FCE74E"/>
    <w:multiLevelType w:val="hybridMultilevel"/>
    <w:lvl w:ilvl="0">
      <w:lvlJc w:val="left"/>
      <w:lvlText w:val="(%1)"/>
      <w:numFmt w:val="lowerLetter"/>
      <w:start w:val="5"/>
    </w:lvl>
  </w:abstractNum>
  <w:abstractNum w:abstractNumId="88">
    <w:nsid w:val="6A3DD3E8"/>
    <w:multiLevelType w:val="hybridMultilevel"/>
    <w:lvl w:ilvl="0">
      <w:lvlJc w:val="left"/>
      <w:lvlText w:val="(%1)"/>
      <w:numFmt w:val="lowerLetter"/>
      <w:start w:val="6"/>
    </w:lvl>
  </w:abstractNum>
  <w:abstractNum w:abstractNumId="89">
    <w:nsid w:val="71C91298"/>
    <w:multiLevelType w:val="hybridMultilevel"/>
    <w:lvl w:ilvl="0">
      <w:lvlJc w:val="left"/>
      <w:lvlText w:val="%1."/>
      <w:numFmt w:val="decimal"/>
      <w:start w:val="41"/>
    </w:lvl>
  </w:abstractNum>
  <w:abstractNum w:abstractNumId="90">
    <w:nsid w:val="9DAF632"/>
    <w:multiLevelType w:val="hybridMultilevel"/>
    <w:lvl w:ilvl="0">
      <w:lvlJc w:val="left"/>
      <w:lvlText w:val="(%1)"/>
      <w:numFmt w:val="lowerLetter"/>
      <w:start w:val="1"/>
    </w:lvl>
  </w:abstractNum>
  <w:abstractNum w:abstractNumId="91">
    <w:nsid w:val="53299938"/>
    <w:multiLevelType w:val="hybridMultilevel"/>
    <w:lvl w:ilvl="0">
      <w:lvlJc w:val="left"/>
      <w:lvlText w:val="(%1)"/>
      <w:numFmt w:val="lowerLetter"/>
      <w:start w:val="5"/>
    </w:lvl>
  </w:abstractNum>
  <w:abstractNum w:abstractNumId="92">
    <w:nsid w:val="1FBFE8E0"/>
    <w:multiLevelType w:val="hybridMultilevel"/>
    <w:lvl w:ilvl="0">
      <w:lvlJc w:val="left"/>
      <w:lvlText w:val="%1."/>
      <w:numFmt w:val="decimal"/>
      <w:start w:val="42"/>
    </w:lvl>
  </w:abstractNum>
  <w:abstractNum w:abstractNumId="93">
    <w:nsid w:val="5092CA79"/>
    <w:multiLevelType w:val="hybridMultilevel"/>
    <w:lvl w:ilvl="0">
      <w:lvlJc w:val="left"/>
      <w:lvlText w:val="(%1)"/>
      <w:numFmt w:val="lowerLetter"/>
      <w:start w:val="1"/>
    </w:lvl>
  </w:abstractNum>
  <w:abstractNum w:abstractNumId="94">
    <w:nsid w:val="1D545C4D"/>
    <w:multiLevelType w:val="hybridMultilevel"/>
    <w:lvl w:ilvl="0">
      <w:lvlJc w:val="left"/>
      <w:lvlText w:val="(%1)"/>
      <w:numFmt w:val="lowerLetter"/>
      <w:start w:val="5"/>
    </w:lvl>
  </w:abstractNum>
  <w:abstractNum w:abstractNumId="95">
    <w:nsid w:val="59ADEA3D"/>
    <w:multiLevelType w:val="hybridMultilevel"/>
    <w:lvl w:ilvl="0">
      <w:lvlJc w:val="left"/>
      <w:lvlText w:val="(%1)"/>
      <w:numFmt w:val="lowerLetter"/>
      <w:start w:val="12"/>
    </w:lvl>
  </w:abstractNum>
  <w:abstractNum w:abstractNumId="96">
    <w:nsid w:val="288F1A34"/>
    <w:multiLevelType w:val="hybridMultilevel"/>
    <w:lvl w:ilvl="0">
      <w:lvlJc w:val="left"/>
      <w:lvlText w:val="(%1)"/>
      <w:numFmt w:val="lowerLetter"/>
      <w:start w:val="14"/>
    </w:lvl>
  </w:abstractNum>
  <w:abstractNum w:abstractNumId="97">
    <w:nsid w:val="2A155DBC"/>
    <w:multiLevelType w:val="hybridMultilevel"/>
    <w:lvl w:ilvl="0">
      <w:lvlJc w:val="left"/>
      <w:lvlText w:val="%1."/>
      <w:numFmt w:val="decimal"/>
      <w:start w:val="1"/>
    </w:lvl>
  </w:abstractNum>
  <w:abstractNum w:abstractNumId="98">
    <w:nsid w:val="1D9F6E5F"/>
    <w:multiLevelType w:val="hybridMultilevel"/>
    <w:lvl w:ilvl="0">
      <w:lvlJc w:val="left"/>
      <w:lvlText w:val="(%1)"/>
      <w:numFmt w:val="lowerLetter"/>
      <w:start w:val="1"/>
    </w:lvl>
  </w:abstractNum>
  <w:abstractNum w:abstractNumId="99">
    <w:nsid w:val="97E1B4E"/>
    <w:multiLevelType w:val="hybridMultilevel"/>
    <w:lvl w:ilvl="0">
      <w:lvlJc w:val="left"/>
      <w:lvlText w:val="%1."/>
      <w:numFmt w:val="decimal"/>
      <w:start w:val="2"/>
    </w:lvl>
  </w:abstractNum>
  <w:abstractNum w:abstractNumId="100">
    <w:nsid w:val="51088277"/>
    <w:multiLevelType w:val="hybridMultilevel"/>
    <w:lvl w:ilvl="0">
      <w:lvlJc w:val="left"/>
      <w:lvlText w:val="(%1)"/>
      <w:numFmt w:val="lowerLetter"/>
      <w:start w:val="1"/>
    </w:lvl>
  </w:abstractNum>
  <w:abstractNum w:abstractNumId="101">
    <w:nsid w:val="1CA0C5FA"/>
    <w:multiLevelType w:val="hybridMultilevel"/>
    <w:lvl w:ilvl="0">
      <w:lvlJc w:val="left"/>
      <w:lvlText w:val="(%1)"/>
      <w:numFmt w:val="lowerLetter"/>
      <w:start w:val="3"/>
    </w:lvl>
  </w:abstractNum>
  <w:abstractNum w:abstractNumId="102">
    <w:nsid w:val="53584BCB"/>
    <w:multiLevelType w:val="hybridMultilevel"/>
    <w:lvl w:ilvl="0">
      <w:lvlJc w:val="left"/>
      <w:lvlText w:val="%1."/>
      <w:numFmt w:val="decimal"/>
      <w:start w:val="3"/>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decimal"/>
      <w:start w:val="4"/>
    </w:lvl>
  </w:abstractNum>
  <w:abstractNum w:abstractNumId="105">
    <w:nsid w:val="23D86AAC"/>
    <w:multiLevelType w:val="hybridMultilevel"/>
    <w:lvl w:ilvl="0">
      <w:lvlJc w:val="left"/>
      <w:lvlText w:val="(%1)"/>
      <w:numFmt w:val="lowerLetter"/>
      <w:start w:val="1"/>
    </w:lvl>
  </w:abstractNum>
  <w:abstractNum w:abstractNumId="106">
    <w:nsid w:val="45E6D486"/>
    <w:multiLevelType w:val="hybridMultilevel"/>
    <w:lvl w:ilvl="0">
      <w:lvlJc w:val="left"/>
      <w:lvlText w:val="%1."/>
      <w:numFmt w:val="decimal"/>
      <w:start w:val="5"/>
    </w:lvl>
  </w:abstractNum>
  <w:abstractNum w:abstractNumId="107">
    <w:nsid w:val="5C10FE21"/>
    <w:multiLevelType w:val="hybridMultilevel"/>
    <w:lvl w:ilvl="0">
      <w:lvlJc w:val="left"/>
      <w:lvlText w:val="(%1)"/>
      <w:numFmt w:val="lowerLetter"/>
      <w:start w:val="1"/>
    </w:lvl>
  </w:abstractNum>
  <w:abstractNum w:abstractNumId="108">
    <w:nsid w:val="E7FFA2B"/>
    <w:multiLevelType w:val="hybridMultilevel"/>
    <w:lvl w:ilvl="0">
      <w:lvlJc w:val="left"/>
      <w:lvlText w:val="(%1)"/>
      <w:numFmt w:val="lowerLetter"/>
      <w:start w:val="3"/>
    </w:lvl>
  </w:abstractNum>
  <w:abstractNum w:abstractNumId="109">
    <w:nsid w:val="3C5991AA"/>
    <w:multiLevelType w:val="hybridMultilevel"/>
    <w:lvl w:ilvl="0">
      <w:lvlJc w:val="left"/>
      <w:lvlText w:val="%1."/>
      <w:numFmt w:val="decimal"/>
      <w:start w:val="6"/>
    </w:lvl>
  </w:abstractNum>
  <w:abstractNum w:abstractNumId="110">
    <w:nsid w:val="4BD8591A"/>
    <w:multiLevelType w:val="hybridMultilevel"/>
    <w:lvl w:ilvl="0">
      <w:lvlJc w:val="left"/>
      <w:lvlText w:val="(%1)"/>
      <w:numFmt w:val="lowerLetter"/>
      <w:start w:val="1"/>
    </w:lvl>
  </w:abstractNum>
  <w:abstractNum w:abstractNumId="111">
    <w:nsid w:val="78DF6A55"/>
    <w:multiLevelType w:val="hybridMultilevel"/>
    <w:lvl w:ilvl="0">
      <w:lvlJc w:val="left"/>
      <w:lvlText w:val="%1."/>
      <w:numFmt w:val="decimal"/>
      <w:start w:val="1"/>
    </w:lvl>
  </w:abstractNum>
  <w:abstractNum w:abstractNumId="112">
    <w:nsid w:val="39B7AAA2"/>
    <w:multiLevelType w:val="hybridMultilevel"/>
    <w:lvl w:ilvl="0">
      <w:lvlJc w:val="left"/>
      <w:lvlText w:val="%1."/>
      <w:numFmt w:val="decimal"/>
      <w:start w:val="13"/>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decimal"/>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2019-12-29T11:31:21Z</dcterms:created>
  <dcterms:modified xsi:type="dcterms:W3CDTF">2019-12-29T11:31:21Z</dcterms:modified>
</cp:coreProperties>
</file>