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ind w:left="720" w:hanging="550"/>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720" w:hanging="550"/>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001-36189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Tandem Diabetes Care,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540" w:type="dxa"/>
            <w:vAlign w:val="bottom"/>
          </w:tcPr>
          <w:p>
            <w:pPr>
              <w:jc w:val="center"/>
              <w:ind w:right="59"/>
              <w:spacing w:after="0"/>
              <w:rPr>
                <w:sz w:val="20"/>
                <w:szCs w:val="20"/>
                <w:color w:val="auto"/>
              </w:rPr>
            </w:pPr>
            <w:r>
              <w:rPr>
                <w:rFonts w:ascii="Arial" w:cs="Arial" w:eastAsia="Arial" w:hAnsi="Arial"/>
                <w:sz w:val="18"/>
                <w:szCs w:val="18"/>
                <w:b w:val="1"/>
                <w:bCs w:val="1"/>
                <w:color w:val="auto"/>
                <w:w w:val="91"/>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20-4327508</w:t>
            </w:r>
          </w:p>
        </w:tc>
      </w:tr>
      <w:tr>
        <w:trPr>
          <w:trHeight w:val="149"/>
        </w:trPr>
        <w:tc>
          <w:tcPr>
            <w:tcW w:w="25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4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87"/>
              </w:rPr>
              <w:t>11045 Roselle Street</w:t>
            </w:r>
          </w:p>
        </w:tc>
        <w:tc>
          <w:tcPr>
            <w:tcW w:w="5380" w:type="dxa"/>
            <w:vAlign w:val="bottom"/>
          </w:tcPr>
          <w:p>
            <w:pPr>
              <w:spacing w:after="0"/>
              <w:rPr>
                <w:sz w:val="24"/>
                <w:szCs w:val="24"/>
                <w:color w:val="auto"/>
              </w:rPr>
            </w:pPr>
          </w:p>
        </w:tc>
      </w:tr>
      <w:tr>
        <w:trPr>
          <w:trHeight w:val="225"/>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San Diego, California</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92121</w:t>
            </w:r>
          </w:p>
        </w:tc>
      </w:tr>
      <w:tr>
        <w:trPr>
          <w:trHeight w:val="186"/>
        </w:trPr>
        <w:tc>
          <w:tcPr>
            <w:tcW w:w="254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54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(858) 366-6900</w:t>
            </w:r>
          </w:p>
        </w:tc>
      </w:tr>
      <w:tr>
        <w:trPr>
          <w:trHeight w:val="186"/>
        </w:trPr>
        <w:tc>
          <w:tcPr>
            <w:tcW w:w="2540" w:type="dxa"/>
            <w:vAlign w:val="bottom"/>
          </w:tcPr>
          <w:p>
            <w:pPr>
              <w:spacing w:after="0"/>
              <w:rPr>
                <w:sz w:val="16"/>
                <w:szCs w:val="16"/>
                <w:color w:val="auto"/>
              </w:rPr>
            </w:pPr>
          </w:p>
        </w:tc>
        <w:tc>
          <w:tcPr>
            <w:tcW w:w="5380" w:type="dxa"/>
            <w:vAlign w:val="bottom"/>
          </w:tcPr>
          <w:p>
            <w:pPr>
              <w:jc w:val="center"/>
              <w:ind w:right="18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3" w:lineRule="exact"/>
        <w:rPr>
          <w:sz w:val="24"/>
          <w:szCs w:val="24"/>
          <w:color w:val="auto"/>
        </w:rPr>
      </w:pPr>
    </w:p>
    <w:tbl>
      <w:tblPr>
        <w:tblLayout w:type="fixed"/>
        <w:tblInd w:w="980" w:type="dxa"/>
        <w:tblCellMar>
          <w:top w:w="0" w:type="dxa"/>
          <w:left w:w="0" w:type="dxa"/>
          <w:bottom w:w="0" w:type="dxa"/>
          <w:right w:w="0" w:type="dxa"/>
        </w:tblCellMar>
      </w:tblPr>
      <w:tr>
        <w:trPr>
          <w:trHeight w:val="201"/>
        </w:trPr>
        <w:tc>
          <w:tcPr>
            <w:tcW w:w="9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4140" w:type="dxa"/>
            <w:vAlign w:val="bottom"/>
          </w:tcPr>
          <w:p>
            <w:pPr>
              <w:spacing w:after="0"/>
              <w:rPr>
                <w:sz w:val="17"/>
                <w:szCs w:val="17"/>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21"/>
        </w:trPr>
        <w:tc>
          <w:tcPr>
            <w:tcW w:w="648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99695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0" w:lineRule="exact"/>
        <w:rPr>
          <w:sz w:val="24"/>
          <w:szCs w:val="24"/>
          <w:color w:val="auto"/>
        </w:rPr>
      </w:pPr>
    </w:p>
    <w:p>
      <w:pPr>
        <w:ind w:right="10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400" w:firstLine="518"/>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2" w:lineRule="exact"/>
        <w:rPr>
          <w:sz w:val="24"/>
          <w:szCs w:val="24"/>
          <w:color w:val="auto"/>
        </w:rPr>
      </w:pPr>
    </w:p>
    <w:p>
      <w:pPr>
        <w:ind w:right="360" w:firstLine="51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8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136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0"/>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4840" w:type="dxa"/>
            <w:vAlign w:val="bottom"/>
          </w:tcPr>
          <w:p>
            <w:pPr>
              <w:ind w:left="6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680" w:type="dxa"/>
            <w:vAlign w:val="bottom"/>
          </w:tcPr>
          <w:p>
            <w:pPr>
              <w:ind w:left="136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680" w:type="dxa"/>
            <w:vAlign w:val="bottom"/>
          </w:tcPr>
          <w:p>
            <w:pPr>
              <w:ind w:left="136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6"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7140" w:type="dxa"/>
            <w:vAlign w:val="bottom"/>
          </w:tcPr>
          <w:p>
            <w:pPr>
              <w:spacing w:after="0"/>
              <w:rPr>
                <w:sz w:val="20"/>
                <w:szCs w:val="20"/>
                <w:color w:val="auto"/>
              </w:rPr>
            </w:pPr>
            <w:r>
              <w:rPr>
                <w:rFonts w:ascii="Arial" w:cs="Arial" w:eastAsia="Arial" w:hAnsi="Arial"/>
                <w:sz w:val="14"/>
                <w:szCs w:val="14"/>
                <w:color w:val="auto"/>
              </w:rPr>
              <w:t>standards provided pursuant to Section 13(a) of the Exchange Act.</w:t>
            </w:r>
          </w:p>
        </w:tc>
        <w:tc>
          <w:tcPr>
            <w:tcW w:w="42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9"/>
                <w:szCs w:val="19"/>
                <w:color w:val="auto"/>
              </w:rPr>
            </w:pPr>
          </w:p>
        </w:tc>
      </w:tr>
      <w:tr>
        <w:trPr>
          <w:trHeight w:val="398"/>
        </w:trPr>
        <w:tc>
          <w:tcPr>
            <w:tcW w:w="7140" w:type="dxa"/>
            <w:vAlign w:val="bottom"/>
          </w:tcPr>
          <w:p>
            <w:pPr>
              <w:ind w:left="520"/>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w:t>
            </w:r>
          </w:p>
        </w:tc>
        <w:tc>
          <w:tcPr>
            <w:tcW w:w="428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20" w:type="dxa"/>
            <w:vAlign w:val="bottom"/>
          </w:tcPr>
          <w:p>
            <w:pPr>
              <w:spacing w:after="0"/>
              <w:rPr>
                <w:sz w:val="24"/>
                <w:szCs w:val="24"/>
                <w:color w:val="auto"/>
              </w:rPr>
            </w:pPr>
          </w:p>
        </w:tc>
      </w:tr>
      <w:tr>
        <w:trPr>
          <w:trHeight w:val="254"/>
        </w:trPr>
        <w:tc>
          <w:tcPr>
            <w:tcW w:w="7140" w:type="dxa"/>
            <w:vAlign w:val="bottom"/>
          </w:tcPr>
          <w:p>
            <w:pPr>
              <w:ind w:left="520"/>
              <w:spacing w:after="0"/>
              <w:rPr>
                <w:sz w:val="20"/>
                <w:szCs w:val="20"/>
                <w:color w:val="auto"/>
              </w:rPr>
            </w:pPr>
            <w:r>
              <w:rPr>
                <w:rFonts w:ascii="Arial" w:cs="Arial" w:eastAsia="Arial" w:hAnsi="Arial"/>
                <w:sz w:val="14"/>
                <w:szCs w:val="14"/>
                <w:color w:val="auto"/>
              </w:rPr>
              <w:t>As of April 23, 2018, there were 50,067,860 shares of the registrant’s Common Stock outstanding.</w:t>
            </w:r>
          </w:p>
        </w:tc>
        <w:tc>
          <w:tcPr>
            <w:tcW w:w="4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3"/>
        </w:trPr>
        <w:tc>
          <w:tcPr>
            <w:tcW w:w="7140" w:type="dxa"/>
            <w:vAlign w:val="bottom"/>
            <w:tcBorders>
              <w:bottom w:val="single" w:sz="8" w:color="auto"/>
            </w:tcBorders>
          </w:tcPr>
          <w:p>
            <w:pPr>
              <w:spacing w:after="0"/>
              <w:rPr>
                <w:sz w:val="8"/>
                <w:szCs w:val="8"/>
                <w:color w:val="auto"/>
              </w:rPr>
            </w:pPr>
          </w:p>
        </w:tc>
        <w:tc>
          <w:tcPr>
            <w:tcW w:w="4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1"/>
        </w:trPr>
        <w:tc>
          <w:tcPr>
            <w:tcW w:w="714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9"/>
        </w:trPr>
        <w:tc>
          <w:tcPr>
            <w:tcW w:w="71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120" w:type="dxa"/>
            <w:vAlign w:val="bottom"/>
            <w:gridSpan w:val="7"/>
          </w:tcPr>
          <w:p>
            <w:pPr>
              <w:ind w:left="16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r>
      <w:tr>
        <w:trPr>
          <w:trHeight w:val="392"/>
        </w:trPr>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15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34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1</w:t>
            </w:r>
          </w:p>
        </w:tc>
        <w:tc>
          <w:tcPr>
            <w:tcW w:w="992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at March 31, 2018 (Unaudited) and December 31, 2017</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4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Months Ended March 31, 2018 and 2017 (Unaudited)</w:t>
              </w:r>
            </w:hyperlink>
          </w:p>
        </w:tc>
        <w:tc>
          <w:tcPr>
            <w:tcW w:w="4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0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for the Three Months Ended March 31, 2018 and 2017 (Unaudited)</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0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Financial Statements</w:t>
              </w:r>
            </w:hyperlink>
          </w:p>
        </w:tc>
        <w:tc>
          <w:tcPr>
            <w:tcW w:w="3820" w:type="dxa"/>
            <w:vAlign w:val="bottom"/>
            <w:tcBorders>
              <w:top w:val="single" w:sz="8" w:color="0000EE"/>
            </w:tcBorders>
            <w:gridSpan w:val="5"/>
          </w:tcPr>
          <w:p>
            <w:pPr>
              <w:spacing w:after="0"/>
              <w:rPr>
                <w:sz w:val="17"/>
                <w:szCs w:val="17"/>
                <w:color w:val="auto"/>
              </w:rPr>
            </w:pPr>
          </w:p>
        </w:tc>
        <w:tc>
          <w:tcPr>
            <w:tcW w:w="230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2</w:t>
            </w:r>
          </w:p>
        </w:tc>
        <w:tc>
          <w:tcPr>
            <w:tcW w:w="9920" w:type="dxa"/>
            <w:vAlign w:val="bottom"/>
            <w:gridSpan w:val="1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346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8140" w:type="dxa"/>
            <w:vAlign w:val="bottom"/>
            <w:gridSpan w:val="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331"/>
        </w:trPr>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3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Other Information</w:t>
              </w:r>
            </w:hyperlink>
          </w:p>
        </w:tc>
        <w:tc>
          <w:tcPr>
            <w:tcW w:w="858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858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1A</w:t>
            </w:r>
          </w:p>
        </w:tc>
        <w:tc>
          <w:tcPr>
            <w:tcW w:w="9920" w:type="dxa"/>
            <w:vAlign w:val="bottom"/>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Unregistered Sales of Equity Securities and Use of Proceeds</w:t>
              </w:r>
            </w:hyperlink>
          </w:p>
        </w:tc>
        <w:tc>
          <w:tcPr>
            <w:tcW w:w="556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3</w:t>
            </w:r>
          </w:p>
        </w:tc>
        <w:tc>
          <w:tcPr>
            <w:tcW w:w="9920" w:type="dxa"/>
            <w:vAlign w:val="bottom"/>
            <w:gridSpan w:val="1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Defaults Upon Senior Securities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760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Other Information</w:t>
              </w:r>
            </w:hyperlink>
          </w:p>
        </w:tc>
        <w:tc>
          <w:tcPr>
            <w:tcW w:w="8600" w:type="dxa"/>
            <w:vAlign w:val="bottom"/>
            <w:gridSpan w:val="1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Item 6</w:t>
            </w:r>
          </w:p>
        </w:tc>
        <w:tc>
          <w:tcPr>
            <w:tcW w:w="9920" w:type="dxa"/>
            <w:vAlign w:val="bottom"/>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027"/>
        </w:trPr>
        <w:tc>
          <w:tcPr>
            <w:tcW w:w="80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6560" w:type="dxa"/>
            <w:vAlign w:val="bottom"/>
          </w:tcPr>
          <w:p>
            <w:pPr>
              <w:jc w:val="center"/>
              <w:ind w:left="2479"/>
              <w:spacing w:after="0"/>
              <w:rPr>
                <w:sz w:val="20"/>
                <w:szCs w:val="20"/>
                <w:color w:val="auto"/>
              </w:rPr>
            </w:pPr>
            <w:r>
              <w:rPr>
                <w:rFonts w:ascii="Arial" w:cs="Arial" w:eastAsia="Arial" w:hAnsi="Arial"/>
                <w:sz w:val="16"/>
                <w:szCs w:val="16"/>
                <w:b w:val="1"/>
                <w:bCs w:val="1"/>
                <w:color w:val="auto"/>
              </w:rPr>
              <w:t>PART I. FINANCIAL INFORMATION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6560" w:type="dxa"/>
            <w:vAlign w:val="bottom"/>
          </w:tcPr>
          <w:p>
            <w:pPr>
              <w:spacing w:after="0"/>
              <w:rPr>
                <w:sz w:val="20"/>
                <w:szCs w:val="20"/>
                <w:color w:val="auto"/>
              </w:rPr>
            </w:pPr>
            <w:r>
              <w:rPr>
                <w:rFonts w:ascii="Arial" w:cs="Arial" w:eastAsia="Arial" w:hAnsi="Arial"/>
                <w:sz w:val="16"/>
                <w:szCs w:val="16"/>
                <w:b w:val="1"/>
                <w:bCs w:val="1"/>
                <w:color w:val="auto"/>
              </w:rPr>
              <w:t>Financial Statements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160" w:type="dxa"/>
            <w:vAlign w:val="bottom"/>
          </w:tcPr>
          <w:p>
            <w:pPr>
              <w:spacing w:after="0"/>
              <w:rPr>
                <w:sz w:val="24"/>
                <w:szCs w:val="24"/>
                <w:color w:val="auto"/>
              </w:rPr>
            </w:pPr>
          </w:p>
        </w:tc>
        <w:tc>
          <w:tcPr>
            <w:tcW w:w="6560" w:type="dxa"/>
            <w:vAlign w:val="bottom"/>
          </w:tcPr>
          <w:p>
            <w:pPr>
              <w:jc w:val="center"/>
              <w:ind w:left="2479"/>
              <w:spacing w:after="0"/>
              <w:rPr>
                <w:sz w:val="20"/>
                <w:szCs w:val="20"/>
                <w:color w:val="auto"/>
              </w:rPr>
            </w:pPr>
            <w:r>
              <w:rPr>
                <w:rFonts w:ascii="Arial" w:cs="Arial" w:eastAsia="Arial" w:hAnsi="Arial"/>
                <w:sz w:val="16"/>
                <w:szCs w:val="16"/>
                <w:b w:val="1"/>
                <w:bCs w:val="1"/>
                <w:color w:val="auto"/>
              </w:rPr>
              <w:t>TANDEM DIABETES CARE, INC.</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560" w:type="dxa"/>
            <w:vAlign w:val="bottom"/>
          </w:tcPr>
          <w:p>
            <w:pPr>
              <w:jc w:val="center"/>
              <w:ind w:left="2479"/>
              <w:spacing w:after="0"/>
              <w:rPr>
                <w:sz w:val="20"/>
                <w:szCs w:val="20"/>
                <w:color w:val="auto"/>
              </w:rPr>
            </w:pPr>
            <w:r>
              <w:rPr>
                <w:rFonts w:ascii="Arial" w:cs="Arial" w:eastAsia="Arial" w:hAnsi="Arial"/>
                <w:sz w:val="16"/>
                <w:szCs w:val="16"/>
                <w:b w:val="1"/>
                <w:bCs w:val="1"/>
                <w:color w:val="auto"/>
                <w:w w:val="99"/>
              </w:rPr>
              <w:t>CONDENSED BALANCE SHEETS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560" w:type="dxa"/>
            <w:vAlign w:val="bottom"/>
          </w:tcPr>
          <w:p>
            <w:pPr>
              <w:jc w:val="center"/>
              <w:ind w:left="2459"/>
              <w:spacing w:after="0"/>
              <w:rPr>
                <w:sz w:val="20"/>
                <w:szCs w:val="20"/>
                <w:color w:val="auto"/>
              </w:rPr>
            </w:pPr>
            <w:r>
              <w:rPr>
                <w:rFonts w:ascii="Arial" w:cs="Arial" w:eastAsia="Arial" w:hAnsi="Arial"/>
                <w:sz w:val="16"/>
                <w:szCs w:val="16"/>
                <w:b w:val="1"/>
                <w:bCs w:val="1"/>
                <w:color w:val="auto"/>
                <w:w w:val="90"/>
              </w:rPr>
              <w:t>(In thousands, except par value)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11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92"/>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2"/>
              </w:rPr>
              <w:t>(Note 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w w:val="93"/>
              </w:rPr>
              <w:t>Current assets:</w:t>
            </w:r>
          </w:p>
        </w:tc>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62,583</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Inventory, net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Patents, net</w:t>
            </w:r>
          </w:p>
        </w:tc>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cash - long term</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144,699</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19"/>
                <w:szCs w:val="19"/>
                <w:color w:val="auto"/>
              </w:rPr>
            </w:pP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Employee-related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Common stock warrants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payable—long-term</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76,405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Deferred rent—long-term</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Total liabilities</w:t>
            </w:r>
          </w:p>
        </w:tc>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1"/>
              </w:rPr>
              <w:t>Common stock, $0.001 par value; 100,000 shares authorized as of March 31, 2018 and December 31,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2"/>
              </w:rPr>
              <w:t>2017, 46,636 and 10,119 shares issued and outstanding at March 31, 2018 and December 31, 2017,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7"/>
              </w:rPr>
              <w:t>respectively.</w:t>
            </w:r>
          </w:p>
        </w:tc>
        <w:tc>
          <w:tcPr>
            <w:tcW w:w="6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521,958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(510,157)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(477,613)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11,848</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 (deficit)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144,699</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TANDEM DIABETES CARE,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STATEMENTS OF OPERATIONS AND COMPREHENSIVE LOSS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88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27,277</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15,873</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5,975</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26,889</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(15,485)</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(3,071)</w:t>
            </w: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Change in fair value of stock warrants</w:t>
            </w:r>
          </w:p>
        </w:tc>
        <w:tc>
          <w:tcPr>
            <w:tcW w:w="9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(14,228)</w:t>
            </w: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(17,208)</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(32,693)</w:t>
            </w:r>
          </w:p>
        </w:tc>
        <w:tc>
          <w:tcPr>
            <w:tcW w:w="30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(23,792)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Unrealized gain on short-term investments</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(32,693)</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(23,791)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5"/>
                <w:szCs w:val="15"/>
                <w:color w:val="auto"/>
              </w:rPr>
              <w:t>(1)</w:t>
            </w:r>
          </w:p>
        </w:tc>
        <w:tc>
          <w:tcPr>
            <w:tcW w:w="9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vMerge w:val="continue"/>
          </w:tcPr>
          <w:p>
            <w:pPr>
              <w:spacing w:after="0"/>
              <w:rPr>
                <w:sz w:val="21"/>
                <w:szCs w:val="21"/>
                <w:color w:val="auto"/>
              </w:rPr>
            </w:pPr>
          </w:p>
        </w:tc>
        <w:tc>
          <w:tcPr>
            <w:tcW w:w="98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30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used to compute basic and diluted net loss per share</w:t>
            </w:r>
            <w:r>
              <w:rPr>
                <w:rFonts w:ascii="Arial" w:cs="Arial" w:eastAsia="Arial" w:hAnsi="Arial"/>
                <w:sz w:val="15"/>
                <w:szCs w:val="15"/>
                <w:color w:val="auto"/>
              </w:rPr>
              <w:t>(1)</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17,993</w:t>
            </w: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financial statements.</w:t>
      </w:r>
    </w:p>
    <w:p>
      <w:pPr>
        <w:spacing w:after="0" w:line="221" w:lineRule="exact"/>
        <w:rPr>
          <w:sz w:val="20"/>
          <w:szCs w:val="20"/>
          <w:color w:val="auto"/>
        </w:rPr>
      </w:pPr>
    </w:p>
    <w:p>
      <w:pPr>
        <w:ind w:left="760" w:right="120" w:hanging="374"/>
        <w:spacing w:after="0" w:line="293"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issued and outstanding shares of common stock have been restated for all periods presented to reflect the effects of the 1-for-10 reverse stock split, which was effective on October 9, 2017.</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TANDEM DIABETES CARE,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Net loss</w:t>
            </w:r>
          </w:p>
        </w:tc>
        <w:tc>
          <w:tcPr>
            <w:tcW w:w="1840" w:type="dxa"/>
            <w:vAlign w:val="bottom"/>
            <w:gridSpan w:val="2"/>
          </w:tcPr>
          <w:p>
            <w:pPr>
              <w:jc w:val="right"/>
              <w:ind w:right="82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(32,693)</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(23,792)</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related to amortization of debt discount and debt issuance costs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Provision for allowance for doubtful accounts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inventory reserve</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Payment in kind interest accrual of notes payable</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common stock warrants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14,228</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Amortization of discount on short-term investments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7,657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Inventory, net</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Prepaid and other current assets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(745)</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(1,654)</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Employee-related liabilities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(3,978)</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(185)</w:t>
            </w: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Other long-term liabilities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(12,272)</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Purchase of short-term investments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(9,000)</w:t>
            </w: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Proceeds from sales and maturities of short-term investments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(514)</w:t>
            </w: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Proceeds from public offering, net of offering costs</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64,157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warrants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Proceeds from exercise of common stock</w:t>
            </w: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70,669</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8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48,883</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8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23,700</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and restricted cash at end of period</w:t>
            </w:r>
          </w:p>
        </w:tc>
        <w:tc>
          <w:tcPr>
            <w:tcW w:w="86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821"/>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72,583</w:t>
            </w:r>
          </w:p>
        </w:tc>
        <w:tc>
          <w:tcPr>
            <w:tcW w:w="2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Interest paid</w:t>
            </w:r>
          </w:p>
        </w:tc>
        <w:tc>
          <w:tcPr>
            <w:tcW w:w="1840" w:type="dxa"/>
            <w:vAlign w:val="bottom"/>
            <w:gridSpan w:val="2"/>
          </w:tcPr>
          <w:p>
            <w:pPr>
              <w:jc w:val="right"/>
              <w:ind w:right="821"/>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2,379</w:t>
            </w:r>
          </w:p>
        </w:tc>
        <w:tc>
          <w:tcPr>
            <w:tcW w:w="280" w:type="dxa"/>
            <w:vAlign w:val="bottom"/>
          </w:tcPr>
          <w:p>
            <w:pPr>
              <w:spacing w:after="0"/>
              <w:rPr>
                <w:sz w:val="23"/>
                <w:szCs w:val="23"/>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8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Lease incentive - lessor-paid tenant improvements</w:t>
            </w:r>
          </w:p>
        </w:tc>
        <w:tc>
          <w:tcPr>
            <w:tcW w:w="1840" w:type="dxa"/>
            <w:vAlign w:val="bottom"/>
            <w:gridSpan w:val="2"/>
          </w:tcPr>
          <w:p>
            <w:pPr>
              <w:jc w:val="right"/>
              <w:ind w:right="82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discount included in other long-term liabilities</w:t>
            </w:r>
          </w:p>
        </w:tc>
        <w:tc>
          <w:tcPr>
            <w:tcW w:w="86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2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Common stock warrants issued in connection with term loan</w:t>
            </w:r>
          </w:p>
        </w:tc>
        <w:tc>
          <w:tcPr>
            <w:tcW w:w="1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FF0FC"/>
            </w:tcBorders>
            <w:vMerge w:val="continue"/>
          </w:tcPr>
          <w:p>
            <w:pPr>
              <w:spacing w:after="0"/>
              <w:rPr>
                <w:sz w:val="21"/>
                <w:szCs w:val="21"/>
                <w:color w:val="auto"/>
              </w:rPr>
            </w:pPr>
          </w:p>
        </w:tc>
        <w:tc>
          <w:tcPr>
            <w:tcW w:w="860" w:type="dxa"/>
            <w:vAlign w:val="bottom"/>
            <w:tcBorders>
              <w:bottom w:val="single" w:sz="8" w:color="CFF0FC"/>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Public offering costs included in accounts payable</w:t>
            </w:r>
          </w:p>
        </w:tc>
        <w:tc>
          <w:tcPr>
            <w:tcW w:w="8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21"/>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Property and equipment included in accounts payable</w:t>
            </w:r>
          </w:p>
        </w:tc>
        <w:tc>
          <w:tcPr>
            <w:tcW w:w="1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financial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380" w:firstLine="571"/>
        <w:spacing w:after="0" w:line="264"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products for people with insulin-dependent diabetes. The Company is incorporated in the state of Delaware. Unless the context requires otherwise, the terms the “Company” or “Tandem” refer to Tandem Diabetes Care, Inc.</w:t>
      </w:r>
    </w:p>
    <w:p>
      <w:pPr>
        <w:spacing w:after="0" w:line="181"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The Company manufactures and sells insulin pump products in the United States that are designed to address large and differentiated needs of the insulin-dependent diabetes market. The Company’s manufacturing and sales activities primarily focus on the t:slim X2 Insulin Delivery System, or t:slim X2, the next-generation flagship product that is updatable and designed to display Dexcom G5 continuous glucose monitoring, or CGM, sensor information directly on the pump Home Screen. The Company’s insulin pump products are generally considered durable medical equipment, and have an expected lifespan of at least four years. In addition to selling insulin pumps, the Company sells disposable products that are used together with the pumps and are replaced every few days, including cartridges for storing and delivering insulin, and infusion sets that connect the insulin pump to a user’s body. The Company’s insulin pump products are compatible with the Tandem Device Updater, a Mac and PC-compatible tool for the remote update of Tandem insulin pump software.</w:t>
      </w:r>
    </w:p>
    <w:p>
      <w:pPr>
        <w:spacing w:after="0" w:line="192"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Company began commercial sales of its first product, t:slim, in August 2012. During 2015, the Company commenced commercial sales of two additional insulin pumps: t:flex in May 2015 and t:slim G4 in September 2015. In October 2016, the Company commenced commercial sales of t:slim X2 and discontinued new sales of t:slim. In September 2017, the Company commenced commercial sales of t:slim X2 with Dexcom G5 Mobile CGM integration, or t:slim X2 with G5, and discontinued new sales of t:slim G4. The t:slim X2 hardware platform now represents nearly 100% of new pump shipments. Accordingly, the Company intends to discontinue new sales of t:flex pumps in the third quarter of 2018. The Company will continue to provide ongoing service and support to existing t:slim, t:slim G4 and t:flex customers.</w:t>
      </w:r>
    </w:p>
    <w:p>
      <w:pPr>
        <w:spacing w:after="0" w:line="193" w:lineRule="exact"/>
        <w:rPr>
          <w:sz w:val="20"/>
          <w:szCs w:val="20"/>
          <w:color w:val="auto"/>
        </w:rPr>
      </w:pPr>
    </w:p>
    <w:p>
      <w:pPr>
        <w:jc w:val="both"/>
        <w:ind w:right="60" w:firstLine="571"/>
        <w:spacing w:after="0" w:line="264" w:lineRule="auto"/>
        <w:rPr>
          <w:sz w:val="20"/>
          <w:szCs w:val="20"/>
          <w:color w:val="auto"/>
        </w:rPr>
      </w:pPr>
      <w:r>
        <w:rPr>
          <w:rFonts w:ascii="Arial" w:cs="Arial" w:eastAsia="Arial" w:hAnsi="Arial"/>
          <w:sz w:val="18"/>
          <w:szCs w:val="18"/>
          <w:color w:val="auto"/>
        </w:rPr>
        <w:t>In July 2016, the Company launched a Technology Upgrade Program that provided eligible t:slim and t:slim G4 customers a path to obtain t:slim X2, or, as of September 2017, t:slim X2 with G5. Participating customers had the right to exchange their original t:slim and t:slim G4 for a t:slim X2 or t:slim X2 with G5, under a variable pricing structure. The Technology Upgrade Program expired on September 30, 2017.</w:t>
      </w:r>
    </w:p>
    <w:p>
      <w:pPr>
        <w:spacing w:after="0" w:line="181" w:lineRule="exact"/>
        <w:rPr>
          <w:sz w:val="20"/>
          <w:szCs w:val="20"/>
          <w:color w:val="auto"/>
        </w:rPr>
      </w:pPr>
    </w:p>
    <w:p>
      <w:pPr>
        <w:ind w:right="60" w:firstLine="571"/>
        <w:spacing w:after="0" w:line="257" w:lineRule="auto"/>
        <w:rPr>
          <w:sz w:val="20"/>
          <w:szCs w:val="20"/>
          <w:color w:val="auto"/>
        </w:rPr>
      </w:pPr>
      <w:r>
        <w:rPr>
          <w:rFonts w:ascii="Arial" w:cs="Arial" w:eastAsia="Arial" w:hAnsi="Arial"/>
          <w:sz w:val="18"/>
          <w:szCs w:val="18"/>
          <w:color w:val="auto"/>
        </w:rPr>
        <w:t>The Company has incurred operating losses since its inception and, as reflected in the accompanying financial statements, the Company has an accumulated deficit of $510.2 million as of March 31, 2018, which includes a net loss of $32.7 million for the three months ended March 31, 2018. The Company’s ability to achieve profitable operations primarily depends upon achieving a level of revenues adequate to support its cost structure. The Company primarily funded its operations through private and public equity and debt financing. Management expects operating losses and negative cash flows to continue for at least the next 12 months.</w:t>
      </w:r>
    </w:p>
    <w:p>
      <w:pPr>
        <w:spacing w:after="0" w:line="188" w:lineRule="exact"/>
        <w:rPr>
          <w:sz w:val="20"/>
          <w:szCs w:val="20"/>
          <w:color w:val="auto"/>
        </w:rPr>
      </w:pPr>
    </w:p>
    <w:p>
      <w:pPr>
        <w:jc w:val="both"/>
        <w:ind w:right="360" w:firstLine="571"/>
        <w:spacing w:after="0" w:line="286" w:lineRule="auto"/>
        <w:rPr>
          <w:sz w:val="20"/>
          <w:szCs w:val="20"/>
          <w:color w:val="auto"/>
        </w:rPr>
      </w:pPr>
      <w:r>
        <w:rPr>
          <w:rFonts w:ascii="Arial" w:cs="Arial" w:eastAsia="Arial" w:hAnsi="Arial"/>
          <w:sz w:val="17"/>
          <w:szCs w:val="17"/>
          <w:color w:val="auto"/>
        </w:rPr>
        <w:t>As of March 31, 2018, the Company had $81.9 million in cash and cash equivalents and short-term investments, which included $10.0 million of restricted cash. Management evaluated the Company’s ability to continue as a going concern within one year of the financial statements being issued and believes that the cash on hand will be sufficient to satisfy its liquidity requirements for at least the next 12 months.</w:t>
      </w:r>
    </w:p>
    <w:p>
      <w:pPr>
        <w:spacing w:after="0" w:line="166" w:lineRule="exact"/>
        <w:rPr>
          <w:sz w:val="20"/>
          <w:szCs w:val="20"/>
          <w:color w:val="auto"/>
        </w:rPr>
      </w:pPr>
    </w:p>
    <w:p>
      <w:pPr>
        <w:ind w:right="60" w:firstLine="571"/>
        <w:spacing w:after="0" w:line="270" w:lineRule="auto"/>
        <w:rPr>
          <w:sz w:val="20"/>
          <w:szCs w:val="20"/>
          <w:color w:val="auto"/>
        </w:rPr>
      </w:pPr>
      <w:r>
        <w:rPr>
          <w:rFonts w:ascii="Arial" w:cs="Arial" w:eastAsia="Arial" w:hAnsi="Arial"/>
          <w:sz w:val="17"/>
          <w:szCs w:val="17"/>
          <w:color w:val="auto"/>
        </w:rPr>
        <w:t>The Company’s ability to continue as a going concern, meet its minimum liquidity requirements in the future or satisfy the other covenants under the Amended and Restated Term Loan Agreement with Capital Royalty Partners, or the Term Loan Agreement (see Note 6, “Term Loan Agreement”) is dependent on its ability to continue to grow the business by executing its strategy to achieve renewal pump sales objectives, develop and launch new products, increase gross profits from higher sales of infusion sets, maximize manufacturing efficiencies and leverage early investments made in the sales, clinical and marketing organization. If the Company does not achieve these objectives, it may in the future seek additional capital from public or private offerings of its capital stock or it may elect to borrow additional amounts under new credit lines or from other sources. If the Company issues equity or debt securities to raise additional funds, its existing stockholders may experience dilution, it may incur significant financing costs, and the new equity or debt securities may have rights, preferences and privileges senior to those of its existing stockholders. There can be no assurance that equity or debt financing will be available on acceptable terms, or at all.</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ind w:right="60" w:firstLine="700"/>
        <w:spacing w:after="0" w:line="255" w:lineRule="auto"/>
        <w:rPr>
          <w:sz w:val="20"/>
          <w:szCs w:val="20"/>
          <w:color w:val="auto"/>
        </w:rPr>
      </w:pPr>
      <w:r>
        <w:rPr>
          <w:rFonts w:ascii="Arial" w:cs="Arial" w:eastAsia="Arial" w:hAnsi="Arial"/>
          <w:sz w:val="18"/>
          <w:szCs w:val="18"/>
          <w:color w:val="auto"/>
        </w:rPr>
        <w:t>The financial statements included in this Quarterly Report on Form 10-Q for the three months ended March 31, 2018 (the “Quarterly Report”) have been prepared on a basis that assumes that the Company will continue as a going concern, and do not include any adjustments that may result from the outcome of this uncertainty. This basis of accounting contemplates the recovery of the Company’s assets and the satisfaction of the Company’s liabilities and commitments in the normal course of business and does not include any adjustments to reflect the possible future effects of the recoverability and classification of recorded asset amounts or amounts and classification of liabilities that might be necessary should the Company be unable to continue as a going concern.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577"/>
        <w:spacing w:after="0" w:line="257" w:lineRule="auto"/>
        <w:rPr>
          <w:sz w:val="20"/>
          <w:szCs w:val="20"/>
          <w:color w:val="auto"/>
        </w:rPr>
      </w:pPr>
      <w:r>
        <w:rPr>
          <w:rFonts w:ascii="Arial" w:cs="Arial" w:eastAsia="Arial" w:hAnsi="Arial"/>
          <w:sz w:val="18"/>
          <w:szCs w:val="18"/>
          <w:color w:val="auto"/>
        </w:rPr>
        <w:t>The Company has prepared the accompanying unaudited condensed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20" w:firstLine="577"/>
        <w:spacing w:after="0" w:line="279" w:lineRule="auto"/>
        <w:rPr>
          <w:sz w:val="20"/>
          <w:szCs w:val="20"/>
          <w:color w:val="auto"/>
        </w:rPr>
      </w:pPr>
      <w:r>
        <w:rPr>
          <w:rFonts w:ascii="Arial" w:cs="Arial" w:eastAsia="Arial" w:hAnsi="Arial"/>
          <w:sz w:val="17"/>
          <w:szCs w:val="17"/>
          <w:color w:val="auto"/>
        </w:rPr>
        <w:t>Interim financial results are not necessarily indicative of results anticipated for the full year or any other period(s). These unaudited condensed financial statements should be read in conjunction with the Company’s audited financial statements and accompanying footnotes included in the Company’s Annual Report on Form 10-K for the year ended December 31, 2017 (“Annual Report”), from which the balance sheet information herein was derived. These unaudited condensed financial statements exclude disclosures required by U.S. GAAP for complete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200" w:firstLine="571"/>
        <w:spacing w:after="0" w:line="342" w:lineRule="auto"/>
        <w:rPr>
          <w:sz w:val="20"/>
          <w:szCs w:val="20"/>
          <w:color w:val="auto"/>
        </w:rPr>
      </w:pPr>
      <w:r>
        <w:rPr>
          <w:rFonts w:ascii="Arial" w:cs="Arial" w:eastAsia="Arial" w:hAnsi="Arial"/>
          <w:sz w:val="16"/>
          <w:szCs w:val="16"/>
          <w:color w:val="auto"/>
        </w:rPr>
        <w:t>There have been no material changes in our significant accounting policies during the three months ended March 31, 2018, as compared with those disclosed in the Annual Report other than adoption of the new revenue recognition standard (“Revenue from Contracts with Customers Standard”).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571"/>
        <w:spacing w:after="0" w:line="31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informed estimates and assumptions that affect the reported amounts of assets, liabilities, revenues and expenses, and the disclosure of contingent assets and liabilities in the Company’s financial statements and accompanying footnotes as of the date of the financial statements. Actual results could materially differ from those estimates and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200" w:firstLine="571"/>
        <w:spacing w:after="0" w:line="264" w:lineRule="auto"/>
        <w:rPr>
          <w:sz w:val="20"/>
          <w:szCs w:val="20"/>
          <w:color w:val="auto"/>
        </w:rPr>
      </w:pPr>
      <w:r>
        <w:rPr>
          <w:rFonts w:ascii="Arial" w:cs="Arial" w:eastAsia="Arial" w:hAnsi="Arial"/>
          <w:sz w:val="18"/>
          <w:szCs w:val="18"/>
          <w:color w:val="auto"/>
        </w:rPr>
        <w:t>Operating segments are identified as components of an enterprise about which segment discrete financial information is available for evaluation by the chief operating decision-maker in making decisions regarding resource allocation and assessing performance. To date, the Company has viewed its operations and managed its business as one segment, operating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The Company recorded $10.0 million of restricted cash as of both March 31, 2018 and December 31, 2017, for the minimum cash balance requirement in connection with the Term Loan Agreement (see Note 6, “Term Loan Agreement”). In January 2018, the Company adopted new guidance from the Financial Accounting Standards Board (“FASB”) that clarifies how entities should classify certain cash receipts and cash payments on the statement of cash flows. As a result, the restricted cash balance is now included as a component of cash and cash equivalents on the statement of cash flows in all periods presented.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80" w:firstLine="629"/>
        <w:spacing w:after="0" w:line="279" w:lineRule="auto"/>
        <w:rPr>
          <w:sz w:val="20"/>
          <w:szCs w:val="20"/>
          <w:color w:val="auto"/>
        </w:rPr>
      </w:pPr>
      <w:r>
        <w:rPr>
          <w:rFonts w:ascii="Arial" w:cs="Arial" w:eastAsia="Arial" w:hAnsi="Arial"/>
          <w:sz w:val="17"/>
          <w:szCs w:val="17"/>
          <w:color w:val="auto"/>
        </w:rPr>
        <w:t>The Company grants credit to various customers in the ordinary course of business. The Company maintains an allowance for doubtful accounts for potential credit losses. Provisions are made based on historical experience, assessment of specific risk, review of outstanding invoices, and various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0" w:firstLine="571"/>
        <w:spacing w:after="0" w:line="25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 and employee-related liabilities are reasonable estimates of their fair values because of the short-term nature of these assets and liabilities. Short-term investments are carried at fair value. Based on the borrowing rates currently available for loans with similar terms, the Company believes that the fair value of its long-term notes payable approximates its carrying value. The estimated fair value of certain of the Company’s common stock warrants is determined by using the Black-Scholes pricing model as of March 31, 2018 and December 31, 2017, as discussed in Note 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571"/>
        <w:spacing w:after="0" w:line="264" w:lineRule="auto"/>
        <w:rPr>
          <w:sz w:val="20"/>
          <w:szCs w:val="20"/>
          <w:color w:val="auto"/>
        </w:rPr>
      </w:pPr>
      <w:r>
        <w:rPr>
          <w:rFonts w:ascii="Arial" w:cs="Arial" w:eastAsia="Arial" w:hAnsi="Arial"/>
          <w:sz w:val="18"/>
          <w:szCs w:val="18"/>
          <w:color w:val="auto"/>
        </w:rPr>
        <w:t>Revenue is generated primarily from sales in the United States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81" w:lineRule="exact"/>
        <w:rPr>
          <w:sz w:val="20"/>
          <w:szCs w:val="20"/>
          <w:color w:val="auto"/>
        </w:rPr>
      </w:pPr>
    </w:p>
    <w:p>
      <w:pPr>
        <w:ind w:right="140" w:firstLine="577"/>
        <w:spacing w:after="0" w:line="290" w:lineRule="auto"/>
        <w:rPr>
          <w:sz w:val="20"/>
          <w:szCs w:val="20"/>
          <w:color w:val="auto"/>
        </w:rPr>
      </w:pPr>
      <w:r>
        <w:rPr>
          <w:rFonts w:ascii="Arial" w:cs="Arial" w:eastAsia="Arial" w:hAnsi="Arial"/>
          <w:sz w:val="16"/>
          <w:szCs w:val="16"/>
          <w:color w:val="auto"/>
        </w:rPr>
        <w:t>In January 2018, the Company adopted Revenue from Contracts with Customers Standard that supersedes existing revenue guidance under U.S. GAAP and International Financial Reporting Standards. Pursuant to the Revenue from Contracts with Customers Standard’s core principle subsequent to January 1, 2018, the Company recognizes revenue when it transfers promised goods or services to customers in an amount that reflects the consideration to which the company expects to be entitled in exchange for those goods or services. The Company elected to implement this new standard utilizing the modified retrospective method. Under the modified retrospective approach, the Company applied the new standard to all new contracts initiated on/after the effective date, and, for contracts which had remaining obligations as of the effective date, the Company recorded an adjustment to the opening balance of accumulated deficit. The accounting for the significant majority of the Company’s revenues is not impacted by the new guidance. As a result, on January 1, 2018, the Company recorded a net reduction to accumulated deficit in the amount of $149,000, reflecting the accounting change.</w:t>
      </w:r>
    </w:p>
    <w:p>
      <w:pPr>
        <w:spacing w:after="0" w:line="166" w:lineRule="exact"/>
        <w:rPr>
          <w:sz w:val="20"/>
          <w:szCs w:val="20"/>
          <w:color w:val="auto"/>
        </w:rPr>
      </w:pPr>
    </w:p>
    <w:p>
      <w:pPr>
        <w:ind w:firstLine="571"/>
        <w:spacing w:after="0" w:line="277" w:lineRule="auto"/>
        <w:rPr>
          <w:sz w:val="20"/>
          <w:szCs w:val="20"/>
          <w:color w:val="auto"/>
        </w:rPr>
      </w:pPr>
      <w:r>
        <w:rPr>
          <w:rFonts w:ascii="Arial" w:cs="Arial" w:eastAsia="Arial" w:hAnsi="Arial"/>
          <w:sz w:val="18"/>
          <w:szCs w:val="18"/>
          <w:color w:val="auto"/>
        </w:rPr>
        <w:t>Prior to the implementation of this new standard, revenue was recognized when persuasive evidence of an arrangement existed, delivery had occurred and title passed, the price was fixed or determinable, and collectability was reasonably assured.</w:t>
      </w:r>
    </w:p>
    <w:p>
      <w:pPr>
        <w:spacing w:after="0" w:line="170" w:lineRule="exact"/>
        <w:rPr>
          <w:sz w:val="20"/>
          <w:szCs w:val="20"/>
          <w:color w:val="auto"/>
        </w:rPr>
      </w:pPr>
    </w:p>
    <w:p>
      <w:pPr>
        <w:ind w:firstLine="588"/>
        <w:spacing w:after="0" w:line="289" w:lineRule="auto"/>
        <w:rPr>
          <w:sz w:val="20"/>
          <w:szCs w:val="20"/>
          <w:color w:val="auto"/>
        </w:rPr>
      </w:pPr>
      <w:r>
        <w:rPr>
          <w:rFonts w:ascii="Arial" w:cs="Arial" w:eastAsia="Arial" w:hAnsi="Arial"/>
          <w:sz w:val="16"/>
          <w:szCs w:val="16"/>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our insulin pumps, cartridges, infusion sets and accessories are deemed performance obligations that are satisfied upon delivery, while access to our complementary products (t:connect cloud-based data management application and the Tandem Device Updater) are considered performance obligations satisfied over the four-year warranty period of the insulin pumps. There is no standalone value for these complementary products. Therefore, the Company determines their value by applying the expected cost plus margin approach and then allocates the residual to the insulin pumps. At March 31, 2018 and December 31, 2017, $2.1 million and $2.0 million, respectively, were recorded as deferred revenue for these performance obligations that are satisfied over time.</w:t>
      </w:r>
    </w:p>
    <w:p>
      <w:pPr>
        <w:spacing w:after="0" w:line="167"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Additionally, 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Under the new guidance, the allowance for product returns is recorded as a reduction of revenue and an increase in deferred revenue in the period in which the related sale is recorded. Historically, the allowance was recorded as a reduction of revenue and accounts receivable. The amount recorded on the Company’s balance sheets for product return allowance was $0.2 million and $0.2 million at March 31, 2018 and December 31, 2017, respectively. Actual product returns have not differed materially from estimated amounts reserved in the accompanying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60" w:firstLine="571"/>
        <w:spacing w:after="0" w:line="273" w:lineRule="auto"/>
        <w:rPr>
          <w:sz w:val="20"/>
          <w:szCs w:val="20"/>
          <w:color w:val="auto"/>
        </w:rPr>
      </w:pPr>
      <w:r>
        <w:rPr>
          <w:rFonts w:ascii="Arial" w:cs="Arial" w:eastAsia="Arial" w:hAnsi="Arial"/>
          <w:sz w:val="17"/>
          <w:szCs w:val="17"/>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product replacement cost and expected replacement rates based on historical experience. The Company evaluates the reserve quarterly and makes adjustments when appropriate. Changes to the actual replacement rates or the expected product replacement cost could have a material impact on the Company’s estimated warranty reserve.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 w:name="page9"/>
    <w:bookmarkEnd w:id="8"/>
    <w:p>
      <w:pPr>
        <w:ind w:right="200" w:firstLine="577"/>
        <w:spacing w:after="0" w:line="277" w:lineRule="auto"/>
        <w:rPr>
          <w:sz w:val="20"/>
          <w:szCs w:val="20"/>
          <w:color w:val="auto"/>
        </w:rPr>
      </w:pPr>
      <w:r>
        <w:rPr>
          <w:rFonts w:ascii="Arial" w:cs="Arial" w:eastAsia="Arial" w:hAnsi="Arial"/>
          <w:sz w:val="18"/>
          <w:szCs w:val="18"/>
          <w:color w:val="auto"/>
        </w:rPr>
        <w:t>As of March 31, 2018 and December 31, 2017, the warranty reserve was $6.1 million and $5.6 million, respectively. The following table provides a reconciliation of the change in product warranty liabilities from December 31, 2017 through March 31, 2018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Provision for warranties issued during the period</w:t>
            </w: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Settlements made during the period</w:t>
            </w:r>
          </w:p>
        </w:tc>
        <w:tc>
          <w:tcPr>
            <w:tcW w:w="2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Increases in warranty estimates</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portion</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571"/>
        <w:spacing w:after="0" w:line="293"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2013 Stock Incentive Plan (“2013 Plan”) and shares issued under the Company’s 2013 Employee Stock Purchase Plan (“ESPP”) using a Black-Scholes option-pricing model on the date of grant. The Black-Scholes option-pricing model requires the use of subjective assumptions about a number of key variables, including stock price volatility, expected term, and risk-free interest rate. For awards that vest based on the achievement of service conditions, the Company recognizes expense using the straight-line method less estimated forfeitures based on historical experience.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60" w:firstLine="571"/>
        <w:spacing w:after="0" w:line="270" w:lineRule="auto"/>
        <w:rPr>
          <w:sz w:val="20"/>
          <w:szCs w:val="20"/>
          <w:color w:val="auto"/>
        </w:rPr>
      </w:pPr>
      <w:r>
        <w:rPr>
          <w:rFonts w:ascii="Arial" w:cs="Arial" w:eastAsia="Arial" w:hAnsi="Arial"/>
          <w:sz w:val="17"/>
          <w:szCs w:val="17"/>
          <w:color w:val="auto"/>
        </w:rPr>
        <w:t>Basic net loss per share is calculated by dividing the net loss by the weighted average number of common shares that were outstanding for the period, without consideration for common stock equivalents. Diluted loss per share is calculated in accordance with the treasury stock method and reflects the potential dilution that would occur if securities or other contracts to issue common stock were exercised or converted to common stock. Dilutive common share equivalents are comprised of warrants, potential awards granted pursuant to the ESPP, and options outstanding under the Company’s other equity incentive plans. For warrants that are recorded as a liability in the accompanying balance sheet, the calculation of diluted loss per share requires that, to the extent the average market price of the underlying shares for the reporting period exceeds the exercise price of the warrants and the presumed exercise of such securities are dilutive to loss per share for the period, an adjustment to net loss used in the calculation is required to remove the change in fair value of the warrants from the numerator for the period. Likewise, an adjustment to the denominator is required to reflect the related dilutive shares, if any, under the treasury stock method. For all periods presented, there is no difference in the number of shares used to calculate basic and diluted shares outstanding due to the Company’s net loss position.</w:t>
      </w:r>
    </w:p>
    <w:p>
      <w:pPr>
        <w:spacing w:after="0" w:line="178" w:lineRule="exact"/>
        <w:rPr>
          <w:sz w:val="20"/>
          <w:szCs w:val="20"/>
          <w:color w:val="auto"/>
        </w:rPr>
      </w:pPr>
    </w:p>
    <w:p>
      <w:pPr>
        <w:ind w:right="120" w:firstLine="571"/>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thousands, in common stock equivalent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020" w:type="dxa"/>
            <w:vAlign w:val="bottom"/>
            <w:gridSpan w:val="3"/>
          </w:tcPr>
          <w:p>
            <w:pPr>
              <w:jc w:val="center"/>
              <w:ind w:left="1258"/>
              <w:spacing w:after="0"/>
              <w:rPr>
                <w:sz w:val="20"/>
                <w:szCs w:val="20"/>
                <w:color w:val="auto"/>
              </w:rPr>
            </w:pPr>
            <w:r>
              <w:rPr>
                <w:rFonts w:ascii="Arial" w:cs="Arial" w:eastAsia="Arial" w:hAnsi="Arial"/>
                <w:sz w:val="14"/>
                <w:szCs w:val="14"/>
                <w:b w:val="1"/>
                <w:bCs w:val="1"/>
                <w:color w:val="auto"/>
                <w:w w:val="95"/>
              </w:rPr>
              <w:t>Three Months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6940" w:type="dxa"/>
            <w:vAlign w:val="bottom"/>
          </w:tcPr>
          <w:p>
            <w:pPr>
              <w:spacing w:after="0"/>
              <w:rPr>
                <w:sz w:val="19"/>
                <w:szCs w:val="19"/>
                <w:color w:val="auto"/>
              </w:rPr>
            </w:pPr>
          </w:p>
        </w:tc>
        <w:tc>
          <w:tcPr>
            <w:tcW w:w="3020" w:type="dxa"/>
            <w:vAlign w:val="bottom"/>
            <w:tcBorders>
              <w:bottom w:val="single" w:sz="8" w:color="auto"/>
            </w:tcBorders>
            <w:gridSpan w:val="3"/>
          </w:tcPr>
          <w:p>
            <w:pPr>
              <w:jc w:val="center"/>
              <w:ind w:left="1258"/>
              <w:spacing w:after="0"/>
              <w:rPr>
                <w:sz w:val="20"/>
                <w:szCs w:val="20"/>
                <w:color w:val="auto"/>
              </w:rPr>
            </w:pPr>
            <w:r>
              <w:rPr>
                <w:rFonts w:ascii="Arial" w:cs="Arial" w:eastAsia="Arial" w:hAnsi="Arial"/>
                <w:sz w:val="14"/>
                <w:szCs w:val="14"/>
                <w:b w:val="1"/>
                <w:bCs w:val="1"/>
                <w:color w:val="auto"/>
                <w:w w:val="99"/>
              </w:rPr>
              <w:t>March 31,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6940" w:type="dxa"/>
            <w:vAlign w:val="bottom"/>
            <w:tcBorders>
              <w:bottom w:val="single" w:sz="8" w:color="CFF0FC"/>
            </w:tcBorders>
          </w:tcPr>
          <w:p>
            <w:pPr>
              <w:spacing w:after="0"/>
              <w:rPr>
                <w:sz w:val="20"/>
                <w:szCs w:val="20"/>
                <w:color w:val="auto"/>
              </w:rPr>
            </w:pPr>
          </w:p>
        </w:tc>
        <w:tc>
          <w:tcPr>
            <w:tcW w:w="2000" w:type="dxa"/>
            <w:vAlign w:val="bottom"/>
            <w:tcBorders>
              <w:bottom w:val="single" w:sz="8" w:color="auto"/>
            </w:tcBorders>
          </w:tcPr>
          <w:p>
            <w:pPr>
              <w:jc w:val="right"/>
              <w:ind w:right="77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Warrants for common stock</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7,323</w:t>
            </w: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Common stock options</w:t>
            </w:r>
          </w:p>
        </w:tc>
        <w:tc>
          <w:tcPr>
            <w:tcW w:w="2000" w:type="dxa"/>
            <w:vAlign w:val="bottom"/>
          </w:tcPr>
          <w:p>
            <w:pPr>
              <w:jc w:val="right"/>
              <w:spacing w:after="0"/>
              <w:rPr>
                <w:sz w:val="20"/>
                <w:szCs w:val="20"/>
                <w:color w:val="auto"/>
              </w:rPr>
            </w:pPr>
            <w:r>
              <w:rPr>
                <w:rFonts w:ascii="Arial" w:cs="Arial" w:eastAsia="Arial" w:hAnsi="Arial"/>
                <w:sz w:val="18"/>
                <w:szCs w:val="18"/>
                <w:color w:val="auto"/>
              </w:rPr>
              <w:t>419</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23"/>
        </w:trPr>
        <w:tc>
          <w:tcPr>
            <w:tcW w:w="694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w:t>
            </w: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reclassifications of prior year amounts have been made to conform to the current year presentation.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0" w:lineRule="exact"/>
        <w:rPr>
          <w:sz w:val="20"/>
          <w:szCs w:val="20"/>
          <w:color w:val="auto"/>
        </w:rPr>
      </w:pPr>
    </w:p>
    <w:p>
      <w:pPr>
        <w:spacing w:after="0" w:line="24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June 2016, FASB issued a new credit loss standard that changes the impairment model for most financial assets and certain other instruments. The standard is effective for public business entities for annual periods beginning after December 15, 2019, and interim periods within those years. Early adoption is permitted for all entities for annual periods beginning after December 15, 2018, and interim periods within those years. The Company is in the process of assessing the impact of the adoption of the standard on its financial statements.</w:t>
      </w:r>
    </w:p>
    <w:p>
      <w:pPr>
        <w:spacing w:after="0" w:line="187" w:lineRule="exact"/>
        <w:rPr>
          <w:sz w:val="20"/>
          <w:szCs w:val="20"/>
          <w:color w:val="auto"/>
        </w:rPr>
      </w:pPr>
    </w:p>
    <w:p>
      <w:pPr>
        <w:ind w:right="20" w:firstLine="577"/>
        <w:spacing w:after="0" w:line="257" w:lineRule="auto"/>
        <w:rPr>
          <w:sz w:val="20"/>
          <w:szCs w:val="20"/>
          <w:color w:val="auto"/>
        </w:rPr>
      </w:pPr>
      <w:r>
        <w:rPr>
          <w:rFonts w:ascii="Arial" w:cs="Arial" w:eastAsia="Arial" w:hAnsi="Arial"/>
          <w:sz w:val="18"/>
          <w:szCs w:val="18"/>
          <w:color w:val="auto"/>
        </w:rPr>
        <w:t>In February 2016, FASB issued final guidance for lease accounting. The new guidance requires lessees to put most leases on their balance sheet but to recognize expenses on their income statement in a manner similar to current accounting principles. The new guidance also eliminates the current real estate-specific provisions for all entities. The standard is effective for public companies for annual periods beginning after December 15, 2018, and interim periods within those years. Early adoption is permitted for all entities. The Company is in the process of assessing the impact of the adoption of the standard on its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right="240" w:firstLine="571"/>
        <w:spacing w:after="0" w:line="342" w:lineRule="auto"/>
        <w:rPr>
          <w:sz w:val="20"/>
          <w:szCs w:val="20"/>
          <w:color w:val="auto"/>
        </w:rPr>
      </w:pPr>
      <w:r>
        <w:rPr>
          <w:rFonts w:ascii="Arial" w:cs="Arial" w:eastAsia="Arial" w:hAnsi="Arial"/>
          <w:sz w:val="16"/>
          <w:szCs w:val="16"/>
          <w:color w:val="auto"/>
        </w:rPr>
        <w:t>The Company invests in investment securities, principally debt instruments of financial institutions and corporations with strong credit ratings. The following represents a summary of the estimated fair value of short-term investments as of March 31, 2018 and December 31, 2017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March 31, 2018</w:t>
            </w:r>
          </w:p>
        </w:tc>
        <w:tc>
          <w:tcPr>
            <w:tcW w:w="1240" w:type="dxa"/>
            <w:vAlign w:val="bottom"/>
          </w:tcPr>
          <w:p>
            <w:pPr>
              <w:ind w:left="340"/>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139"/>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142"/>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8"/>
        </w:trPr>
        <w:tc>
          <w:tcPr>
            <w:tcW w:w="4660" w:type="dxa"/>
            <w:vAlign w:val="bottom"/>
            <w:gridSpan w:val="3"/>
            <w:vMerge w:val="continue"/>
          </w:tcPr>
          <w:p>
            <w:pPr>
              <w:spacing w:after="0"/>
              <w:rPr>
                <w:sz w:val="13"/>
                <w:szCs w:val="13"/>
                <w:color w:val="auto"/>
              </w:rPr>
            </w:pPr>
          </w:p>
        </w:tc>
        <w:tc>
          <w:tcPr>
            <w:tcW w:w="1240" w:type="dxa"/>
            <w:vAlign w:val="bottom"/>
          </w:tcPr>
          <w:p>
            <w:pPr>
              <w:ind w:left="320"/>
              <w:spacing w:after="0" w:line="158" w:lineRule="exact"/>
              <w:rPr>
                <w:sz w:val="20"/>
                <w:szCs w:val="20"/>
                <w:color w:val="auto"/>
              </w:rPr>
            </w:pPr>
            <w:r>
              <w:rPr>
                <w:rFonts w:ascii="Arial" w:cs="Arial" w:eastAsia="Arial" w:hAnsi="Arial"/>
                <w:sz w:val="14"/>
                <w:szCs w:val="14"/>
                <w:b w:val="1"/>
                <w:bCs w:val="1"/>
                <w:color w:val="auto"/>
              </w:rPr>
              <w:t>(in years)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920" w:type="dxa"/>
            <w:vAlign w:val="bottom"/>
          </w:tcPr>
          <w:p>
            <w:pPr>
              <w:jc w:val="center"/>
              <w:ind w:left="139"/>
              <w:spacing w:after="0" w:line="158" w:lineRule="exact"/>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left="122"/>
              <w:spacing w:after="0" w:line="158"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FF0FC"/>
            </w:tcBorders>
            <w:shd w:val="clear" w:color="auto" w:fill="000000"/>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3300" w:type="dxa"/>
            <w:vAlign w:val="bottom"/>
            <w:tcBorders>
              <w:bottom w:val="single" w:sz="8" w:color="CFF0FC"/>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Available-for-sale investment securities:</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00" w:type="dxa"/>
            <w:vAlign w:val="bottom"/>
            <w:gridSpan w:val="2"/>
          </w:tcPr>
          <w:p>
            <w:pPr>
              <w:jc w:val="right"/>
              <w:ind w:right="74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gridSpan w:val="3"/>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plan participants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3"/>
            <w:vMerge w:val="continue"/>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jc w:val="right"/>
              <w:ind w:right="742"/>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3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At December 31, 2017</w:t>
            </w:r>
          </w:p>
        </w:tc>
        <w:tc>
          <w:tcPr>
            <w:tcW w:w="3300" w:type="dxa"/>
            <w:vAlign w:val="bottom"/>
            <w:vMerge w:val="restart"/>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139"/>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ind w:left="142"/>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gridSpan w:val="2"/>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1240" w:type="dxa"/>
            <w:vAlign w:val="bottom"/>
          </w:tcPr>
          <w:p>
            <w:pPr>
              <w:ind w:left="320"/>
              <w:spacing w:after="0" w:line="158" w:lineRule="exact"/>
              <w:rPr>
                <w:sz w:val="20"/>
                <w:szCs w:val="20"/>
                <w:color w:val="auto"/>
              </w:rPr>
            </w:pPr>
            <w:r>
              <w:rPr>
                <w:rFonts w:ascii="Arial" w:cs="Arial" w:eastAsia="Arial" w:hAnsi="Arial"/>
                <w:sz w:val="14"/>
                <w:szCs w:val="14"/>
                <w:b w:val="1"/>
                <w:bCs w:val="1"/>
                <w:color w:val="auto"/>
              </w:rPr>
              <w:t>(in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920" w:type="dxa"/>
            <w:vAlign w:val="bottom"/>
          </w:tcPr>
          <w:p>
            <w:pPr>
              <w:jc w:val="center"/>
              <w:ind w:left="139"/>
              <w:spacing w:after="0" w:line="158" w:lineRule="exact"/>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left="122"/>
              <w:spacing w:after="0" w:line="158"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gridSpan w:val="3"/>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plan participants</w:t>
            </w:r>
          </w:p>
        </w:tc>
        <w:tc>
          <w:tcPr>
            <w:tcW w:w="12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74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Inventory consisted of the following as of March 31, 2018 and December 31, 2017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0" w:type="dxa"/>
            <w:vAlign w:val="bottom"/>
          </w:tcPr>
          <w:p>
            <w:pPr>
              <w:jc w:val="right"/>
              <w:ind w:right="146"/>
              <w:spacing w:after="0"/>
              <w:rPr>
                <w:sz w:val="20"/>
                <w:szCs w:val="20"/>
                <w:color w:val="auto"/>
              </w:rPr>
            </w:pPr>
            <w:r>
              <w:rPr>
                <w:rFonts w:ascii="Arial" w:cs="Arial" w:eastAsia="Arial" w:hAnsi="Arial"/>
                <w:sz w:val="14"/>
                <w:szCs w:val="14"/>
                <w:b w:val="1"/>
                <w:bCs w:val="1"/>
                <w:color w:val="auto"/>
              </w:rPr>
              <w:t>March 31,</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3500" w:type="dxa"/>
            <w:vAlign w:val="bottom"/>
          </w:tcPr>
          <w:p>
            <w:pPr>
              <w:spacing w:after="0"/>
              <w:rPr>
                <w:sz w:val="18"/>
                <w:szCs w:val="18"/>
                <w:color w:val="auto"/>
              </w:rPr>
            </w:pPr>
          </w:p>
        </w:tc>
        <w:tc>
          <w:tcPr>
            <w:tcW w:w="4120" w:type="dxa"/>
            <w:vAlign w:val="bottom"/>
            <w:gridSpan w:val="2"/>
          </w:tcPr>
          <w:p>
            <w:pPr>
              <w:jc w:val="right"/>
              <w:ind w:right="326"/>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jc w:val="right"/>
              <w:ind w:right="10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3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ind w:right="16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10,395</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2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Work in process</w:t>
            </w:r>
          </w:p>
        </w:tc>
        <w:tc>
          <w:tcPr>
            <w:tcW w:w="2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320" w:type="dxa"/>
            <w:vAlign w:val="bottom"/>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12,330</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12,853</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spacing w:after="0"/>
              <w:rPr>
                <w:sz w:val="19"/>
                <w:szCs w:val="19"/>
                <w:color w:val="auto"/>
              </w:rPr>
            </w:pPr>
          </w:p>
        </w:tc>
        <w:tc>
          <w:tcPr>
            <w:tcW w:w="1800" w:type="dxa"/>
            <w:vAlign w:val="bottom"/>
            <w:tcBorders>
              <w:bottom w:val="single" w:sz="8" w:color="auto"/>
            </w:tcBorders>
          </w:tcPr>
          <w:p>
            <w:pPr>
              <w:jc w:val="right"/>
              <w:ind w:right="16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26,486</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26,993</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3"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940" w:right="300" w:hanging="931"/>
        <w:spacing w:after="0" w:line="277"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70" w:lineRule="exact"/>
        <w:rPr>
          <w:sz w:val="20"/>
          <w:szCs w:val="20"/>
          <w:color w:val="auto"/>
        </w:rPr>
      </w:pPr>
    </w:p>
    <w:p>
      <w:pPr>
        <w:ind w:right="160" w:firstLine="471"/>
        <w:spacing w:after="0" w:line="264"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March 31, 2018 and December 31, 2017, and indicates the fair value hierarchy of the valuation techniques utilized by the Company to determine such fair value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6"/>
              </w:rPr>
              <w:t>March 31, 2018</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64,709</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64,709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 xml:space="preserve">participants </w:t>
            </w:r>
            <w:r>
              <w:rPr>
                <w:rFonts w:ascii="Arial" w:cs="Arial" w:eastAsia="Arial" w:hAnsi="Arial"/>
                <w:sz w:val="15"/>
                <w:szCs w:val="15"/>
                <w:color w:val="auto"/>
              </w:rPr>
              <w:t>(2)</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74,004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65,063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Common stock warrants</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18,061</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5"/>
                <w:szCs w:val="15"/>
                <w:color w:val="auto"/>
              </w:rPr>
              <w:t>(2)</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18,415</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23,700</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participants </w:t>
            </w:r>
            <w:r>
              <w:rPr>
                <w:rFonts w:ascii="Arial" w:cs="Arial" w:eastAsia="Arial" w:hAnsi="Arial"/>
                <w:sz w:val="15"/>
                <w:szCs w:val="15"/>
                <w:color w:val="auto"/>
              </w:rPr>
              <w:t>(2)</w:t>
            </w: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24,179</w:t>
            </w:r>
          </w:p>
        </w:tc>
        <w:tc>
          <w:tcPr>
            <w:tcW w:w="3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24,179</w:t>
            </w:r>
          </w:p>
        </w:tc>
        <w:tc>
          <w:tcPr>
            <w:tcW w:w="3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Common stock warrants</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5,432</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5"/>
                <w:szCs w:val="15"/>
                <w:color w:val="auto"/>
              </w:rPr>
              <w:t>(2)</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80" w:hanging="478"/>
        <w:spacing w:after="0" w:line="26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cash equivalents include money market funds and investments with a maturity of three months or less from the date of purchase. This asset is included as a component of cash and cash equivalents on the balance sheet, of which $10.0 million is classified as restricted cash – long-term as of both March 31, 2018 and December 31, 2017.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ind w:left="540" w:right="280" w:hanging="478"/>
        <w:spacing w:after="0" w:line="26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deferred compensation plan is directed by the Company and structured as a Rabbi Trust for the benefit of certain executives and non-employee directors. The investment assets of the Rabbi Trust are valued using quoted market prices multiplied by the number of shares held in each trust account. The related deferred compensation liability represents the fair value of the investment assets</w:t>
      </w:r>
      <w:r>
        <w:rPr>
          <w:rFonts w:ascii="Arial" w:cs="Arial" w:eastAsia="Arial" w:hAnsi="Arial"/>
          <w:sz w:val="14"/>
          <w:szCs w:val="14"/>
          <w:color w:val="auto"/>
        </w:rPr>
        <w:t>.</w:t>
      </w:r>
    </w:p>
    <w:p>
      <w:pPr>
        <w:spacing w:after="0" w:line="181" w:lineRule="exact"/>
        <w:rPr>
          <w:sz w:val="20"/>
          <w:szCs w:val="20"/>
          <w:color w:val="auto"/>
        </w:rPr>
      </w:pPr>
    </w:p>
    <w:p>
      <w:pPr>
        <w:ind w:right="40" w:firstLine="571"/>
        <w:spacing w:after="0" w:line="302" w:lineRule="auto"/>
        <w:rPr>
          <w:sz w:val="20"/>
          <w:szCs w:val="20"/>
          <w:color w:val="auto"/>
        </w:rPr>
      </w:pPr>
      <w:r>
        <w:rPr>
          <w:rFonts w:ascii="Arial" w:cs="Arial" w:eastAsia="Arial" w:hAnsi="Arial"/>
          <w:sz w:val="16"/>
          <w:szCs w:val="16"/>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assets during the three months ended March 31, 2018.</w:t>
      </w:r>
    </w:p>
    <w:p>
      <w:pPr>
        <w:spacing w:after="0" w:line="154" w:lineRule="exact"/>
        <w:rPr>
          <w:sz w:val="20"/>
          <w:szCs w:val="20"/>
          <w:color w:val="auto"/>
        </w:rPr>
      </w:pPr>
    </w:p>
    <w:p>
      <w:pPr>
        <w:ind w:right="100" w:firstLine="571"/>
        <w:spacing w:after="0" w:line="257" w:lineRule="auto"/>
        <w:rPr>
          <w:sz w:val="20"/>
          <w:szCs w:val="20"/>
          <w:color w:val="auto"/>
        </w:rPr>
      </w:pPr>
      <w:r>
        <w:rPr>
          <w:rFonts w:ascii="Arial" w:cs="Arial" w:eastAsia="Arial" w:hAnsi="Arial"/>
          <w:sz w:val="18"/>
          <w:szCs w:val="18"/>
          <w:color w:val="auto"/>
        </w:rPr>
        <w:t>Level 3 liabilities at March 31, 2018 and December 31, 2017 include the Series A and Series B common stock warrants issued by the Company in connection with the public offering of common stock in October 2017. The Series A warrants to purchase 4,630,000 shares of the Company’s common stock have a term of five years and an exercise price of $3.50 per share. The Series B warrants to purchase 4,630,000 shares of the Company’s common stock have a term of six months and an exercise price of $3.50 per share. These warrants were initially valued at $6.5 million on the date of issuance utilizing a Black-Scholes pricing model.</w:t>
      </w:r>
    </w:p>
    <w:p>
      <w:pPr>
        <w:spacing w:after="0" w:line="188"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Company reassesses the fair value of the outstanding Series A and Series B warrants at each reporting date utilizing a Black-Scholes pricing model. Inputs used in the pricing model include estimates of stock price volatility, expected warrant life and risk-free interest rate. The Company develops its estimates based on publicly available historical data. The assumptions used to estimate the fair values of the common stock warrants at March 31, 2018 and December 31, 2017 are presented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Series A Warrants</w:t>
            </w:r>
          </w:p>
        </w:tc>
        <w:tc>
          <w:tcPr>
            <w:tcW w:w="1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20" w:type="dxa"/>
            <w:vAlign w:val="bottom"/>
            <w:tcBorders>
              <w:bottom w:val="single" w:sz="8" w:color="CFF0FC"/>
            </w:tcBorders>
          </w:tcPr>
          <w:p>
            <w:pPr>
              <w:spacing w:after="0"/>
              <w:rPr>
                <w:sz w:val="13"/>
                <w:szCs w:val="13"/>
                <w:color w:val="auto"/>
              </w:rPr>
            </w:pPr>
          </w:p>
        </w:tc>
        <w:tc>
          <w:tcPr>
            <w:tcW w:w="2080" w:type="dxa"/>
            <w:vAlign w:val="bottom"/>
            <w:tcBorders>
              <w:bottom w:val="single" w:sz="8" w:color="auto"/>
            </w:tcBorders>
          </w:tcPr>
          <w:p>
            <w:pPr>
              <w:ind w:left="1040"/>
              <w:spacing w:after="0" w:line="155" w:lineRule="exact"/>
              <w:rPr>
                <w:sz w:val="20"/>
                <w:szCs w:val="20"/>
                <w:color w:val="auto"/>
              </w:rPr>
            </w:pPr>
            <w:r>
              <w:rPr>
                <w:rFonts w:ascii="Arial" w:cs="Arial" w:eastAsia="Arial" w:hAnsi="Arial"/>
                <w:sz w:val="14"/>
                <w:szCs w:val="14"/>
                <w:b w:val="1"/>
                <w:bCs w:val="1"/>
                <w:color w:val="auto"/>
              </w:rPr>
              <w:t>March 31, 2018</w:t>
            </w:r>
          </w:p>
        </w:tc>
        <w:tc>
          <w:tcPr>
            <w:tcW w:w="9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CFF0FC"/>
            </w:tcBorders>
          </w:tcPr>
          <w:p>
            <w:pPr>
              <w:spacing w:after="0"/>
              <w:rPr>
                <w:sz w:val="13"/>
                <w:szCs w:val="13"/>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0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65.2%</w:t>
            </w:r>
          </w:p>
        </w:tc>
        <w:tc>
          <w:tcPr>
            <w:tcW w:w="34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63.5%</w:t>
            </w: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r>
      <w:tr>
        <w:trPr>
          <w:trHeight w:val="593"/>
        </w:trPr>
        <w:tc>
          <w:tcPr>
            <w:tcW w:w="57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Series B Warrants</w:t>
            </w:r>
          </w:p>
        </w:tc>
        <w:tc>
          <w:tcPr>
            <w:tcW w:w="19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56"/>
        </w:trPr>
        <w:tc>
          <w:tcPr>
            <w:tcW w:w="5720" w:type="dxa"/>
            <w:vAlign w:val="bottom"/>
            <w:tcBorders>
              <w:bottom w:val="single" w:sz="8" w:color="CFF0FC"/>
            </w:tcBorders>
          </w:tcPr>
          <w:p>
            <w:pPr>
              <w:spacing w:after="0"/>
              <w:rPr>
                <w:sz w:val="13"/>
                <w:szCs w:val="13"/>
                <w:color w:val="auto"/>
              </w:rPr>
            </w:pPr>
          </w:p>
        </w:tc>
        <w:tc>
          <w:tcPr>
            <w:tcW w:w="2080" w:type="dxa"/>
            <w:vAlign w:val="bottom"/>
            <w:tcBorders>
              <w:bottom w:val="single" w:sz="8" w:color="auto"/>
            </w:tcBorders>
          </w:tcPr>
          <w:p>
            <w:pPr>
              <w:ind w:left="1040"/>
              <w:spacing w:after="0" w:line="155" w:lineRule="exact"/>
              <w:rPr>
                <w:sz w:val="20"/>
                <w:szCs w:val="20"/>
                <w:color w:val="auto"/>
              </w:rPr>
            </w:pPr>
            <w:r>
              <w:rPr>
                <w:rFonts w:ascii="Arial" w:cs="Arial" w:eastAsia="Arial" w:hAnsi="Arial"/>
                <w:sz w:val="14"/>
                <w:szCs w:val="14"/>
                <w:b w:val="1"/>
                <w:bCs w:val="1"/>
                <w:color w:val="auto"/>
              </w:rPr>
              <w:t>March 31, 2018</w:t>
            </w:r>
          </w:p>
        </w:tc>
        <w:tc>
          <w:tcPr>
            <w:tcW w:w="9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CFF0FC"/>
            </w:tcBorders>
          </w:tcPr>
          <w:p>
            <w:pPr>
              <w:spacing w:after="0"/>
              <w:rPr>
                <w:sz w:val="13"/>
                <w:szCs w:val="13"/>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0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42.8%</w:t>
            </w:r>
          </w:p>
        </w:tc>
        <w:tc>
          <w:tcPr>
            <w:tcW w:w="34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80.3%</w:t>
            </w: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r>
    </w:tbl>
    <w:p>
      <w:pPr>
        <w:spacing w:after="0" w:line="20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presents a summary of changes in fair value of the Company’s total Level 3 financial assets for the quarter ended March 31, 2018:</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2540" w:type="dxa"/>
            <w:vAlign w:val="bottom"/>
            <w:gridSpan w:val="2"/>
            <w:shd w:val="clear" w:color="auto" w:fill="CFF0FC"/>
          </w:tcPr>
          <w:p>
            <w:pPr>
              <w:jc w:val="right"/>
              <w:ind w:right="157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5,432</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Decrease in fair value from warrants exercised during the period</w:t>
            </w: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(1,599)</w:t>
            </w: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Increase in fair value included in change in fair value of common stock warrants</w:t>
            </w:r>
          </w:p>
        </w:tc>
        <w:tc>
          <w:tcPr>
            <w:tcW w:w="780" w:type="dxa"/>
            <w:vAlign w:val="bottom"/>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14,228</w:t>
            </w:r>
          </w:p>
        </w:tc>
        <w:tc>
          <w:tcPr>
            <w:tcW w:w="120" w:type="dxa"/>
            <w:vAlign w:val="bottom"/>
            <w:shd w:val="clear" w:color="auto" w:fill="CFF0FC"/>
          </w:tcPr>
          <w:p>
            <w:pPr>
              <w:spacing w:after="0"/>
              <w:rPr>
                <w:sz w:val="19"/>
                <w:szCs w:val="19"/>
                <w:color w:val="auto"/>
              </w:rPr>
            </w:pPr>
          </w:p>
        </w:tc>
      </w:tr>
      <w:tr>
        <w:trPr>
          <w:trHeight w:val="224"/>
        </w:trPr>
        <w:tc>
          <w:tcPr>
            <w:tcW w:w="660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780" w:type="dxa"/>
            <w:vAlign w:val="bottom"/>
          </w:tcPr>
          <w:p>
            <w:pPr>
              <w:spacing w:after="0"/>
              <w:rPr>
                <w:sz w:val="19"/>
                <w:szCs w:val="19"/>
                <w:color w:val="auto"/>
              </w:rPr>
            </w:pPr>
          </w:p>
        </w:tc>
        <w:tc>
          <w:tcPr>
            <w:tcW w:w="1760" w:type="dxa"/>
            <w:vAlign w:val="bottom"/>
          </w:tcPr>
          <w:p>
            <w:pPr>
              <w:jc w:val="right"/>
              <w:ind w:right="1570"/>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18,061</w:t>
            </w:r>
          </w:p>
        </w:tc>
        <w:tc>
          <w:tcPr>
            <w:tcW w:w="120" w:type="dxa"/>
            <w:vAlign w:val="bottom"/>
          </w:tcPr>
          <w:p>
            <w:pPr>
              <w:spacing w:after="0"/>
              <w:rPr>
                <w:sz w:val="19"/>
                <w:szCs w:val="19"/>
                <w:color w:val="auto"/>
              </w:rPr>
            </w:pPr>
          </w:p>
        </w:tc>
      </w:tr>
    </w:tbl>
    <w:p>
      <w:pPr>
        <w:spacing w:after="0" w:line="201" w:lineRule="exact"/>
        <w:rPr>
          <w:sz w:val="20"/>
          <w:szCs w:val="20"/>
          <w:color w:val="auto"/>
        </w:rPr>
      </w:pPr>
    </w:p>
    <w:p>
      <w:pPr>
        <w:ind w:right="20" w:firstLine="571"/>
        <w:spacing w:after="0" w:line="264" w:lineRule="auto"/>
        <w:rPr>
          <w:sz w:val="20"/>
          <w:szCs w:val="20"/>
          <w:color w:val="auto"/>
        </w:rPr>
      </w:pPr>
      <w:r>
        <w:rPr>
          <w:rFonts w:ascii="Arial" w:cs="Arial" w:eastAsia="Arial" w:hAnsi="Arial"/>
          <w:sz w:val="18"/>
          <w:szCs w:val="18"/>
          <w:color w:val="auto"/>
        </w:rPr>
        <w:t>During the quarter ended March 31, 2018, the Company issued 1,936,565 shares of common stock upon the exercise of Series A and Series B warrants. As a result, Series A and Series B warrants to purchase 7,323,435 common stock warrants from the October financing were outstanding as of March 31,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Term Loan Agreement</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had $82.7 million of aggregate borrowings outstanding under the Term Loan Agreement, as of both March 31, 2018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firstLine="577"/>
        <w:spacing w:after="0" w:line="272" w:lineRule="auto"/>
        <w:rPr>
          <w:sz w:val="20"/>
          <w:szCs w:val="20"/>
          <w:color w:val="auto"/>
        </w:rPr>
      </w:pPr>
      <w:r>
        <w:rPr>
          <w:rFonts w:ascii="Arial" w:cs="Arial" w:eastAsia="Arial" w:hAnsi="Arial"/>
          <w:sz w:val="17"/>
          <w:szCs w:val="17"/>
          <w:color w:val="auto"/>
        </w:rPr>
        <w:t>Under the Term Loan Agreement, interest is payable at the Company’s option, (i) in cash at a rate of 11.5% per annum, or (ii) at a rate of 9.5% of the 11.5% per annum in cash and 2.0% of the 11.5% per annum (the “PIK Loan”)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at the end of the term of the loan, which is March 31, 2020 (the “Maturity Date”). The Company had elected to pay interest in cash at a rate of 11.5% per annum through September 30, 2015. From October 1, 2015 through December 31, 2017, the Company elected to pay interest in cash at a rate of 9.5% per annum and for a rate of 2.0% per annum to be added to the principal of the loan. As a result, $2.7 million was added to the principal of the loan during that time period (the “PIK Loans”).</w:t>
      </w:r>
    </w:p>
    <w:p>
      <w:pPr>
        <w:spacing w:after="0" w:line="178" w:lineRule="exact"/>
        <w:rPr>
          <w:sz w:val="20"/>
          <w:szCs w:val="20"/>
          <w:color w:val="auto"/>
        </w:rPr>
      </w:pPr>
    </w:p>
    <w:p>
      <w:pPr>
        <w:ind w:right="460" w:firstLine="571"/>
        <w:spacing w:after="0" w:line="277" w:lineRule="auto"/>
        <w:rPr>
          <w:sz w:val="20"/>
          <w:szCs w:val="20"/>
          <w:color w:val="auto"/>
        </w:rPr>
      </w:pPr>
      <w:r>
        <w:rPr>
          <w:rFonts w:ascii="Arial" w:cs="Arial" w:eastAsia="Arial" w:hAnsi="Arial"/>
          <w:sz w:val="18"/>
          <w:szCs w:val="18"/>
          <w:color w:val="auto"/>
        </w:rPr>
        <w:t>The term loan is collateralized by all assets of the Company. The principal financial covenants require that the Company attain minimum annual revenues of $95.0 million in 2018 and each year thereafter until the Maturity Date.</w:t>
      </w:r>
    </w:p>
    <w:p>
      <w:pPr>
        <w:spacing w:after="0" w:line="170"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Pursuant to Amendment No. 3 to the Term Loan Agreement (the “Third Amendment”), the Company agreed to pay, on the earlier of (i) the Maturity Date, (ii) the date that the loan under the Term Loan Agreement becomes due, and (iii) the date on which the Company makes a voluntary pre-payment of the loan, a financing fee equal to 3.0% of the sum of (x) the aggregate amount drawn under the Third Amendment, which is $50.0 million, and (y) any PIK Loans issued in relation to the Third Amendment (collectively, the “Back End Financing Fee”).</w:t>
      </w:r>
    </w:p>
    <w:p>
      <w:pPr>
        <w:spacing w:after="0" w:line="187" w:lineRule="exact"/>
        <w:rPr>
          <w:sz w:val="20"/>
          <w:szCs w:val="20"/>
          <w:color w:val="auto"/>
        </w:rPr>
      </w:pPr>
    </w:p>
    <w:p>
      <w:pPr>
        <w:ind w:right="100" w:firstLine="571"/>
        <w:spacing w:after="0" w:line="254" w:lineRule="auto"/>
        <w:rPr>
          <w:sz w:val="20"/>
          <w:szCs w:val="20"/>
          <w:color w:val="auto"/>
        </w:rPr>
      </w:pPr>
      <w:r>
        <w:rPr>
          <w:rFonts w:ascii="Arial" w:cs="Arial" w:eastAsia="Arial" w:hAnsi="Arial"/>
          <w:sz w:val="18"/>
          <w:szCs w:val="18"/>
          <w:color w:val="auto"/>
        </w:rPr>
        <w:t>In March 2017, the Company entered into Amendment No. 4 to the Term Loan Agreement (the “Fourth Amendment”), which included a limited waiver of a potential event of default that could have resulted from the explanatory paragraph in the audit report of its independent registered public accounting firm contained in its financial statements for the year ended December 31, 2016. In consideration for the waiver, the Company agreed to: (i) issue Capital Royalty Partners ten-year warrants to purchase an aggregate of 193,788 shares of the Company’s common stock at an exercise price equal to $23.50 per share, the closing price of our common stock on the NASDAQ Global Market on the date of the Fourth Amendment, (ii) increase the Company’s minimum cash balance requirement under the Term Loan Agreement from $2.0 million to $10.0 million, (iii) provide Capital Royalty Partners the same information it makes available to its board of directors, subject to limited exceptions, and (iv) not incur additional third party indebtedness secured solely by accounts receivable, inventory and cash.</w:t>
      </w:r>
    </w:p>
    <w:p>
      <w:pPr>
        <w:spacing w:after="0" w:line="192" w:lineRule="exact"/>
        <w:rPr>
          <w:sz w:val="20"/>
          <w:szCs w:val="20"/>
          <w:color w:val="auto"/>
        </w:rPr>
      </w:pPr>
    </w:p>
    <w:p>
      <w:pPr>
        <w:ind w:right="80" w:firstLine="693"/>
        <w:spacing w:after="0" w:line="279" w:lineRule="auto"/>
        <w:rPr>
          <w:sz w:val="20"/>
          <w:szCs w:val="20"/>
          <w:color w:val="auto"/>
        </w:rPr>
      </w:pPr>
      <w:r>
        <w:rPr>
          <w:rFonts w:ascii="Arial" w:cs="Arial" w:eastAsia="Arial" w:hAnsi="Arial"/>
          <w:sz w:val="17"/>
          <w:szCs w:val="17"/>
          <w:color w:val="auto"/>
        </w:rPr>
        <w:t>Furthermore, the Company agreed to increase the Back End Financing Fee to 5.0% of the entire aggregate principal amount of borrowings outstanding, including total PIK Loans issued, under the Term Loan Agreement, which was $82.7 million as of December 31, 2017. The Back End Financing Fee is payable at maturity of the Company’s loans and on the principal amount of any loans for which it makes an optional prepayment, and may be payable in connection with asset sales not permitted under the Term Loan Agreement or a change of control.</w:t>
      </w:r>
    </w:p>
    <w:p>
      <w:pPr>
        <w:spacing w:after="0" w:line="171" w:lineRule="exact"/>
        <w:rPr>
          <w:sz w:val="20"/>
          <w:szCs w:val="20"/>
          <w:color w:val="auto"/>
        </w:rPr>
      </w:pPr>
    </w:p>
    <w:p>
      <w:pPr>
        <w:ind w:right="100" w:firstLine="571"/>
        <w:spacing w:after="0" w:line="273" w:lineRule="auto"/>
        <w:rPr>
          <w:sz w:val="20"/>
          <w:szCs w:val="20"/>
          <w:color w:val="auto"/>
        </w:rPr>
      </w:pPr>
      <w:r>
        <w:rPr>
          <w:rFonts w:ascii="Arial" w:cs="Arial" w:eastAsia="Arial" w:hAnsi="Arial"/>
          <w:sz w:val="17"/>
          <w:szCs w:val="17"/>
          <w:color w:val="auto"/>
        </w:rPr>
        <w:t>In February 2018, the Company entered into Amendment No. 5 to the Term Loan Agreement (the “Fifth Amendment”), which included a limited advance waiver of a potential event of default that could have resulted from a qualification regarding the Company’s ability to continue as a going concern in the audit report for the year ended December 31, 2017. The Fifth Amendment included a covenant requiring the Company to complete a financing in which gross proceeds from the sale of equity securities was at least $20.0 million, no later than August 30, 2018, which covenant was satisfied in February 2018. In addition, the Company agreed to increase the Back End Financing Fee from 5.0% to 6.0% of the entire aggregrate principal amount of borrowings outstanding, including total PIK Loans issued, under the Term Loan Agreement.</w:t>
      </w:r>
    </w:p>
    <w:p>
      <w:pPr>
        <w:spacing w:after="0" w:line="178" w:lineRule="exact"/>
        <w:rPr>
          <w:sz w:val="20"/>
          <w:szCs w:val="20"/>
          <w:color w:val="auto"/>
        </w:rPr>
      </w:pPr>
    </w:p>
    <w:p>
      <w:pPr>
        <w:ind w:right="260" w:firstLine="693"/>
        <w:spacing w:after="0" w:line="277" w:lineRule="auto"/>
        <w:rPr>
          <w:sz w:val="20"/>
          <w:szCs w:val="20"/>
          <w:color w:val="auto"/>
        </w:rPr>
      </w:pPr>
      <w:r>
        <w:rPr>
          <w:rFonts w:ascii="Arial" w:cs="Arial" w:eastAsia="Arial" w:hAnsi="Arial"/>
          <w:sz w:val="18"/>
          <w:szCs w:val="18"/>
          <w:color w:val="auto"/>
        </w:rPr>
        <w:t>As of March 31, 2018, and December 31, 2017, the Company had accrued $5.0 million and $4.1 million for the Back End Financing Fee in other long-term liabilities and as contra-debt in notes payable-long-term on the accompanying balance sheet.</w:t>
      </w:r>
    </w:p>
    <w:p>
      <w:pPr>
        <w:spacing w:after="0" w:line="170" w:lineRule="exact"/>
        <w:rPr>
          <w:sz w:val="20"/>
          <w:szCs w:val="20"/>
          <w:color w:val="auto"/>
        </w:rPr>
      </w:pPr>
    </w:p>
    <w:p>
      <w:pPr>
        <w:ind w:right="180" w:firstLine="703"/>
        <w:spacing w:after="0" w:line="259" w:lineRule="auto"/>
        <w:rPr>
          <w:sz w:val="20"/>
          <w:szCs w:val="20"/>
          <w:color w:val="auto"/>
        </w:rPr>
      </w:pPr>
      <w:r>
        <w:rPr>
          <w:rFonts w:ascii="Arial" w:cs="Arial" w:eastAsia="Arial" w:hAnsi="Arial"/>
          <w:sz w:val="18"/>
          <w:szCs w:val="18"/>
          <w:color w:val="auto"/>
        </w:rPr>
        <w:t>The Company treated the execution of each of the Third, Fourth and Fifth Amendments as a modification for accounting purposes. The present value of the future cash flows under these amendments did not exceed the present value of the future cash flows under the previous terms by more than 10%. The Back End Financing Fee and the remaining balance of debt issuance costs and debt discount of the loan are amortized to interest expense over the remaining term using the effective interest method.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5" w:lineRule="exact"/>
        <w:rPr>
          <w:sz w:val="20"/>
          <w:szCs w:val="20"/>
          <w:color w:val="auto"/>
        </w:rPr>
      </w:pPr>
    </w:p>
    <w:p>
      <w:pPr>
        <w:jc w:val="both"/>
        <w:ind w:right="40" w:firstLine="571"/>
        <w:spacing w:after="0" w:line="264" w:lineRule="auto"/>
        <w:rPr>
          <w:sz w:val="20"/>
          <w:szCs w:val="20"/>
          <w:color w:val="auto"/>
        </w:rPr>
      </w:pPr>
      <w:r>
        <w:rPr>
          <w:rFonts w:ascii="Arial" w:cs="Arial" w:eastAsia="Arial" w:hAnsi="Arial"/>
          <w:sz w:val="18"/>
          <w:szCs w:val="18"/>
          <w:color w:val="auto"/>
        </w:rPr>
        <w:t>In the first quarter of 2017, the Company completed a public offering of 1,850,000 shares of its common stock at a public offering price of $12.50 per share. The gross proceeds to the Company from the offering were $23.1 million, before deducting underwriting discounts and commissions and other offering expenses payable by the Company.</w:t>
      </w:r>
    </w:p>
    <w:p>
      <w:pPr>
        <w:spacing w:after="0" w:line="181" w:lineRule="exact"/>
        <w:rPr>
          <w:sz w:val="20"/>
          <w:szCs w:val="20"/>
          <w:color w:val="auto"/>
        </w:rPr>
      </w:pPr>
    </w:p>
    <w:p>
      <w:pPr>
        <w:ind w:right="20" w:firstLine="629"/>
        <w:spacing w:after="0" w:line="264" w:lineRule="auto"/>
        <w:rPr>
          <w:sz w:val="20"/>
          <w:szCs w:val="20"/>
          <w:color w:val="auto"/>
        </w:rPr>
      </w:pPr>
      <w:r>
        <w:rPr>
          <w:rFonts w:ascii="Arial" w:cs="Arial" w:eastAsia="Arial" w:hAnsi="Arial"/>
          <w:sz w:val="18"/>
          <w:szCs w:val="18"/>
          <w:color w:val="auto"/>
        </w:rPr>
        <w:t>From July 2017 through September 2017, the Company sold 464,108 shares of its common stock under its “at-the-market” offering program at prices ranging from $5.64 to $10.54. The gross proceeds from the offering were $4.3 million, before deducting underwriting discounts and commissions and other offering expenses.</w:t>
      </w:r>
    </w:p>
    <w:p>
      <w:pPr>
        <w:spacing w:after="0" w:line="181" w:lineRule="exact"/>
        <w:rPr>
          <w:sz w:val="20"/>
          <w:szCs w:val="20"/>
          <w:color w:val="auto"/>
        </w:rPr>
      </w:pPr>
    </w:p>
    <w:p>
      <w:pPr>
        <w:ind w:right="80" w:firstLine="571"/>
        <w:spacing w:after="0" w:line="293" w:lineRule="auto"/>
        <w:rPr>
          <w:sz w:val="20"/>
          <w:szCs w:val="20"/>
          <w:color w:val="auto"/>
        </w:rPr>
      </w:pPr>
      <w:r>
        <w:rPr>
          <w:rFonts w:ascii="Arial" w:cs="Arial" w:eastAsia="Arial" w:hAnsi="Arial"/>
          <w:sz w:val="16"/>
          <w:szCs w:val="16"/>
          <w:color w:val="auto"/>
        </w:rPr>
        <w:t>In October 2017, the Company completed a public offering, pursuant to which it sold 4,630,000 shares of its common stock, Series A warrants to purchase up to 4,630,000 shares of common stock and Series B warrants to purchase up to 4,630,000 shares of common stock at a public offering price of $3.50 per share and accompanying warrants. The gross proceeds from the public offering were approximately $16.2 million, before deducting underwriting discounts and commissions and other offering expenses. As of March 31, 2018, the Company had issued 1,936,565 shares of common stock upon exercise of Series A and Series B warrants, which resulted in gross proceeds to the Company of $6.5 million. Subsequent to March 31, 2018, through the expiration of the Series B warrants on April 17, 2018, an additional 3,432,555 warrants were exercised resulting in additional gross proceeds of $11.3 million.</w:t>
      </w:r>
    </w:p>
    <w:p>
      <w:pPr>
        <w:spacing w:after="0" w:line="165" w:lineRule="exact"/>
        <w:rPr>
          <w:sz w:val="20"/>
          <w:szCs w:val="20"/>
          <w:color w:val="auto"/>
        </w:rPr>
      </w:pPr>
    </w:p>
    <w:p>
      <w:pPr>
        <w:jc w:val="both"/>
        <w:ind w:right="40" w:firstLine="571"/>
        <w:spacing w:after="0" w:line="264" w:lineRule="auto"/>
        <w:rPr>
          <w:sz w:val="20"/>
          <w:szCs w:val="20"/>
          <w:color w:val="auto"/>
        </w:rPr>
      </w:pPr>
      <w:r>
        <w:rPr>
          <w:rFonts w:ascii="Arial" w:cs="Arial" w:eastAsia="Arial" w:hAnsi="Arial"/>
          <w:sz w:val="18"/>
          <w:szCs w:val="18"/>
          <w:color w:val="auto"/>
        </w:rPr>
        <w:t>In the first quarter of 2018, the Company completed a public offering of 34,500,000 shares of its common stock at a public offering price of $2.00 per share. The gross proceeds to the Company from the offering were $69.0 million, before deducting underwriting discounts and commissions and other offering expenses payable by the Company.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shares of the Company’s common stock were reserved for future issuance as of March 31, 2018 (in thousands):</w:t>
      </w:r>
    </w:p>
    <w:p>
      <w:pPr>
        <w:sectPr>
          <w:pgSz w:w="11900" w:h="16838" w:orient="portrait"/>
          <w:cols w:equalWidth="0" w:num="1">
            <w:col w:w="11420"/>
          </w:cols>
          <w:pgMar w:left="240" w:top="337"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Shares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Shares underlying outstanding stock options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issuance as ESPP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140"/>
        <w:spacing w:after="0"/>
        <w:rPr>
          <w:sz w:val="20"/>
          <w:szCs w:val="20"/>
          <w:color w:val="auto"/>
        </w:rPr>
      </w:pPr>
      <w:r>
        <w:rPr>
          <w:rFonts w:ascii="Arial" w:cs="Arial" w:eastAsia="Arial" w:hAnsi="Arial"/>
          <w:sz w:val="15"/>
          <w:szCs w:val="15"/>
          <w:color w:val="auto"/>
        </w:rPr>
        <w:t>7,616</w:t>
      </w:r>
    </w:p>
    <w:p>
      <w:pPr>
        <w:spacing w:after="0" w:line="58" w:lineRule="exact"/>
        <w:rPr>
          <w:sz w:val="20"/>
          <w:szCs w:val="20"/>
          <w:color w:val="auto"/>
        </w:rPr>
      </w:pPr>
    </w:p>
    <w:p>
      <w:pPr>
        <w:jc w:val="right"/>
        <w:ind w:right="140"/>
        <w:spacing w:after="0"/>
        <w:rPr>
          <w:sz w:val="20"/>
          <w:szCs w:val="20"/>
          <w:color w:val="auto"/>
        </w:rPr>
      </w:pPr>
      <w:r>
        <w:rPr>
          <w:rFonts w:ascii="Arial" w:cs="Arial" w:eastAsia="Arial" w:hAnsi="Arial"/>
          <w:sz w:val="15"/>
          <w:szCs w:val="15"/>
          <w:color w:val="auto"/>
        </w:rPr>
        <w:t>1,267</w:t>
      </w:r>
    </w:p>
    <w:p>
      <w:pPr>
        <w:spacing w:after="0" w:line="57"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97</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101</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9,081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53975</wp:posOffset>
            </wp:positionV>
            <wp:extent cx="20751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160" w:space="720"/>
            <w:col w:w="540"/>
          </w:cols>
          <w:pgMar w:left="240" w:top="337" w:right="239" w:bottom="1440" w:gutter="0" w:footer="0" w:header="0"/>
          <w:type w:val="continuous"/>
        </w:sectPr>
      </w:pPr>
    </w:p>
    <w:p>
      <w:pPr>
        <w:spacing w:after="0" w:line="100" w:lineRule="exact"/>
        <w:rPr>
          <w:sz w:val="20"/>
          <w:szCs w:val="20"/>
          <w:color w:val="auto"/>
        </w:rPr>
      </w:pPr>
    </w:p>
    <w:p>
      <w:pPr>
        <w:jc w:val="both"/>
        <w:ind w:right="220" w:firstLine="702"/>
        <w:spacing w:after="0" w:line="312" w:lineRule="auto"/>
        <w:rPr>
          <w:sz w:val="20"/>
          <w:szCs w:val="20"/>
          <w:color w:val="auto"/>
        </w:rPr>
      </w:pPr>
      <w:r>
        <w:rPr>
          <w:rFonts w:ascii="Arial" w:cs="Arial" w:eastAsia="Arial" w:hAnsi="Arial"/>
          <w:sz w:val="16"/>
          <w:szCs w:val="16"/>
          <w:color w:val="auto"/>
        </w:rPr>
        <w:t>The Company did not issue any shares of its common stock upon the exercise of any form of stock warrants during the year ended December 31, 2017. The Company issued 24,406 shares of its common stock upon the exercise of stock options during the year ended December 31, 2017. The Company did not issue any shares of its common stock upon the exercise of stock options during the three months ended March 31, 2018.</w:t>
      </w:r>
    </w:p>
    <w:p>
      <w:pPr>
        <w:spacing w:after="0" w:line="147" w:lineRule="exact"/>
        <w:rPr>
          <w:sz w:val="20"/>
          <w:szCs w:val="20"/>
          <w:color w:val="auto"/>
        </w:rPr>
      </w:pPr>
    </w:p>
    <w:p>
      <w:pPr>
        <w:ind w:right="180" w:firstLine="571"/>
        <w:spacing w:after="0" w:line="276" w:lineRule="auto"/>
        <w:rPr>
          <w:sz w:val="20"/>
          <w:szCs w:val="20"/>
          <w:color w:val="auto"/>
        </w:rPr>
      </w:pPr>
      <w:r>
        <w:rPr>
          <w:rFonts w:ascii="Arial" w:cs="Arial" w:eastAsia="Arial" w:hAnsi="Arial"/>
          <w:sz w:val="17"/>
          <w:szCs w:val="17"/>
          <w:color w:val="auto"/>
        </w:rPr>
        <w:t>The ESPP enables eligible employees to purchase shares of the Company’s common stock using their after tax payroll deductions, subject to certain conditions. Historically, offerings under the ESPP consisted of a two-year offering period with four six-month purchase periods which began in May and November of each year. The Company announced the suspension of the ESPP in May 2017 due to a lack of available shares. Therefore, no shares of the Company’s common stock were purchased under the ESPP during the three months ended March 31, 2018. There were 38,929 shares of the Company’s common stock purchased under the ESPP during the year ended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Stock Option</w:t>
            </w:r>
          </w:p>
        </w:tc>
        <w:tc>
          <w:tcPr>
            <w:tcW w:w="1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8"/>
        </w:trPr>
        <w:tc>
          <w:tcPr>
            <w:tcW w:w="5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598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5980" w:type="dxa"/>
            <w:vAlign w:val="bottom"/>
            <w:tcBorders>
              <w:bottom w:val="single" w:sz="8" w:color="CFF0FC"/>
            </w:tcBorders>
          </w:tcPr>
          <w:p>
            <w:pPr>
              <w:spacing w:after="0"/>
              <w:rPr>
                <w:sz w:val="19"/>
                <w:szCs w:val="19"/>
                <w:color w:val="auto"/>
              </w:rPr>
            </w:pPr>
          </w:p>
        </w:tc>
        <w:tc>
          <w:tcPr>
            <w:tcW w:w="166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9"/>
                <w:szCs w:val="19"/>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1660" w:type="dxa"/>
            <w:vAlign w:val="bottom"/>
            <w:shd w:val="clear" w:color="auto" w:fill="CFF0FC"/>
          </w:tcPr>
          <w:p>
            <w:pPr>
              <w:jc w:val="right"/>
              <w:ind w:right="15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59.3%</w:t>
            </w: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6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4" w:name="page15"/>
    <w:bookmarkEnd w:id="14"/>
    <w:p>
      <w:pPr>
        <w:ind w:left="580"/>
        <w:spacing w:after="0"/>
        <w:rPr>
          <w:sz w:val="20"/>
          <w:szCs w:val="20"/>
          <w:color w:val="auto"/>
        </w:rPr>
      </w:pPr>
      <w:r>
        <w:rPr>
          <w:rFonts w:ascii="Arial" w:cs="Arial" w:eastAsia="Arial" w:hAnsi="Arial"/>
          <w:sz w:val="18"/>
          <w:szCs w:val="18"/>
          <w:color w:val="auto"/>
        </w:rPr>
        <w:t>The following table summarizes the allocation of stock-based compensation expense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gridSpan w:val="4"/>
          </w:tcPr>
          <w:p>
            <w:pPr>
              <w:jc w:val="right"/>
              <w:ind w:right="225"/>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565"/>
              <w:spacing w:after="0"/>
              <w:rPr>
                <w:sz w:val="20"/>
                <w:szCs w:val="20"/>
                <w:color w:val="auto"/>
              </w:rPr>
            </w:pPr>
            <w:r>
              <w:rPr>
                <w:rFonts w:ascii="Arial" w:cs="Arial" w:eastAsia="Arial" w:hAnsi="Arial"/>
                <w:sz w:val="14"/>
                <w:szCs w:val="14"/>
                <w:b w:val="1"/>
                <w:bCs w:val="1"/>
                <w:color w:val="auto"/>
              </w:rPr>
              <w:t>March 31,</w:t>
            </w:r>
          </w:p>
        </w:tc>
        <w:tc>
          <w:tcPr>
            <w:tcW w:w="1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240" w:type="dxa"/>
            <w:vAlign w:val="bottom"/>
          </w:tcPr>
          <w:p>
            <w:pPr>
              <w:spacing w:after="0"/>
              <w:rPr>
                <w:sz w:val="19"/>
                <w:szCs w:val="19"/>
                <w:color w:val="auto"/>
              </w:rPr>
            </w:pPr>
          </w:p>
        </w:tc>
        <w:tc>
          <w:tcPr>
            <w:tcW w:w="3480" w:type="dxa"/>
            <w:vAlign w:val="bottom"/>
            <w:gridSpan w:val="2"/>
          </w:tcPr>
          <w:p>
            <w:pPr>
              <w:jc w:val="right"/>
              <w:ind w:right="225"/>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80" w:type="dxa"/>
            <w:vAlign w:val="bottom"/>
          </w:tcPr>
          <w:p>
            <w:pPr>
              <w:jc w:val="right"/>
              <w:ind w:right="10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8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ind w:right="14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3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1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4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19"/>
                <w:szCs w:val="19"/>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9"/>
                <w:szCs w:val="19"/>
                <w:color w:val="auto"/>
              </w:rPr>
            </w:pPr>
          </w:p>
        </w:tc>
        <w:tc>
          <w:tcPr>
            <w:tcW w:w="1640" w:type="dxa"/>
            <w:vAlign w:val="bottom"/>
            <w:tcBorders>
              <w:bottom w:val="single" w:sz="8" w:color="auto"/>
            </w:tcBorders>
          </w:tcPr>
          <w:p>
            <w:pPr>
              <w:jc w:val="right"/>
              <w:ind w:right="14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571"/>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inventory was $0.1 million and $0.2 million as of March 31, 2018 and December 31,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firstLine="571"/>
        <w:spacing w:after="0" w:line="271" w:lineRule="auto"/>
        <w:rPr>
          <w:sz w:val="20"/>
          <w:szCs w:val="20"/>
          <w:color w:val="auto"/>
        </w:rPr>
      </w:pPr>
      <w:r>
        <w:rPr>
          <w:rFonts w:ascii="Arial" w:cs="Arial" w:eastAsia="Arial" w:hAnsi="Arial"/>
          <w:sz w:val="17"/>
          <w:szCs w:val="17"/>
          <w:color w:val="auto"/>
        </w:rPr>
        <w:t>From time to time, the Company may be subject to legal proceedings, disputes and other claims arising in the ordinary course of business, including actions with respect to intellectual property, employment, product liability and contractual matters. In connection with these matters, the Company regularly assesses the probability and range of possible loss based on the developments in these matters. A liability is recorded in the financial statements if it is determined that it is probable that a loss has been incurred, and that the amount or range of the loss can be reasonably estimated. Because of uncertainties related to any pending actions, the Company is currently unable to predict their ultimate outcome, and, with respect to any legal proceeding or claim where no liability has been accrued, to make a meaningful estimate of the reasonably possible loss or range of loss that could result from an unfavorable outcome. As of March 31, 2018 and December 31, 2017, there were no legal proceedings, regulatory encounters or other matters for which the negative outcome was considered probable or for which the amount or range of loss was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You should read the following discussion and analysis together with our financial statements and related notes in Part I, Item 1 of this Quarterly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w:t>
      </w:r>
    </w:p>
    <w:p>
      <w:pPr>
        <w:spacing w:after="0" w:line="211"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business forecasts and plans, research and product development plans, manufacturing plans, strategic plans and objectives, capital needs and financing plans, product launches, regulatory approvals, competitive environment, and the application of accounting guidance. We caution you that the foregoing list may not include all of the forward-looking statements made in this Quarterly Report.</w:t>
      </w:r>
    </w:p>
    <w:p>
      <w:pPr>
        <w:spacing w:after="0" w:line="178"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You should read this Quarterly Report with the understanding that our actual future financial condition and results may be materially different from and worse than what we expect.</w:t>
      </w:r>
    </w:p>
    <w:p>
      <w:pPr>
        <w:spacing w:after="0" w:line="189" w:lineRule="exact"/>
        <w:rPr>
          <w:sz w:val="20"/>
          <w:szCs w:val="20"/>
          <w:color w:val="auto"/>
        </w:rPr>
      </w:pPr>
    </w:p>
    <w:p>
      <w:pPr>
        <w:ind w:right="400" w:firstLine="571"/>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6" w:lineRule="exact"/>
        <w:rPr>
          <w:sz w:val="20"/>
          <w:szCs w:val="20"/>
          <w:color w:val="auto"/>
        </w:rPr>
      </w:pPr>
    </w:p>
    <w:p>
      <w:pPr>
        <w:ind w:right="700" w:firstLine="571"/>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NASDAQ, we undertake no obligation to update or review any forward-looking statement because of new information, future events or other factors.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are a medical device company with an innovative approach to the design, development and commercialization of products for people with insulin-dependent diabetes. We believe our competitive advantage is rooted in our unique consumer-focused approach, and the incorporation of modern and innovative technology into our product offerings. Our manufacturing and sales activities primarily focus on our flagship product, t:slim X2, which is based on our proprietary technology platform. The simple-to-use t:slim X2 is the smallest durable insulin pump available, and the only pump currently available in the United States that is capable of remote feature updates, which positions us well to address the evolving needs and preferences of differentiated segments of the insulin-dependent diabetes market. By delivering innovative hardware and software solutions, as well as best-in-class customer support, we aim to improve and simplify the lives of people with diabetes and their healthcare providers. For the past five consecutive years, the Company has been ranked #1 by insulin pump users in the United States for customer support in an independent survey by dQ&amp;A, a leading diabetes research firm.</w:t>
      </w:r>
    </w:p>
    <w:p>
      <w:pPr>
        <w:spacing w:after="0" w:line="166"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Since the launch of our first product in August 2012 through March 2018, we have shipped more than 72,000 pumps to customers in the United States, of which over 63,000 pumps have been shipped within the four years ended March 31, 2018. We plan to begin commercialization of t:slim X2 in select geographies outside the United States, including Canada, during 2018.</w:t>
      </w:r>
    </w:p>
    <w:p>
      <w:pPr>
        <w:spacing w:after="0" w:line="18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began commercial sales of our first insulin pump, t:slim, in August 2012. During 2015, we commenced commercial sales of two additional insulin pumps: t:flex in May 2015 and t:slim G4 in September 2015. In October 2016, we commenced commercial sales of t:slim X2 and discontinued new sales of t:slim. In September 2017, we commenced commercial sales of t:slim X2 integrated with the Dexcom G5 Mobile CGM system and discontinued new sales of t:slim G4. The t:slim X2 technology platform now represents nearly 100% of our new pump shipments. Accordingly, we intend to discontinue new sales of t:flex pumps in the third quarter of 2018. We will continue to provide ongoing service and support to existing t:slim, t:slim G4 and t:flex customers.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jc w:val="both"/>
        <w:ind w:right="260" w:firstLine="571"/>
        <w:spacing w:after="0" w:line="302" w:lineRule="auto"/>
        <w:rPr>
          <w:sz w:val="20"/>
          <w:szCs w:val="20"/>
          <w:color w:val="auto"/>
        </w:rPr>
      </w:pPr>
      <w:r>
        <w:rPr>
          <w:rFonts w:ascii="Arial" w:cs="Arial" w:eastAsia="Arial" w:hAnsi="Arial"/>
          <w:sz w:val="16"/>
          <w:szCs w:val="16"/>
          <w:color w:val="auto"/>
        </w:rPr>
        <w:t>Our insulin pump products are generally considered durable medical equipment, and have an expected lifespan of at least four years. In addition to selling insulin pumps, we sell disposable products that are used together with our pumps and replaced every few days, including cartridges for storing and delivering insulin, and infusion sets that connect the insulin pump to a user’s body. In September 2017, we commenced commercial sales of cartridge and infusion set products using t:lock, which replaces the standard Luer-lok connector that historically joined an infusion set to our cartridge.</w:t>
      </w:r>
    </w:p>
    <w:p>
      <w:pPr>
        <w:spacing w:after="0" w:line="154"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Our insulin pumps are compatible with the Tandem Device Updater, a revolutionary new tool that allows pump users to update their pumps’ software quickly and easily from a personal computer. The Tandem Device Updater provides our customers access to new and enhanced features and functionality faster than the industry has been able to in the past. The first use of our Tandem Device Updater was for deployment of the latest t:slim software to in-warranty t:slim pumps purchased before April 2015. In September 2017, we set a new standard of care in our industry by offering all existing t:slim X2 customers integration with the Dexcom G5 Mobile CGM system through a software update using the Tandem Device Updater. In October 2017, we announced that, subject to United States Food and Drug Administration (FDA) approval, we intend to make any new features approved by the FDA in 2018 available to all in-warranty users of t:slim X2 at no cost through the Tandem Device Updater. In the future, this tool has the potential to enable users to add other new features and functionality to their pumps, such as Automated Insulin Delivery (AID) algorithms independent of the typical four-year insurance pump reimbursement cycle.</w:t>
      </w:r>
    </w:p>
    <w:p>
      <w:pPr>
        <w:spacing w:after="0" w:line="197" w:lineRule="exact"/>
        <w:rPr>
          <w:sz w:val="20"/>
          <w:szCs w:val="20"/>
          <w:color w:val="auto"/>
        </w:rPr>
      </w:pPr>
    </w:p>
    <w:p>
      <w:pPr>
        <w:ind w:right="80" w:firstLine="571"/>
        <w:spacing w:after="0" w:line="257" w:lineRule="auto"/>
        <w:rPr>
          <w:sz w:val="20"/>
          <w:szCs w:val="20"/>
          <w:color w:val="auto"/>
        </w:rPr>
      </w:pPr>
      <w:r>
        <w:rPr>
          <w:rFonts w:ascii="Arial" w:cs="Arial" w:eastAsia="Arial" w:hAnsi="Arial"/>
          <w:sz w:val="18"/>
          <w:szCs w:val="18"/>
          <w:color w:val="auto"/>
        </w:rPr>
        <w:t>Our innovative approach to product design and development is consumer-focused and based on our extensive market research, as we believe the user is the primary decision maker when purchasing an insulin pump. Our market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thereby allowing users to successfully operate them in their intended environment.</w:t>
      </w:r>
    </w:p>
    <w:p>
      <w:pPr>
        <w:spacing w:after="0" w:line="188" w:lineRule="exact"/>
        <w:rPr>
          <w:sz w:val="20"/>
          <w:szCs w:val="20"/>
          <w:color w:val="auto"/>
        </w:rPr>
      </w:pPr>
    </w:p>
    <w:p>
      <w:pPr>
        <w:ind w:right="20" w:firstLine="571"/>
        <w:spacing w:after="0" w:line="270" w:lineRule="auto"/>
        <w:rPr>
          <w:sz w:val="20"/>
          <w:szCs w:val="20"/>
          <w:color w:val="auto"/>
        </w:rPr>
      </w:pPr>
      <w:r>
        <w:rPr>
          <w:rFonts w:ascii="Arial" w:cs="Arial" w:eastAsia="Arial" w:hAnsi="Arial"/>
          <w:sz w:val="17"/>
          <w:szCs w:val="17"/>
          <w:color w:val="auto"/>
        </w:rPr>
        <w:t>We developed our products to provide the specific features that people with insulin-dependent diabetes seek in a next-generation insulin pump. Our proprietary technology platform allows us to design the slimmest and smallest durable insulin pumps on the market, without sacrificing insulin capacity. Our platform features our patented Micro-Delivery technology, and a miniaturized pumping mechanism that draws insulin from a flexible bag within the pump’s cartridge, rather than relying on a syringe and plunger mechanism. It also features an easy-to-navigate software architecture, and a vivid color touchscreen. In addition, the t:slim X2 features an advanced Bluetooth radio capable of communicating with multiple compatible devices, such as a CGM sensor, blood glucose meter or mobile device applications. Our platform has a micro-USB connection that supports a rechargeable battery and software updates through the Tandem Device Updater, as well as uploads to t:connect Diabetes Management Application, or t:connect. t:connect is our custom cloud-based data management application that provides customers and healthcare providers a fast, easy and visual way to display therapy management data from the pump and supported blood glucose meters. In April 2017, we launched the t:connect HCP Portal, which is designed to streamline healthcare providers’ use of the original t:connect Application and improve office efficiency.</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have rapidly increased sales since our commercial launch by expanding our sales, clinical and marketing infrastructure, by developing, commercializing and marketing multiple differentiated products that utilize our proprietary technology platform and consumer-focused approach, and by providing strong customer support. In our research, approximately 86% of healthcare providers surveyed believe that providing great customer support is the most important attribute in an insulin pump manufacturer. We believe that by demonstrating our product benefits and the shortcomings of existing insulin therapies, more people will choose our insulin pumps for their therapy needs, allowing us to further penetrate and expand the market. We also believe we are positioned well to address consumers’ needs and preferences with our current products and products under development and by offering customers access to our future innovations through the Tandem Device Updater, as they are approved by the FDA. As we continue to develop differentiated products based on our proprietary technology platform, we intend to leverage a single sales, marketing and clinical organization, a shared manufacturing and supply chain infrastructure, and the expertise of our customer support services.</w:t>
      </w:r>
    </w:p>
    <w:p>
      <w:pPr>
        <w:spacing w:after="0" w:line="182"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In 2018, we intend to commence commercial sales in select international geographies. We expect that most of our commercial sales outside the United States will be to independent distributors in select geographies who will perform all sales, customer support and training in their respective territories.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jc w:val="both"/>
        <w:ind w:right="180" w:firstLine="588"/>
        <w:spacing w:after="0" w:line="259" w:lineRule="auto"/>
        <w:rPr>
          <w:sz w:val="20"/>
          <w:szCs w:val="20"/>
          <w:color w:val="auto"/>
        </w:rPr>
      </w:pPr>
      <w:r>
        <w:rPr>
          <w:rFonts w:ascii="Arial" w:cs="Arial" w:eastAsia="Arial" w:hAnsi="Arial"/>
          <w:sz w:val="18"/>
          <w:szCs w:val="18"/>
          <w:color w:val="auto"/>
        </w:rPr>
        <w:t>Our products under development support our strategy of focusing on both consumer and clinical needs, and include AID systems, a next-generation hardware platform, and connected (mobile) health offerings. We intend to leverage our consumer-focused approach and proprietary technology platform to continue to develop products that have the features and functionalities that will allow us to target people in differentiated segments of the insulin-dependent diabetes market:</w:t>
      </w:r>
    </w:p>
    <w:p>
      <w:pPr>
        <w:spacing w:after="0" w:line="187" w:lineRule="exact"/>
        <w:rPr>
          <w:sz w:val="20"/>
          <w:szCs w:val="20"/>
          <w:color w:val="auto"/>
        </w:rPr>
      </w:pPr>
    </w:p>
    <w:p>
      <w:pPr>
        <w:ind w:left="1340" w:right="180" w:hanging="387"/>
        <w:spacing w:after="0" w:line="289" w:lineRule="auto"/>
        <w:tabs>
          <w:tab w:leader="none" w:pos="13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t:</w:t>
      </w:r>
      <w:r>
        <w:rPr>
          <w:rFonts w:ascii="Arial" w:cs="Arial" w:eastAsia="Arial" w:hAnsi="Arial"/>
          <w:sz w:val="16"/>
          <w:szCs w:val="16"/>
          <w:color w:val="auto"/>
        </w:rPr>
        <w:t>slim</w:t>
      </w:r>
      <w:r>
        <w:rPr>
          <w:rFonts w:ascii="Arial" w:cs="Arial" w:eastAsia="Arial" w:hAnsi="Arial"/>
          <w:sz w:val="16"/>
          <w:szCs w:val="16"/>
          <w:i w:val="1"/>
          <w:iCs w:val="1"/>
          <w:color w:val="auto"/>
        </w:rPr>
        <w:t xml:space="preserve"> X2 with Basal IQ </w:t>
      </w:r>
      <w:r>
        <w:rPr>
          <w:rFonts w:ascii="Arial" w:cs="Arial" w:eastAsia="Arial" w:hAnsi="Arial"/>
          <w:sz w:val="16"/>
          <w:szCs w:val="16"/>
          <w:color w:val="auto"/>
        </w:rPr>
        <w:t>– Our first generation AID system is designed to utilize Dexcom G5 sensor values to adjust the rate of insulin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to help minimize the frequency and/or duration of hypoglycemic events. During 2016, we completed a feasibility study of our predictive low glucose suspend (PLGS) algorithm. The data from this feasibility study was used in an investigational device exemption (IDE) submission for a pivotal study, which was approved by the FDA in May 2017. We completed a pivotal study for our t:slim X2 with Basal IQ technology and a Dexcom G5 sensor in January 2018. The results of the pivotal study were used in our premarket approval (PMA) application that was submitted to the FDA in late February 2018. Subject to future FDA approval, our goal is to launch the t:slim X2 with Basal IQ in the summer of 2018 utilizing the Dexcom G5 sensor. More recently, Dexcom received FDA approval for their next generation G6 sensor, which has a new interoperability designation from the FDA, or integrated continuous glucose monitoring (iCGM). We are also pursuing a path to provide the iCGM compatibility for the t:slim X2 with Basal IQ.</w:t>
      </w:r>
    </w:p>
    <w:p>
      <w:pPr>
        <w:spacing w:after="0" w:line="166" w:lineRule="exact"/>
        <w:rPr>
          <w:rFonts w:ascii="Arial" w:cs="Arial" w:eastAsia="Arial" w:hAnsi="Arial"/>
          <w:sz w:val="16"/>
          <w:szCs w:val="16"/>
          <w:color w:val="auto"/>
        </w:rPr>
      </w:pPr>
    </w:p>
    <w:p>
      <w:pPr>
        <w:ind w:left="1340" w:hanging="387"/>
        <w:spacing w:after="0" w:line="253"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t:slim X2 with Control IQ </w:t>
      </w:r>
      <w:r>
        <w:rPr>
          <w:rFonts w:ascii="Arial" w:cs="Arial" w:eastAsia="Arial" w:hAnsi="Arial"/>
          <w:sz w:val="18"/>
          <w:szCs w:val="18"/>
          <w:color w:val="auto"/>
        </w:rPr>
        <w:t>– Our second generation AID system is expected to integrate the t:slim X2 pump with the treat-to-range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that we licensed from TypeZero Technologies LLC, as well as Dexcom’s G6 sensor. With TypeZero’s technology, our product is intended to both increase and decrease basal insulin based on a user’s predicted blood glucose levels, as well as deliver automated correction boluses. In November 2016, we announced that we are working with Dexcom and TypeZero on the integration of our technologies into the International Diabetes Closed Loop (IDCL) Trial. We anticipate that a portion of the trial will utilize a t:slim X2 integrated with TypeZero’s inControl AID algorithms, which is designed to automatically adjust a person’s insulin based on information from a Dexcom G6 sensor. We intend to use the results from this portion of the trial in a PMA submission with the FDA. We have conducted and anticipate continuing to conduct targeted pediatric studies for a future regulatory submission. Subject to both the timely completion of the IDCL Trial with a satisfactory outcome and future FDA approval, our goal is to launch this product in the first half of 2019.</w:t>
      </w:r>
    </w:p>
    <w:p>
      <w:pPr>
        <w:spacing w:after="0" w:line="194" w:lineRule="exact"/>
        <w:rPr>
          <w:rFonts w:ascii="Arial" w:cs="Arial" w:eastAsia="Arial" w:hAnsi="Arial"/>
          <w:sz w:val="18"/>
          <w:szCs w:val="18"/>
          <w:color w:val="auto"/>
        </w:rPr>
      </w:pPr>
    </w:p>
    <w:p>
      <w:pPr>
        <w:ind w:left="1340" w:right="180" w:hanging="387"/>
        <w:spacing w:after="0" w:line="264"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t:sport Insulin Delivery System </w:t>
      </w:r>
      <w:r>
        <w:rPr>
          <w:rFonts w:ascii="Arial" w:cs="Arial" w:eastAsia="Arial" w:hAnsi="Arial"/>
          <w:sz w:val="18"/>
          <w:szCs w:val="18"/>
          <w:color w:val="auto"/>
        </w:rPr>
        <w:t>– This product is our next generation hardware platform that is expected to be half the size of t:slim and is</w:t>
      </w:r>
      <w:r>
        <w:rPr>
          <w:rFonts w:ascii="Arial" w:cs="Arial" w:eastAsia="Arial" w:hAnsi="Arial"/>
          <w:sz w:val="18"/>
          <w:szCs w:val="18"/>
          <w:i w:val="1"/>
          <w:iCs w:val="1"/>
          <w:color w:val="auto"/>
        </w:rPr>
        <w:t xml:space="preserve"> </w:t>
      </w:r>
      <w:r>
        <w:rPr>
          <w:rFonts w:ascii="Arial" w:cs="Arial" w:eastAsia="Arial" w:hAnsi="Arial"/>
          <w:sz w:val="18"/>
          <w:szCs w:val="18"/>
          <w:color w:val="auto"/>
        </w:rPr>
        <w:t>being designed for people who seek even greater discretion and flexibility with the use of their insulin pump. We anticipate conducting clinical trials in 2019 and our goal is to launch this product in 2020 or 2021.</w:t>
      </w:r>
    </w:p>
    <w:p>
      <w:pPr>
        <w:spacing w:after="0" w:line="181" w:lineRule="exact"/>
        <w:rPr>
          <w:rFonts w:ascii="Arial" w:cs="Arial" w:eastAsia="Arial" w:hAnsi="Arial"/>
          <w:sz w:val="18"/>
          <w:szCs w:val="18"/>
          <w:color w:val="auto"/>
        </w:rPr>
      </w:pPr>
    </w:p>
    <w:p>
      <w:pPr>
        <w:ind w:left="1340" w:right="180" w:hanging="387"/>
        <w:spacing w:after="0" w:line="279" w:lineRule="auto"/>
        <w:tabs>
          <w:tab w:leader="none" w:pos="13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Connected (Mobile) Health Offerings </w:t>
      </w:r>
      <w:r>
        <w:rPr>
          <w:rFonts w:ascii="Arial" w:cs="Arial" w:eastAsia="Arial" w:hAnsi="Arial"/>
          <w:sz w:val="17"/>
          <w:szCs w:val="17"/>
          <w:color w:val="auto"/>
        </w:rPr>
        <w:t>- We are currently developing a mobile application that is being designed to utilize the capability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Bluetooth radio to wirelessly upload pump data to t:connect, receive notification of pump alerts and alarms, integrate other health-related information from third party sources, and support future pump-control capabilities for our products under development. We intend to launch the first generation of our mobile application in 2018, with a subset of these features.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Since inception, we have derived nearly all of our sales from the shipment of insulin pumps and associated supplies in the United States. We consider the number of units shipped per quarter to be an important metric for managing our business. We have shipped more than 72,000 insulin pumps since our initial launch in August 2012, of which over 63,000 pumps were shipped within the four year period ended March 31, 2018. Pump shipments are broken down by fiscal quarter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Pump Units Shipped for Each of the Three Months Ended in Respective Years</w:t>
            </w:r>
            <w:r>
              <w:rPr>
                <w:rFonts w:ascii="Arial" w:cs="Arial" w:eastAsia="Arial" w:hAnsi="Arial"/>
                <w:sz w:val="12"/>
                <w:szCs w:val="12"/>
                <w:b w:val="1"/>
                <w:bCs w:val="1"/>
                <w:color w:val="auto"/>
                <w:w w:val="92"/>
              </w:rPr>
              <w:t>(1)</w:t>
            </w: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0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jc w:val="right"/>
              <w:ind w:right="2630"/>
              <w:spacing w:after="0"/>
              <w:rPr>
                <w:sz w:val="20"/>
                <w:szCs w:val="20"/>
                <w:color w:val="auto"/>
              </w:rPr>
            </w:pPr>
            <w:r>
              <w:rPr>
                <w:rFonts w:ascii="Arial" w:cs="Arial" w:eastAsia="Arial" w:hAnsi="Arial"/>
                <w:sz w:val="18"/>
                <w:szCs w:val="18"/>
                <w:color w:val="auto"/>
                <w:w w:val="84"/>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2015</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6,234</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15,483</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16,938</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jc w:val="right"/>
              <w:ind w:right="2630"/>
              <w:spacing w:after="0"/>
              <w:rPr>
                <w:sz w:val="20"/>
                <w:szCs w:val="20"/>
                <w:color w:val="auto"/>
              </w:rPr>
            </w:pPr>
            <w:r>
              <w:rPr>
                <w:rFonts w:ascii="Arial" w:cs="Arial" w:eastAsia="Arial" w:hAnsi="Arial"/>
                <w:sz w:val="18"/>
                <w:szCs w:val="18"/>
                <w:color w:val="auto"/>
                <w:w w:val="84"/>
              </w:rPr>
              <w:t>2017</w:t>
            </w:r>
          </w:p>
        </w:tc>
        <w:tc>
          <w:tcPr>
            <w:tcW w:w="1400" w:type="dxa"/>
            <w:vAlign w:val="bottom"/>
          </w:tcPr>
          <w:p>
            <w:pPr>
              <w:jc w:val="right"/>
              <w:spacing w:after="0"/>
              <w:rPr>
                <w:sz w:val="20"/>
                <w:szCs w:val="20"/>
                <w:color w:val="auto"/>
              </w:rPr>
            </w:pPr>
            <w:r>
              <w:rPr>
                <w:rFonts w:ascii="Arial" w:cs="Arial" w:eastAsia="Arial" w:hAnsi="Arial"/>
                <w:sz w:val="18"/>
                <w:szCs w:val="18"/>
                <w:color w:val="auto"/>
              </w:rPr>
              <w:t>2,816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3,427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3,868</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6,950</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17,061</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jc w:val="right"/>
              <w:ind w:right="2630"/>
              <w:spacing w:after="0"/>
              <w:rPr>
                <w:sz w:val="20"/>
                <w:szCs w:val="20"/>
                <w:color w:val="auto"/>
              </w:rPr>
            </w:pPr>
            <w:r>
              <w:rPr>
                <w:rFonts w:ascii="Arial" w:cs="Arial" w:eastAsia="Arial" w:hAnsi="Arial"/>
                <w:sz w:val="18"/>
                <w:szCs w:val="18"/>
                <w:color w:val="auto"/>
                <w:w w:val="84"/>
              </w:rPr>
              <w:t>2018</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ind w:left="1080"/>
              <w:spacing w:after="0"/>
              <w:rPr>
                <w:sz w:val="20"/>
                <w:szCs w:val="20"/>
                <w:color w:val="auto"/>
              </w:rPr>
            </w:pPr>
            <w:r>
              <w:rPr>
                <w:rFonts w:ascii="Arial" w:cs="Arial" w:eastAsia="Arial" w:hAnsi="Arial"/>
                <w:sz w:val="18"/>
                <w:szCs w:val="18"/>
                <w:color w:val="auto"/>
              </w:rPr>
              <w:t>N/A</w:t>
            </w: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120" w:type="dxa"/>
            <w:vAlign w:val="bottom"/>
            <w:shd w:val="clear" w:color="auto" w:fill="CFF0FC"/>
          </w:tcPr>
          <w:p>
            <w:pPr>
              <w:spacing w:after="0"/>
              <w:rPr>
                <w:sz w:val="19"/>
                <w:szCs w:val="19"/>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both"/>
        <w:ind w:left="760" w:right="260" w:hanging="374"/>
        <w:spacing w:after="0" w:line="264"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table does not reflect returns or exchanges of pump products that occur in the ordinary course of business, nor does it reflect approximately 3,300 trade-ins fulfilled in 2016 and 2017 under the Technology Upgrade Program (discussed below) related to our commercial launch of t:slim X2.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Upgrade Program</w:t>
      </w:r>
    </w:p>
    <w:p>
      <w:pPr>
        <w:spacing w:after="0" w:line="225"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Beginning in the third quarter of 2016 through the third quarter of 2017, we offered a Technology Upgrade Program under a variable pricing structure, as a pathway for certain existing customers to obtain the t:slim X2 insulin pump. Due to the high degree of accounting complexity, the program created unpredictable financial results under U.S. GAAP for the duration of the program. The accounting treatment for the program required us to defer up to 100% of sales at the time of pump shipment and recognize them in a subsequent period, either when the upgrade was fulfilled or at the expiration of the program. We recognized the deferred amount of sales and cost of sales at the earlier of when the obligations under the program were satisfied or upon the expiration of the program. If a customer elected to participate in the program, we recognized any upgrade fees that we received and the associated costs at the time of fulfilling the given obligation. The program expired on September 30, 2017 and, therefore, has no impact on the 2018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Financial Results</w:t>
      </w:r>
    </w:p>
    <w:p>
      <w:pPr>
        <w:spacing w:after="0" w:line="225"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color w:val="auto"/>
        </w:rPr>
        <w:t>For the three months ended March 31, 2018 and 2017, our sales were $27.3 million and $19.0 million, respectively. For the three months ended March 31, 2017, this included incremental net sales of $1.5 million as a result of the Technology Upgrade Program. For the three months ended March 31, 2018 and 2017, our net loss was $32.7 million and $23.8 million, respectively. Our accumulated deficit as of March 31, 2018 was $510.2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and the commercial launch of products by us and our competitors. In particular, customers may defer a purchasing decision if they believe that a new product may be launched in the near future. For example, we believe that our pump shipments were negatively impacted during the second half of 2016 and first half of 2017, as we announced the launches of t:slim X2 and the Technology Upgrade Program in the third quarter of 2016, and one of our competitors announced the future availability of two new products with financial incentives for adoption.</w:t>
      </w:r>
    </w:p>
    <w:p>
      <w:pPr>
        <w:spacing w:after="0" w:line="16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customers, has been and will continue to be impacted by a number of general trends, including the following:</w:t>
      </w:r>
    </w:p>
    <w:p>
      <w:pPr>
        <w:spacing w:after="0" w:line="170" w:lineRule="exact"/>
        <w:rPr>
          <w:sz w:val="20"/>
          <w:szCs w:val="20"/>
          <w:color w:val="auto"/>
        </w:rPr>
      </w:pPr>
    </w:p>
    <w:p>
      <w:pPr>
        <w:ind w:left="1340" w:right="360" w:hanging="387"/>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170" w:lineRule="exact"/>
        <w:rPr>
          <w:rFonts w:ascii="Arial" w:cs="Arial" w:eastAsia="Arial" w:hAnsi="Arial"/>
          <w:sz w:val="18"/>
          <w:szCs w:val="18"/>
          <w:color w:val="auto"/>
        </w:rPr>
      </w:pPr>
    </w:p>
    <w:p>
      <w:pPr>
        <w:ind w:left="1340" w:right="360" w:hanging="387"/>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 associated with summer vacations, annual insurance deductibles, and coinsurance requirements associated with the medical insurance plans utilized by our customers and the customers of our distributors;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the commercialization of new products by us or our competitors;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competitive landscape, including as a result of companies entering or exiting the diabetes therapy market;</w:t>
      </w:r>
    </w:p>
    <w:p>
      <w:pPr>
        <w:spacing w:after="0" w:line="225" w:lineRule="exact"/>
        <w:rPr>
          <w:rFonts w:ascii="Arial" w:cs="Arial" w:eastAsia="Arial" w:hAnsi="Arial"/>
          <w:sz w:val="18"/>
          <w:szCs w:val="18"/>
          <w:color w:val="auto"/>
        </w:rPr>
      </w:pPr>
    </w:p>
    <w:p>
      <w:pPr>
        <w:ind w:left="1340" w:right="120" w:hanging="387"/>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and actual regulatory actions relating to our products and competitive products.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particular, we believe the following specific factors could materially impact our business going forward: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left="1340" w:right="140" w:hanging="387"/>
        <w:spacing w:after="0" w:line="277"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with G5 and the demonstrated success of our Tandem Device Updater, which we expect will positively impact our sales;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launch of t:slim X2 with Basal IQ in the summer of 2018, subject to future FDA approval;</w:t>
      </w:r>
    </w:p>
    <w:p>
      <w:pPr>
        <w:spacing w:after="0" w:line="225" w:lineRule="exact"/>
        <w:rPr>
          <w:rFonts w:ascii="Arial" w:cs="Arial" w:eastAsia="Arial" w:hAnsi="Arial"/>
          <w:sz w:val="18"/>
          <w:szCs w:val="18"/>
          <w:color w:val="auto"/>
        </w:rPr>
      </w:pPr>
    </w:p>
    <w:p>
      <w:pPr>
        <w:ind w:left="1340" w:right="200" w:hanging="387"/>
        <w:spacing w:after="0" w:line="277"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 year reimbursement cycle;</w:t>
      </w:r>
    </w:p>
    <w:p>
      <w:pPr>
        <w:spacing w:after="0" w:line="170" w:lineRule="exact"/>
        <w:rPr>
          <w:rFonts w:ascii="Arial" w:cs="Arial" w:eastAsia="Arial" w:hAnsi="Arial"/>
          <w:sz w:val="18"/>
          <w:szCs w:val="18"/>
          <w:color w:val="auto"/>
        </w:rPr>
      </w:pPr>
    </w:p>
    <w:p>
      <w:pPr>
        <w:ind w:left="1340" w:right="280" w:hanging="387"/>
        <w:spacing w:after="0" w:line="277"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opportunity to attract Animas customers as their pumps come up for renewal, following the announcement by Johnson &amp; Johnson that it intends to discontinue the operations of Animas and exit the insulin pump business entirely;</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sales of infusion sets following the commercial launch of t:lock-compatible pump supplies in the third quarter of 2017;</w:t>
      </w:r>
    </w:p>
    <w:p>
      <w:pPr>
        <w:spacing w:after="0" w:line="236" w:lineRule="exact"/>
        <w:rPr>
          <w:rFonts w:ascii="Arial" w:cs="Arial" w:eastAsia="Arial" w:hAnsi="Arial"/>
          <w:sz w:val="17"/>
          <w:szCs w:val="17"/>
          <w:color w:val="auto"/>
        </w:rPr>
      </w:pPr>
    </w:p>
    <w:p>
      <w:pPr>
        <w:ind w:left="1340" w:right="100" w:hanging="387"/>
        <w:spacing w:after="0" w:line="277"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designation by UnitedHealthcare in July 2016 of one of our competitors as their preferred, in-network durable medical equipment provider of insulin pumps for most customers over the age of 18; and</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expansion in select geographies, including Canada, in the second half of 2018.</w:t>
      </w:r>
    </w:p>
    <w:p>
      <w:pPr>
        <w:spacing w:after="0" w:line="22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For 2018, in addition to working to achieve our sales growth expectations, we intend to continue to leverage our infrastructure investments to realize additional manufacturing cost efficiencies to improve our operating margins, including costs associated with our international launch plans. We believe we can ultimately achieve profitability by driving incremental sales growth, meeting our pump renewal sales objectives, increasing gross profits from larger sales of infusion sets, maximizing manufacturing efficiencies on increased production volumes and leveraging the investments made in our sales, clinical, marketing and customer support organizations.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Regulatory Submission</w:t>
      </w:r>
    </w:p>
    <w:p>
      <w:pPr>
        <w:spacing w:after="0" w:line="22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February 2018, we announced results from a pivotal study of the t:slim X2 with Basal IQ technology, a PLGS feature. Data showed that the system achieved the primary outcome of reducing time spent in hypoglycemia compared to sensor-augmented pump therapy alone. The results of the pivotal study were used in our PMA that was submitted to the FDA in late February 2018. Subject to future FDA approval, our goal is to launch the t:slim X2 with Basal IQ in the summer of 2018.</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Registered Public Offerings</w:t>
      </w:r>
    </w:p>
    <w:p>
      <w:pPr>
        <w:spacing w:after="0" w:line="225" w:lineRule="exact"/>
        <w:rPr>
          <w:sz w:val="20"/>
          <w:szCs w:val="20"/>
          <w:color w:val="auto"/>
        </w:rPr>
      </w:pPr>
    </w:p>
    <w:p>
      <w:pPr>
        <w:ind w:right="800" w:firstLine="571"/>
        <w:spacing w:after="0" w:line="264" w:lineRule="auto"/>
        <w:rPr>
          <w:sz w:val="20"/>
          <w:szCs w:val="20"/>
          <w:color w:val="auto"/>
        </w:rPr>
      </w:pPr>
      <w:r>
        <w:rPr>
          <w:rFonts w:ascii="Arial" w:cs="Arial" w:eastAsia="Arial" w:hAnsi="Arial"/>
          <w:sz w:val="18"/>
          <w:szCs w:val="18"/>
          <w:color w:val="auto"/>
        </w:rPr>
        <w:t>In February 2018, we completed a registered public offering of 34.5 million shares of common stock resulting in gross proceeds to us of approximately $69.0 million, before deducting underwriting discounts and commissions and other offering expenses payable by us, or the February Financing.</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October 2017, we completed a registered public offering of 4.6 million shares of our common stock, Series A warrants to purchase up to 4.6</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shares of our common stock and Series B warrants to purchase up to 4.6 million shares of our common stock at a public offering price of $3.50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and accompanying warrants, which we refer to as the October Financing. The October Financing resulted in gross proceeds to us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$16.2 million, before deducting underwriting discounts and commissions and other offering expenses payable by us. The Series A warrants have an exercise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price of $3.50 per share, are immediately exercisable, and will expire on the 5-year anniversary of the date of issuance. The Series B warrants have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of $3.50 per share, are immediately exercisable, and will expire on the 6-month anniversary of the date of issuance. Through March 31, 2018,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received gross proceeds of $6.5 million from the exercise of 1.9 million Series A and Series B warrants. Subsequent to March 31, 2018, through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expiration of the Series B warrants on April 17, 2018 an additional 3.4 million warrants were exercised resulting in additional gross proceeds of $11.3 million.</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Term Loan Agreement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right="100" w:firstLine="571"/>
        <w:spacing w:after="0" w:line="273" w:lineRule="auto"/>
        <w:rPr>
          <w:sz w:val="20"/>
          <w:szCs w:val="20"/>
          <w:color w:val="auto"/>
        </w:rPr>
      </w:pPr>
      <w:r>
        <w:rPr>
          <w:rFonts w:ascii="Arial" w:cs="Arial" w:eastAsia="Arial" w:hAnsi="Arial"/>
          <w:sz w:val="17"/>
          <w:szCs w:val="17"/>
          <w:color w:val="auto"/>
        </w:rPr>
        <w:t>We have entered into the Term Loan Agreement with Capital Royalty Partners. As of March 31, 2018, we had $82.7 million of aggregate borrowings outstanding under the Term Loan Agreement. On February 6, 2018, we entered into the Fifth Amendment, which included a limited advance waiver of a potential event of default that could have resulted from a qualification regarding our ability to continue as a going concern in the audit report for the year ended December 31, 2017. The Fifth Amendment also included a covenant requiring us to complete a financing in which our gross proceeds from the sale of equity securities was at least $20.0 million, no later than August 30, 2018. We satisfied this covenant with the completion of the February Financing. For additional information about the Term Loan Agreement, see the section entitled “Indebtedness” below.</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International Expansion</w:t>
      </w:r>
    </w:p>
    <w:p>
      <w:pPr>
        <w:spacing w:after="0" w:line="225"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preparation for a commercial launch outside the United States in the second half of 2018, we have filed for the necessary regulatory approvals of our t:slim X2 pump with Dexcom G5 integration in select geographies. In addition, we have also recently entered into distribution agreements with independent distibutors for markets in Australia, New Zealand, Italy and Scandinavia.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from Technology Platform</w:t>
      </w:r>
    </w:p>
    <w:p>
      <w:pPr>
        <w:spacing w:after="0" w:line="225"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We believe we can ultimately achieve profitability because our proprietary technology platform will allow us to maximize efficiencies in the development, production, sale and marketing of multiple differentiated products. By offering products that are all based on our proprietary technology platform, in combination with the flexibility provided by the Tandem Device Updater, we believe we can develop and bring to market products and functionality more rapidly, while significantly reducing our per-unit design and development costs. Due to shared product design features, our production system is adaptable to new products and we intend to leverage our shared manufacturing infrastructure to drive operational efficiencies. Further, we expect to continue to increase production volume and to reduce the per-unit production overhead cost for our pump products and their associated disposable cartridges over time. We anticipate that the transition to our recently launched t:lock Connector will continue to increase our sales of infusion sets. By expanding our product offerings to address the varying needs among people in different segments of the large and growing insulin-dependent diabetes market, we believe we can increase the productivity of our sales, clinical and marketing organization, as well as our customer support infrastructure, thereby improving our operating margin over the long term.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offer products for people with insulin-dependent diabetes. We commenced commercial sales of t:slim in the United States in the third quarter of 2012. We launched our second insulin pump product, t:flex, in the second quarter of 2015, and launched our third insulin pump product, t:slim G4, in the third quarter of 2015. In October 2016, we began shipping t:slim X2, our next generation flagship product, at which time we discontinued sales of t:slim. In August 2017, we commenced commercial sales of t:slim X2 with G5 and discontinued new sales of t:slim G4. The t:slim X2 hardware platform now represents nearly 100% of our new pump shipments. Accordingly, we intend to discontinue new sales of t:flex in the third quarter of 2018. Our products also include disposable cartridges and infusion sets. In addition, we offer accessories including protective cases, belt clips, and power adapters, although such sales are not significant.</w:t>
      </w:r>
    </w:p>
    <w:p>
      <w:pPr>
        <w:spacing w:after="0" w:line="189" w:lineRule="exact"/>
        <w:rPr>
          <w:sz w:val="20"/>
          <w:szCs w:val="20"/>
          <w:color w:val="auto"/>
        </w:rPr>
      </w:pPr>
    </w:p>
    <w:p>
      <w:pPr>
        <w:ind w:right="200" w:firstLine="571"/>
        <w:spacing w:after="0" w:line="297" w:lineRule="auto"/>
        <w:rPr>
          <w:sz w:val="20"/>
          <w:szCs w:val="20"/>
          <w:color w:val="auto"/>
        </w:rPr>
      </w:pPr>
      <w:r>
        <w:rPr>
          <w:rFonts w:ascii="Arial" w:cs="Arial" w:eastAsia="Arial" w:hAnsi="Arial"/>
          <w:sz w:val="16"/>
          <w:szCs w:val="16"/>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58" w:lineRule="exact"/>
        <w:rPr>
          <w:sz w:val="20"/>
          <w:szCs w:val="20"/>
          <w:color w:val="auto"/>
        </w:rPr>
      </w:pPr>
    </w:p>
    <w:p>
      <w:pPr>
        <w:ind w:right="100" w:firstLine="571"/>
        <w:spacing w:after="0" w:line="257" w:lineRule="auto"/>
        <w:rPr>
          <w:sz w:val="20"/>
          <w:szCs w:val="20"/>
          <w:color w:val="auto"/>
        </w:rPr>
      </w:pPr>
      <w:r>
        <w:rPr>
          <w:rFonts w:ascii="Arial" w:cs="Arial" w:eastAsia="Arial" w:hAnsi="Arial"/>
          <w:sz w:val="18"/>
          <w:szCs w:val="18"/>
          <w:color w:val="auto"/>
        </w:rPr>
        <w:t>In 2018, we intend to commence commercial sales in select international geographies. We expect that most of our commercial sales outside the United States will be to independent distributors in select geographies who will perform all sales, customer support and training in their respective territories. Historically we have experienced consistent levels of reimbursement for our products in the United States, but the average sales price will vary in international markets based on economic factors, such as the nature of the reimbursement environment, government regulations and the extent to which we rely on distributor relationships to provide sales, clinical and marketing support.</w:t>
      </w:r>
    </w:p>
    <w:p>
      <w:pPr>
        <w:spacing w:after="0" w:line="188" w:lineRule="exact"/>
        <w:rPr>
          <w:sz w:val="20"/>
          <w:szCs w:val="20"/>
          <w:color w:val="auto"/>
        </w:rPr>
      </w:pPr>
    </w:p>
    <w:p>
      <w:pPr>
        <w:ind w:right="60" w:firstLine="571"/>
        <w:spacing w:after="0" w:line="264" w:lineRule="auto"/>
        <w:rPr>
          <w:sz w:val="20"/>
          <w:szCs w:val="20"/>
          <w:color w:val="auto"/>
        </w:rPr>
      </w:pPr>
      <w:r>
        <w:rPr>
          <w:rFonts w:ascii="Arial" w:cs="Arial" w:eastAsia="Arial" w:hAnsi="Arial"/>
          <w:sz w:val="18"/>
          <w:szCs w:val="18"/>
          <w:color w:val="auto"/>
        </w:rPr>
        <w:t>In general, we have experienced, and expect to continue to experience, product shipments being weighted heavily towards the second half of the year, with the highest percentage of product shipments expected in the fourth quarter of the year. Consistent with prior results, we also expect product shipments from the fourth quarter to the following first quarter to decrease significantly.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right="40" w:firstLine="571"/>
        <w:spacing w:after="0" w:line="253" w:lineRule="auto"/>
        <w:rPr>
          <w:sz w:val="20"/>
          <w:szCs w:val="20"/>
          <w:color w:val="auto"/>
        </w:rPr>
      </w:pPr>
      <w:r>
        <w:rPr>
          <w:rFonts w:ascii="Arial" w:cs="Arial" w:eastAsia="Arial" w:hAnsi="Arial"/>
          <w:sz w:val="18"/>
          <w:szCs w:val="18"/>
          <w:color w:val="auto"/>
        </w:rPr>
        <w:t>In addition, our quarterly sales have fluctuated, and may continue to fluctuate, substantially in the periods surrounding anticipated and actual regulatory approvals and commercial launches of new products by us or our competitors. For instance, customers may defer a purchasing decision if they believe that a new product may be launched in the future. Additionally, upon the announcement of FDA approval or commercial launch of a new product, either by us or one of our competitors, potential new customers may reconsider their purchasing decision or take additional time to consider the anticipated or new approval or product launch in their purchasing decision. For example, we believe that our pump shipments were negatively impacted during the second half of 2016 and first half of 2017, as we announced the launches of t:slim X2 and the Technology Upgrade Program in the third quarter of 2016, and one of our competitors announced the future availability of two new products with financial incentives for adoption. However, we are not able to quantify the extent of the impact of these or similar events, including the launch of t:slim X2 with G5 and the transition to our t:lock Connector in the third quarter of 2017, on future purchasing decisions.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firstLine="577"/>
        <w:spacing w:after="0" w:line="272" w:lineRule="auto"/>
        <w:rPr>
          <w:sz w:val="20"/>
          <w:szCs w:val="20"/>
          <w:color w:val="auto"/>
        </w:rPr>
      </w:pPr>
      <w:r>
        <w:rPr>
          <w:rFonts w:ascii="Arial" w:cs="Arial" w:eastAsia="Arial" w:hAnsi="Arial"/>
          <w:sz w:val="17"/>
          <w:szCs w:val="17"/>
          <w:color w:val="auto"/>
        </w:rPr>
        <w:t>We manufacture our pumps and disposable cartridges at our manufacturing facilities in San Diego, California. Infusion sets and pump accessories are manufactured by third-party suppliers. Cost of sales includes raw materials, labor costs, manufacturing overhead expenses, product training costs, reserves for expected warranty costs, scrap and inventory excess and obsolescence. Manufacturing overhead expenses include expenses relating to quality assurance, manufacturing engineering, material procurement, inventory control, facilities, equipment, information technology and operations supervision and management. Historically, cost of sales has also included royalty costs associated with sales of t:slim G4. In August 2017, we commenced commercial sales of t:slim X2 with G5, which has no royalty obligation, and discontinued new sales of t:slim G4. We anticipate that our cost of sales will continue to increase as our products gain broader market acceptance and our product sales increase.</w:t>
      </w:r>
    </w:p>
    <w:p>
      <w:pPr>
        <w:spacing w:after="0" w:line="178" w:lineRule="exact"/>
        <w:rPr>
          <w:sz w:val="20"/>
          <w:szCs w:val="20"/>
          <w:color w:val="auto"/>
        </w:rPr>
      </w:pPr>
    </w:p>
    <w:p>
      <w:pPr>
        <w:ind w:right="60" w:firstLine="577"/>
        <w:spacing w:after="0" w:line="290" w:lineRule="auto"/>
        <w:rPr>
          <w:sz w:val="20"/>
          <w:szCs w:val="20"/>
          <w:color w:val="auto"/>
        </w:rPr>
      </w:pPr>
      <w:r>
        <w:rPr>
          <w:rFonts w:ascii="Arial" w:cs="Arial" w:eastAsia="Arial" w:hAnsi="Arial"/>
          <w:sz w:val="16"/>
          <w:szCs w:val="16"/>
          <w:color w:val="auto"/>
        </w:rPr>
        <w:t>We expect our overall gross margin percentage, which for any given period is calculated as sales less cost of sales divided by sales, to improve over the long term, as our sales increase and we have more opportunities to spread our overhead costs over larger production volumes. We expect we will be able to leverage our manufacturing cost structure across our products that utilize the same proprietary technology platform and manufacturing infrastructure, and will be able to further reduce costs with increased automation, process improvements and raw materials cost reductions. We also expect our warranty costs to decrease as we release product features and functionality utilizing the Tandem Device Updater. However, our overall gross margin may also fluctuate in future quarterly periods as a result of numerous factors besides those associated with production volumes. Specifically, in 2017, we increased our manufacturing capacity by relocating our manufacturing operations and related functions to a new facility over a period of several quarters, which added duplicative and incremental cost for the duration of the transition. The transition was completed January 2018.</w:t>
      </w:r>
    </w:p>
    <w:p>
      <w:pPr>
        <w:spacing w:after="0" w:line="166" w:lineRule="exact"/>
        <w:rPr>
          <w:sz w:val="20"/>
          <w:szCs w:val="20"/>
          <w:color w:val="auto"/>
        </w:rPr>
      </w:pPr>
    </w:p>
    <w:p>
      <w:pPr>
        <w:ind w:right="20" w:firstLine="577"/>
        <w:spacing w:after="0" w:line="257" w:lineRule="auto"/>
        <w:rPr>
          <w:sz w:val="20"/>
          <w:szCs w:val="20"/>
          <w:color w:val="auto"/>
        </w:rPr>
      </w:pPr>
      <w:r>
        <w:rPr>
          <w:rFonts w:ascii="Arial" w:cs="Arial" w:eastAsia="Arial" w:hAnsi="Arial"/>
          <w:sz w:val="18"/>
          <w:szCs w:val="18"/>
          <w:color w:val="auto"/>
        </w:rPr>
        <w:t>In general, we expect the gross margin on insulin pumps to be higher than the gross margin on pump-related supplies, which would be consistent with our historical experience. Other factors impacting our overall gross margin may include the changing mix of products sold with different gross margins, the changing percentage of products sold to distributors versus directly to individual customers, varying levels of reimbursement among third-party payors and in international markets, the timing and success of new regulatory approvals and product launches, warranty and training costs, and changes in our manufacturing processes, capacity, costs or output.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Our selling, general and administrative, or SG&amp;A, expenses primarily consist of salary, cash-based incentive compensation, fringe benefits and non-cash stock-based compensation for our executive, financial, marketing, sales, clinical, customer care, technical services, insurance verification, regulatory affairs and administrative functions. In particular, our sales and clinical organization consisted of approximately 70 territories as of March 31, 2018. Territories are maintained by sales representatives and field clinical specialists, and supported by managed care liaisons, additional sales management and other customer support personnel.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Although we do not contemplate an increase in the number of domestic sales territories in the near term, we expect our SG&amp;A expenses, including the cost of our customer care infrastructure, to increase as our customer base grows in the United States and international geographies. Our SG&amp;A expenses may also increase due to costs associated with additional compliance and regulatory reporting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research and development, or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and develop new products and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Our other income and expense primarily consists of changes in the fair value of the Series A and Series B warrants issued in the October Financing, as well as interest expense and amortization of debt discount and issuance costs associated with the Term Loan Agreement. As of March 31, 2018, there was $14.2 million of expense associated with the change in fair value of Series A and Series B warrants. There was no expense associated with the change in fair value of Series A and Series B warrants in 2017. As of March 31, 2018 and 2017, there was $82.7 million and $81.5 million, respectively, of outstanding principal under the Term Loan Agreement, which accrues interest at a coupon rate of 11.5% per annum (see the section below entitled “Indebtedness”). We expect other income and expense to fluctuate quarterly due to revaluations of the outstanding common stock warrants which expire in the fourth quarter of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69"/>
        </w:trPr>
        <w:tc>
          <w:tcPr>
            <w:tcW w:w="7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340" w:type="dxa"/>
            <w:vAlign w:val="bottom"/>
          </w:tcPr>
          <w:p>
            <w:pPr>
              <w:spacing w:after="0"/>
              <w:rPr>
                <w:sz w:val="14"/>
                <w:szCs w:val="14"/>
                <w:color w:val="auto"/>
              </w:rPr>
            </w:pPr>
          </w:p>
        </w:tc>
        <w:tc>
          <w:tcPr>
            <w:tcW w:w="124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w w:val="84"/>
              </w:rPr>
              <w:t>2017</w:t>
            </w:r>
          </w:p>
        </w:tc>
        <w:tc>
          <w:tcPr>
            <w:tcW w:w="180" w:type="dxa"/>
            <w:vAlign w:val="bottom"/>
          </w:tcPr>
          <w:p>
            <w:pPr>
              <w:spacing w:after="0"/>
              <w:rPr>
                <w:sz w:val="14"/>
                <w:szCs w:val="14"/>
                <w:color w:val="auto"/>
              </w:rPr>
            </w:pPr>
          </w:p>
        </w:tc>
      </w:tr>
      <w:tr>
        <w:trPr>
          <w:trHeight w:val="34"/>
        </w:trPr>
        <w:tc>
          <w:tcPr>
            <w:tcW w:w="2100" w:type="dxa"/>
            <w:vAlign w:val="bottom"/>
            <w:tcBorders>
              <w:top w:val="single" w:sz="8" w:color="auto"/>
              <w:bottom w:val="single" w:sz="8" w:color="CFF0FC"/>
            </w:tcBorders>
          </w:tcPr>
          <w:p>
            <w:pPr>
              <w:spacing w:after="0"/>
              <w:rPr>
                <w:sz w:val="2"/>
                <w:szCs w:val="2"/>
                <w:color w:val="auto"/>
              </w:rPr>
            </w:pPr>
          </w:p>
        </w:tc>
        <w:tc>
          <w:tcPr>
            <w:tcW w:w="55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r>
      <w:tr>
        <w:trPr>
          <w:trHeight w:val="223"/>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27,277</w:t>
            </w: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18,977</w:t>
            </w:r>
          </w:p>
        </w:tc>
        <w:tc>
          <w:tcPr>
            <w:tcW w:w="180" w:type="dxa"/>
            <w:vAlign w:val="bottom"/>
            <w:shd w:val="clear" w:color="auto" w:fill="CFF0FC"/>
          </w:tcPr>
          <w:p>
            <w:pPr>
              <w:spacing w:after="0"/>
              <w:rPr>
                <w:sz w:val="19"/>
                <w:szCs w:val="19"/>
                <w:color w:val="auto"/>
              </w:rPr>
            </w:pPr>
          </w:p>
        </w:tc>
      </w:tr>
      <w:tr>
        <w:trPr>
          <w:trHeight w:val="230"/>
        </w:trPr>
        <w:tc>
          <w:tcPr>
            <w:tcW w:w="7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15,873</w:t>
            </w:r>
          </w:p>
        </w:tc>
        <w:tc>
          <w:tcPr>
            <w:tcW w:w="4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12,224</w:t>
            </w:r>
          </w:p>
        </w:tc>
        <w:tc>
          <w:tcPr>
            <w:tcW w:w="180" w:type="dxa"/>
            <w:vAlign w:val="bottom"/>
            <w:tcBorders>
              <w:bottom w:val="single" w:sz="8" w:color="CFF0FC"/>
            </w:tcBorders>
          </w:tcPr>
          <w:p>
            <w:pPr>
              <w:spacing w:after="0"/>
              <w:rPr>
                <w:sz w:val="19"/>
                <w:szCs w:val="19"/>
                <w:color w:val="auto"/>
              </w:rPr>
            </w:pPr>
          </w:p>
        </w:tc>
      </w:tr>
      <w:tr>
        <w:trPr>
          <w:trHeight w:val="223"/>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11,404</w:t>
            </w: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6,753</w:t>
            </w:r>
          </w:p>
        </w:tc>
        <w:tc>
          <w:tcPr>
            <w:tcW w:w="180" w:type="dxa"/>
            <w:vAlign w:val="bottom"/>
            <w:shd w:val="clear" w:color="auto" w:fill="CFF0FC"/>
          </w:tcPr>
          <w:p>
            <w:pPr>
              <w:spacing w:after="0"/>
              <w:rPr>
                <w:sz w:val="19"/>
                <w:szCs w:val="19"/>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660" w:type="dxa"/>
            <w:vAlign w:val="bottom"/>
            <w:gridSpan w:val="2"/>
          </w:tcPr>
          <w:p>
            <w:pPr>
              <w:ind w:left="2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20,914</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22,849</w:t>
            </w:r>
          </w:p>
        </w:tc>
        <w:tc>
          <w:tcPr>
            <w:tcW w:w="180" w:type="dxa"/>
            <w:vAlign w:val="bottom"/>
          </w:tcPr>
          <w:p>
            <w:pPr>
              <w:spacing w:after="0"/>
              <w:rPr>
                <w:sz w:val="19"/>
                <w:szCs w:val="19"/>
                <w:color w:val="auto"/>
              </w:rPr>
            </w:pPr>
          </w:p>
        </w:tc>
      </w:tr>
      <w:tr>
        <w:trPr>
          <w:trHeight w:val="230"/>
        </w:trPr>
        <w:tc>
          <w:tcPr>
            <w:tcW w:w="7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5,975</w:t>
            </w:r>
          </w:p>
        </w:tc>
        <w:tc>
          <w:tcPr>
            <w:tcW w:w="4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5,130</w:t>
            </w:r>
          </w:p>
        </w:tc>
        <w:tc>
          <w:tcPr>
            <w:tcW w:w="180" w:type="dxa"/>
            <w:vAlign w:val="bottom"/>
            <w:shd w:val="clear" w:color="auto" w:fill="CFF0FC"/>
          </w:tcPr>
          <w:p>
            <w:pPr>
              <w:spacing w:after="0"/>
              <w:rPr>
                <w:sz w:val="19"/>
                <w:szCs w:val="19"/>
                <w:color w:val="auto"/>
              </w:rPr>
            </w:pPr>
          </w:p>
        </w:tc>
      </w:tr>
      <w:tr>
        <w:trPr>
          <w:trHeight w:val="223"/>
        </w:trPr>
        <w:tc>
          <w:tcPr>
            <w:tcW w:w="7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26,889</w:t>
            </w:r>
          </w:p>
        </w:tc>
        <w:tc>
          <w:tcPr>
            <w:tcW w:w="4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27,979</w:t>
            </w:r>
          </w:p>
        </w:tc>
        <w:tc>
          <w:tcPr>
            <w:tcW w:w="180" w:type="dxa"/>
            <w:vAlign w:val="bottom"/>
            <w:tcBorders>
              <w:bottom w:val="single" w:sz="8" w:color="CFF0FC"/>
            </w:tcBorders>
          </w:tcPr>
          <w:p>
            <w:pPr>
              <w:spacing w:after="0"/>
              <w:rPr>
                <w:sz w:val="19"/>
                <w:szCs w:val="19"/>
                <w:color w:val="auto"/>
              </w:rPr>
            </w:pPr>
          </w:p>
        </w:tc>
      </w:tr>
      <w:tr>
        <w:trPr>
          <w:trHeight w:val="223"/>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(15,485)</w:t>
            </w: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(21,226)</w:t>
            </w:r>
          </w:p>
        </w:tc>
        <w:tc>
          <w:tcPr>
            <w:tcW w:w="180" w:type="dxa"/>
            <w:vAlign w:val="bottom"/>
            <w:shd w:val="clear" w:color="auto" w:fill="CFF0FC"/>
          </w:tcPr>
          <w:p>
            <w:pPr>
              <w:spacing w:after="0"/>
              <w:rPr>
                <w:sz w:val="19"/>
                <w:szCs w:val="19"/>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and other income</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r>
      <w:tr>
        <w:trPr>
          <w:trHeight w:val="230"/>
        </w:trPr>
        <w:tc>
          <w:tcPr>
            <w:tcW w:w="7660" w:type="dxa"/>
            <w:vAlign w:val="bottom"/>
            <w:gridSpan w:val="2"/>
          </w:tcPr>
          <w:p>
            <w:pPr>
              <w:ind w:left="260"/>
              <w:spacing w:after="0"/>
              <w:rPr>
                <w:sz w:val="20"/>
                <w:szCs w:val="20"/>
                <w:color w:val="auto"/>
              </w:rPr>
            </w:pPr>
            <w:r>
              <w:rPr>
                <w:rFonts w:ascii="Arial" w:cs="Arial" w:eastAsia="Arial" w:hAnsi="Arial"/>
                <w:sz w:val="18"/>
                <w:szCs w:val="18"/>
                <w:color w:val="auto"/>
              </w:rPr>
              <w:t>Interest and other expense</w:t>
            </w:r>
          </w:p>
        </w:tc>
        <w:tc>
          <w:tcPr>
            <w:tcW w:w="340" w:type="dxa"/>
            <w:vAlign w:val="bottom"/>
          </w:tcPr>
          <w:p>
            <w:pPr>
              <w:spacing w:after="0"/>
              <w:rPr>
                <w:sz w:val="19"/>
                <w:szCs w:val="19"/>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(3,071)</w:t>
            </w:r>
          </w:p>
        </w:tc>
        <w:tc>
          <w:tcPr>
            <w:tcW w:w="6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(2,625)</w:t>
            </w:r>
          </w:p>
        </w:tc>
      </w:tr>
      <w:tr>
        <w:trPr>
          <w:trHeight w:val="230"/>
        </w:trPr>
        <w:tc>
          <w:tcPr>
            <w:tcW w:w="7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Change in fair value of stock warrants</w:t>
            </w:r>
          </w:p>
        </w:tc>
        <w:tc>
          <w:tcPr>
            <w:tcW w:w="3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(14,228)</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3"/>
        </w:trPr>
        <w:tc>
          <w:tcPr>
            <w:tcW w:w="7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(17,208)</w:t>
            </w:r>
          </w:p>
        </w:tc>
        <w:tc>
          <w:tcPr>
            <w:tcW w:w="42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80" w:type="dxa"/>
            <w:vAlign w:val="bottom"/>
            <w:tcBorders>
              <w:bottom w:val="single" w:sz="8" w:color="CFF0FC"/>
            </w:tcBorders>
          </w:tcPr>
          <w:p>
            <w:pPr>
              <w:spacing w:after="0"/>
              <w:rPr>
                <w:sz w:val="19"/>
                <w:szCs w:val="19"/>
                <w:color w:val="auto"/>
              </w:rPr>
            </w:pPr>
          </w:p>
        </w:tc>
      </w:tr>
      <w:tr>
        <w:trPr>
          <w:trHeight w:val="223"/>
        </w:trPr>
        <w:tc>
          <w:tcPr>
            <w:tcW w:w="7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(32,693)</w:t>
            </w:r>
          </w:p>
        </w:tc>
        <w:tc>
          <w:tcPr>
            <w:tcW w:w="4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(23,792)</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2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Comparison of the Three Months Ended March 31, 2018 and 2017</w:t>
      </w:r>
    </w:p>
    <w:p>
      <w:pPr>
        <w:spacing w:after="0" w:line="229" w:lineRule="exact"/>
        <w:rPr>
          <w:sz w:val="20"/>
          <w:szCs w:val="20"/>
          <w:color w:val="auto"/>
        </w:rPr>
      </w:pPr>
    </w:p>
    <w:p>
      <w:pPr>
        <w:ind w:right="240" w:firstLine="571"/>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three months ended March 31, 2018, sales were $27.3 million. Sales were $19.0 million for the same period in 2017, which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net sales of $1.5 million as a result of the Technology Upgrade Program.</w:t>
      </w:r>
    </w:p>
    <w:p>
      <w:pPr>
        <w:spacing w:after="0" w:line="170" w:lineRule="exact"/>
        <w:rPr>
          <w:sz w:val="20"/>
          <w:szCs w:val="20"/>
          <w:color w:val="auto"/>
        </w:rPr>
      </w:pPr>
    </w:p>
    <w:p>
      <w:pPr>
        <w:ind w:firstLine="571"/>
        <w:spacing w:after="0" w:line="279" w:lineRule="auto"/>
        <w:rPr>
          <w:sz w:val="20"/>
          <w:szCs w:val="20"/>
          <w:color w:val="auto"/>
        </w:rPr>
      </w:pPr>
      <w:r>
        <w:rPr>
          <w:rFonts w:ascii="Arial" w:cs="Arial" w:eastAsia="Arial" w:hAnsi="Arial"/>
          <w:sz w:val="17"/>
          <w:szCs w:val="17"/>
          <w:color w:val="auto"/>
        </w:rPr>
        <w:t>Sales of insulin pumps were $17.1 million and $12.5 million, respectively, for the three months ended March 31, 2018 and 2017. For the three months ended March 31, 2018, sales of pump-related supplies were $10.2 million, of which $6.9 million were sales of infusion sets and $3.2 million were sales of cartridges. For the three months ended March 31, 2017, sales of pump-related supplies were $6.4 million, of which $3.4 million were sales of infusion sets and $2.9 million were sales of cartridges. Sales of accessories were not significant in either of the reported periods.</w:t>
      </w:r>
    </w:p>
    <w:p>
      <w:pPr>
        <w:spacing w:after="0" w:line="171" w:lineRule="exact"/>
        <w:rPr>
          <w:sz w:val="20"/>
          <w:szCs w:val="20"/>
          <w:color w:val="auto"/>
        </w:rPr>
      </w:pPr>
    </w:p>
    <w:p>
      <w:pPr>
        <w:ind w:right="120" w:firstLine="571"/>
        <w:spacing w:after="0" w:line="279" w:lineRule="auto"/>
        <w:rPr>
          <w:sz w:val="20"/>
          <w:szCs w:val="20"/>
          <w:color w:val="auto"/>
        </w:rPr>
      </w:pPr>
      <w:r>
        <w:rPr>
          <w:rFonts w:ascii="Arial" w:cs="Arial" w:eastAsia="Arial" w:hAnsi="Arial"/>
          <w:sz w:val="17"/>
          <w:szCs w:val="17"/>
          <w:color w:val="auto"/>
        </w:rPr>
        <w:t>The increase in sales was primarily driven by a 58% increase in pump shipments from 2,816 in 2017 to 4,444 in 2018 driven by the August 2017 launch of t:slim X2 with G5 and the changing competitive environment. Additionally, sales from pump-related supplies increased 59% due to the September 2017 launch of infusion set products using the t:lock Connector. The ratio of the number of infusion sets shipped to the number of cartridges shipped increased to over 100% in the three months ended March 31, 2018 from 51% in the comparable quarter of the prior year.</w:t>
      </w:r>
    </w:p>
    <w:p>
      <w:pPr>
        <w:spacing w:after="0" w:line="171" w:lineRule="exact"/>
        <w:rPr>
          <w:sz w:val="20"/>
          <w:szCs w:val="20"/>
          <w:color w:val="auto"/>
        </w:rPr>
      </w:pPr>
    </w:p>
    <w:p>
      <w:pPr>
        <w:ind w:right="40" w:firstLine="571"/>
        <w:spacing w:after="0" w:line="257" w:lineRule="auto"/>
        <w:rPr>
          <w:sz w:val="20"/>
          <w:szCs w:val="20"/>
          <w:color w:val="auto"/>
        </w:rPr>
      </w:pPr>
      <w:r>
        <w:rPr>
          <w:rFonts w:ascii="Arial" w:cs="Arial" w:eastAsia="Arial" w:hAnsi="Arial"/>
          <w:sz w:val="18"/>
          <w:szCs w:val="18"/>
          <w:color w:val="auto"/>
        </w:rPr>
        <w:t>Sales to distributors accounted for 78% and 72% of our total sales for the three months ended March 31, 2018 and 2017, respectively. Our percentage of sales to distributors versus individual customers is principally determined by the mix of customers ordering our products within the period and whether or not we have a contractual arrangement with their underlying third-party insurance payor. The percentage was particularly impacted in the three months ended March 31, 2018 by the recent launch of the t:lock Connector, which resulted in greater purchases of infusion sets by our independent distributors during the period as compared to the same period during the prior year.</w:t>
      </w:r>
    </w:p>
    <w:p>
      <w:pPr>
        <w:spacing w:after="0" w:line="188" w:lineRule="exact"/>
        <w:rPr>
          <w:sz w:val="20"/>
          <w:szCs w:val="20"/>
          <w:color w:val="auto"/>
        </w:rPr>
      </w:pPr>
    </w:p>
    <w:p>
      <w:pPr>
        <w:ind w:right="220" w:firstLine="577"/>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three months ended March 31, 2018 was $15.9 million, resulting in gross profit of $11.4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$12.2 million cost of sales and gross profit of $6.8 million in 2017. The gross margin for the three months ended March 31, 2018 was 42% compared to 36% in the same period in 2017.</w:t>
      </w:r>
    </w:p>
    <w:p>
      <w:pPr>
        <w:spacing w:after="0" w:line="181" w:lineRule="exact"/>
        <w:rPr>
          <w:sz w:val="20"/>
          <w:szCs w:val="20"/>
          <w:color w:val="auto"/>
        </w:rPr>
      </w:pPr>
    </w:p>
    <w:p>
      <w:pPr>
        <w:ind w:right="40" w:firstLine="577"/>
        <w:spacing w:after="0" w:line="255" w:lineRule="auto"/>
        <w:rPr>
          <w:sz w:val="20"/>
          <w:szCs w:val="20"/>
          <w:color w:val="auto"/>
        </w:rPr>
      </w:pPr>
      <w:r>
        <w:rPr>
          <w:rFonts w:ascii="Arial" w:cs="Arial" w:eastAsia="Arial" w:hAnsi="Arial"/>
          <w:sz w:val="18"/>
          <w:szCs w:val="18"/>
          <w:color w:val="auto"/>
        </w:rPr>
        <w:t>The increase in our gross profit for the three months ended March 31, 2018 was primarily the result of the 58% increase in pump shipments, partially offset by a benefit of $0.7 million in the three months ended March 31, 2017 from the Technology Upgrade Program. Our pump products generally have higher gross margins than our pump-related supplies. Gross profit and gross margin also increased as a result of per unit manufacturing cost improvements from higher volumes and overall manufacturing efficiencies, even considering the transition to our new manufacturing facility which doubled our capacity, as well as the incremental sales from infusion sets. As a whole, other non-manufacturing costs, which primarily consist of warranty, freight and training, also reflected improvement.</w:t>
      </w:r>
    </w:p>
    <w:p>
      <w:pPr>
        <w:spacing w:after="0" w:line="193" w:lineRule="exact"/>
        <w:rPr>
          <w:sz w:val="20"/>
          <w:szCs w:val="20"/>
          <w:color w:val="auto"/>
        </w:rPr>
      </w:pPr>
    </w:p>
    <w:p>
      <w:pPr>
        <w:ind w:right="100" w:firstLine="571"/>
        <w:spacing w:after="0" w:line="257" w:lineRule="auto"/>
        <w:rPr>
          <w:sz w:val="20"/>
          <w:szCs w:val="20"/>
          <w:color w:val="auto"/>
        </w:rPr>
      </w:pPr>
      <w:r>
        <w:rPr>
          <w:rFonts w:ascii="Arial" w:cs="Arial" w:eastAsia="Arial" w:hAnsi="Arial"/>
          <w:sz w:val="18"/>
          <w:szCs w:val="18"/>
          <w:color w:val="auto"/>
        </w:rPr>
        <w:t>The gross margin has, and will continue to be, impacted by the percentage of pump sales, which generally have higher gross margins than our pump-related supplies. However, we continue to experience an increasingly positive gross margin associated with our pump-related supplies as a whole, after first achieving a positive gross margin in the fourth quarter of 2016. We expect to continue to see improvements in the gross profit and gross margin associated with our pump-related supplies as we manufacture higher volumes of cartridges to support our growing installed base and continue to increase sales of infusion sets to distributors with the recent launch of our t:lock Connector.</w:t>
      </w:r>
    </w:p>
    <w:p>
      <w:pPr>
        <w:spacing w:after="0" w:line="188" w:lineRule="exact"/>
        <w:rPr>
          <w:sz w:val="20"/>
          <w:szCs w:val="20"/>
          <w:color w:val="auto"/>
        </w:rPr>
      </w:pPr>
    </w:p>
    <w:p>
      <w:pPr>
        <w:ind w:right="420" w:firstLine="571"/>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decreased 8% to $20.9 million for the three months ended March 31, 2018 from</w:t>
      </w:r>
      <w:r>
        <w:rPr>
          <w:rFonts w:ascii="Arial" w:cs="Arial" w:eastAsia="Arial" w:hAnsi="Arial"/>
          <w:sz w:val="18"/>
          <w:szCs w:val="18"/>
          <w:i w:val="1"/>
          <w:iCs w:val="1"/>
          <w:color w:val="auto"/>
        </w:rPr>
        <w:t xml:space="preserve"> </w:t>
      </w:r>
      <w:r>
        <w:rPr>
          <w:rFonts w:ascii="Arial" w:cs="Arial" w:eastAsia="Arial" w:hAnsi="Arial"/>
          <w:sz w:val="18"/>
          <w:szCs w:val="18"/>
          <w:color w:val="auto"/>
        </w:rPr>
        <w:t>$22.8 million for the same period in 2017.</w:t>
      </w:r>
    </w:p>
    <w:p>
      <w:pPr>
        <w:spacing w:after="0" w:line="170"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Employee-related expenses for our SG&amp;A functions comprise the majority of the SG&amp;A expenses. The decrease compared to 2017 was primarily a result of a $1.5 million decline in non-cash stock-based compensation expense and a 4% decline in headcount. These declines were partially offset by an increase in incentive-based compensation. Additionally, our ongoing efforts to control other spending resulted in a net reduction of $0.9 million in travel and entertainment, facilities and outside consulting.</w:t>
      </w:r>
    </w:p>
    <w:p>
      <w:pPr>
        <w:spacing w:after="0" w:line="187" w:lineRule="exact"/>
        <w:rPr>
          <w:sz w:val="20"/>
          <w:szCs w:val="20"/>
          <w:color w:val="auto"/>
        </w:rPr>
      </w:pPr>
    </w:p>
    <w:p>
      <w:pPr>
        <w:ind w:right="20" w:firstLine="571"/>
        <w:spacing w:after="0" w:line="308"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R&amp;D expenses increased 16% to $6.0 million for the three months ended March 31, 2018 from $5.1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in 2017. The increase in R&amp;D expenses was primarily the result of clinical trial costs associated with t:slim X2 with Basal IQ.</w:t>
      </w:r>
    </w:p>
    <w:p>
      <w:pPr>
        <w:spacing w:after="0" w:line="147"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i w:val="1"/>
          <w:iCs w:val="1"/>
          <w:color w:val="auto"/>
        </w:rPr>
        <w:t>Other Income and Expense</w:t>
      </w:r>
      <w:r>
        <w:rPr>
          <w:rFonts w:ascii="Arial" w:cs="Arial" w:eastAsia="Arial" w:hAnsi="Arial"/>
          <w:sz w:val="18"/>
          <w:szCs w:val="18"/>
          <w:color w:val="auto"/>
        </w:rPr>
        <w:t>. Other expense for the three months ended March 31, 2018 and 2017 was $17.2 million and $2.6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 for the three months ended March 31, 2018 was primarily comprised of a $14.2 million revaluation loss from the change in fair value of common stock, as well as $3.1 million of interest expense associated with the Term Loan Agreement. Other expense for the three months ended March 31, 2017 was primarily comprised of interest expense associated with the Term Loan Agreement. The outstanding principal balances under the Term Loan Agreement were $82.7 million and $81.5 million as of March 31, 2018 and March 31, 2017, respectively. Other income for both periods presented was not significant.</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571"/>
        <w:spacing w:after="0" w:line="264" w:lineRule="auto"/>
        <w:rPr>
          <w:sz w:val="20"/>
          <w:szCs w:val="20"/>
          <w:color w:val="auto"/>
        </w:rPr>
      </w:pPr>
      <w:r>
        <w:rPr>
          <w:rFonts w:ascii="Arial" w:cs="Arial" w:eastAsia="Arial" w:hAnsi="Arial"/>
          <w:sz w:val="18"/>
          <w:szCs w:val="18"/>
          <w:color w:val="auto"/>
        </w:rPr>
        <w:t>As of March 31, 2018, we had $81.9 million in cash and cash equivalents and short-term investments, which included $10.0 million of restricted cash as required by the Term Loan Agreement. We believe that our cash and cash equivalents and short-term investments balance is sufficient to satisfy our liquidity requirements for at least the next 12 months from the date of this filing.</w:t>
      </w:r>
    </w:p>
    <w:p>
      <w:pPr>
        <w:spacing w:after="0" w:line="181"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Historically, our principal sources of cash have included private placements and public offerings of equity securities, the Term Loan Agreement, and cash collected from product sales. During the last 12 months, we completed the following financings:</w:t>
      </w:r>
    </w:p>
    <w:p>
      <w:pPr>
        <w:spacing w:after="0" w:line="170" w:lineRule="exact"/>
        <w:rPr>
          <w:sz w:val="20"/>
          <w:szCs w:val="20"/>
          <w:color w:val="auto"/>
        </w:rPr>
      </w:pPr>
    </w:p>
    <w:p>
      <w:pPr>
        <w:jc w:val="both"/>
        <w:ind w:left="1340" w:right="160" w:hanging="387"/>
        <w:spacing w:after="0" w:line="264" w:lineRule="auto"/>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February 2018, we completed a registered public offering of 34,500,000 shares of common stock at a public offering price of $2.00 per share. The gross proceeds from the offering were approximately $69.0 million, before deducting underwriting discounts and commissions and other offering expenses.</w:t>
      </w:r>
    </w:p>
    <w:p>
      <w:pPr>
        <w:spacing w:after="0" w:line="181" w:lineRule="exact"/>
        <w:rPr>
          <w:rFonts w:ascii="Arial" w:cs="Arial" w:eastAsia="Arial" w:hAnsi="Arial"/>
          <w:sz w:val="18"/>
          <w:szCs w:val="18"/>
          <w:color w:val="auto"/>
        </w:rPr>
      </w:pPr>
    </w:p>
    <w:p>
      <w:pPr>
        <w:ind w:left="1340" w:right="20" w:hanging="387"/>
        <w:spacing w:after="0" w:line="272" w:lineRule="auto"/>
        <w:tabs>
          <w:tab w:leader="none" w:pos="1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October 2017, we completed the October Financing, pursuant to which we sold 4,630,000 shares of our common stock, Series A warrants to purchase up to 4,630,000 shares of our common stock and Series B warrants to purchase up to 4,630,000 shares of our common stock at a public offering price of $3.50 per share and accompanying warrants. The gross proceeds to us from the October Financing were approximately $16.2 million, before deducting underwriting discounts and commissions and other offering expenses payable by us. In the three months ended March 31, 2018, we received proceeds of $6.5 million from the exercise of 1,936,565 outstanding Series A and Series B warrants. Subsequent to March 31, 2018, through the expiration date of the Series B warrants on April 17, 2018, an additional 3.4 million warrants were exercised resulting in additional gross proceeds of $11.3 million.</w:t>
      </w:r>
    </w:p>
    <w:p>
      <w:pPr>
        <w:spacing w:after="0" w:line="177" w:lineRule="exact"/>
        <w:rPr>
          <w:rFonts w:ascii="Arial" w:cs="Arial" w:eastAsia="Arial" w:hAnsi="Arial"/>
          <w:sz w:val="17"/>
          <w:szCs w:val="17"/>
          <w:color w:val="auto"/>
        </w:rPr>
      </w:pPr>
    </w:p>
    <w:p>
      <w:pPr>
        <w:ind w:left="1340" w:right="120" w:hanging="387"/>
        <w:spacing w:after="0" w:line="264" w:lineRule="auto"/>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three months ended September 30, 2017, we sold 464,108 shares of common stock under our “at the market” program at prices ranging from $5.64 to $10.54. The gross proceeds to us from the offering were $4.3 million, before deducting underwriting discounts and commissions and other offering expenses payable by us.</w:t>
      </w:r>
    </w:p>
    <w:p>
      <w:pPr>
        <w:spacing w:after="0" w:line="181" w:lineRule="exact"/>
        <w:rPr>
          <w:rFonts w:ascii="Arial" w:cs="Arial" w:eastAsia="Arial" w:hAnsi="Arial"/>
          <w:sz w:val="18"/>
          <w:szCs w:val="18"/>
          <w:color w:val="auto"/>
        </w:rPr>
      </w:pPr>
    </w:p>
    <w:p>
      <w:pPr>
        <w:ind w:left="1340" w:right="60" w:hanging="387"/>
        <w:spacing w:after="0" w:line="264" w:lineRule="auto"/>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March 2017, we completed a registered public offering of 1,850,000 shares of our common stock at a public offering price of $12.50 per share. The gross proceeds to us from the offering were approximately $23.1 million, before deducting underwriting discounts and commissions and other offering expenses payable by us.</w:t>
      </w:r>
    </w:p>
    <w:p>
      <w:pPr>
        <w:spacing w:after="0" w:line="181" w:lineRule="exact"/>
        <w:rPr>
          <w:sz w:val="20"/>
          <w:szCs w:val="20"/>
          <w:color w:val="auto"/>
        </w:rPr>
      </w:pPr>
    </w:p>
    <w:p>
      <w:pPr>
        <w:ind w:right="240" w:firstLine="571"/>
        <w:spacing w:after="0" w:line="279" w:lineRule="auto"/>
        <w:rPr>
          <w:sz w:val="20"/>
          <w:szCs w:val="20"/>
          <w:color w:val="auto"/>
        </w:rPr>
      </w:pPr>
      <w:r>
        <w:rPr>
          <w:rFonts w:ascii="Arial" w:cs="Arial" w:eastAsia="Arial" w:hAnsi="Arial"/>
          <w:sz w:val="17"/>
          <w:szCs w:val="17"/>
          <w:color w:val="auto"/>
        </w:rPr>
        <w:t>Our historical cash outflows have primarily been associated with cash used for operating activities such as the expansion and support of our sales, marketing and customer care orgnizations, an increase in our R&amp;D activities, the acquisition of intellectual property, expenditures related to equipment and improvements used to increase our manufacturing capacity and improve our manufacturing efficiency, overall facility expansion, and other working capital needs. Additionally, we have used cash for the interest expense associated with our Term Loan Agreement.</w:t>
      </w:r>
    </w:p>
    <w:p>
      <w:pPr>
        <w:spacing w:after="0" w:line="171" w:lineRule="exact"/>
        <w:rPr>
          <w:sz w:val="20"/>
          <w:szCs w:val="20"/>
          <w:color w:val="auto"/>
        </w:rPr>
      </w:pPr>
    </w:p>
    <w:p>
      <w:pPr>
        <w:ind w:right="140" w:firstLine="571"/>
        <w:spacing w:after="0" w:line="257" w:lineRule="auto"/>
        <w:rPr>
          <w:sz w:val="20"/>
          <w:szCs w:val="20"/>
          <w:color w:val="auto"/>
        </w:rPr>
      </w:pPr>
      <w:r>
        <w:rPr>
          <w:rFonts w:ascii="Arial" w:cs="Arial" w:eastAsia="Arial" w:hAnsi="Arial"/>
          <w:sz w:val="18"/>
          <w:szCs w:val="18"/>
          <w:color w:val="auto"/>
        </w:rPr>
        <w:t>We expect our sales performance and the resulting operating income or loss, as well as the status of each of our new product development programs, will significantly impact our cash flow from operations, liquidity position and cash management decisions. Our ability to raise additional financing may be negatively impacted by a number of factors, including our recent and projected financial results, recent changes in and volatility of our stock price, perceptions about the dilutive impact of our recent financing transactions, concerns regarding our ability to maintain the continued listing of our common stock on NASDAQ, and our current level of indebtedness and debt service costs.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a summary of our cash flows for the three months ended March 31, 2018 and 2017:</w:t>
      </w:r>
    </w:p>
    <w:p>
      <w:pPr>
        <w:spacing w:after="0" w:line="235"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Operating activities</w:t>
            </w:r>
          </w:p>
        </w:tc>
        <w:tc>
          <w:tcPr>
            <w:tcW w:w="30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(12,272)</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(20,812)</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(9,514)</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27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70,669</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tcBorders>
              <w:bottom w:val="single" w:sz="8" w:color="CFF0FC"/>
            </w:tcBorders>
          </w:tcPr>
          <w:p>
            <w:pPr>
              <w:spacing w:after="0"/>
              <w:rPr>
                <w:sz w:val="19"/>
                <w:szCs w:val="19"/>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48,883</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71"/>
        <w:spacing w:after="0" w:line="302"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used in operating activities was $12.3 million for the three months ended March 31, 2018, compared to $20.8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2017. The decrease in net cash used in operating activities was primarily associated with a reduction in net loss when adjusted for non-cash expenses, particularly the change in fair value of common stock warrants, and net changes in working capital. The net changes in working capital were primarily due to higher cash collections from higher revenues offset by the timing of annual bonus and incentive-based compensation payments.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right="80" w:firstLine="571"/>
        <w:spacing w:after="0" w:line="259"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in investing activities was $9.5 million for the three months ended March 31, 2018, which was primarily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short-term investments of $9.0 million. Net cash provided by investing activities was $2.6 million for the three months ended March 31, 2017, which was primarily related to sales and maturities of $5.3 million of short-term investments, partially offset by the purchase of $2.6 million of property and equipment.</w:t>
      </w:r>
    </w:p>
    <w:p>
      <w:pPr>
        <w:spacing w:after="0" w:line="187" w:lineRule="exact"/>
        <w:rPr>
          <w:sz w:val="20"/>
          <w:szCs w:val="20"/>
          <w:color w:val="auto"/>
        </w:rPr>
      </w:pPr>
    </w:p>
    <w:p>
      <w:pPr>
        <w:ind w:firstLine="571"/>
        <w:spacing w:after="0" w:line="302"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Net cash provided by financing activities was $70.7 million for the three months ended March 31, 2018, which was primarily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net proceeds of approximately $64.2 million from the public offering of our common stock in the February Financing, as well as proceeds of $6.5 million from the exercise of Series A and Series B warrants issued in the October Financing. Net cash provided by financing activities was $21.9 million for the three months ended March 31, 2017, which was primarily the result of net proceeds of $21.6 million from a public offering of our common stock.</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liquidity position and capital requirements are subject to fluctuation based on a number of factors, including the following:</w:t>
      </w:r>
    </w:p>
    <w:p>
      <w:pPr>
        <w:spacing w:after="0" w:line="225" w:lineRule="exact"/>
        <w:rPr>
          <w:sz w:val="20"/>
          <w:szCs w:val="20"/>
          <w:color w:val="auto"/>
        </w:rPr>
      </w:pPr>
    </w:p>
    <w:p>
      <w:pPr>
        <w:ind w:left="1340" w:hanging="387"/>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and the collection of receivables from period to period;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amount of any additional financings, including the exercise of the warrants issued in the October Financing;</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primary short-term capital needs, which are subject to change, include expenditures related to:</w:t>
      </w:r>
    </w:p>
    <w:p>
      <w:pPr>
        <w:spacing w:after="0" w:line="225" w:lineRule="exact"/>
        <w:rPr>
          <w:sz w:val="20"/>
          <w:szCs w:val="20"/>
          <w:color w:val="auto"/>
        </w:rPr>
      </w:pPr>
    </w:p>
    <w:p>
      <w:pPr>
        <w:ind w:left="1340" w:hanging="387"/>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interest due under the Term Loan Agreement;</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of equipment and other fixed assets;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under our licensing, development and commercialization agreements.</w:t>
      </w:r>
    </w:p>
    <w:p>
      <w:pPr>
        <w:spacing w:after="0" w:line="225"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Although we believe the foregoing items reflect our most likely uses of cash in the short-term, we cannot predict with certainty all of our particular cash uses or the timing or amount of cash used. If cash generated from operations is insufficient to satisfy our working capital requirements, we may be required to sell additional equity or debt securities. There can be no assurance that equity or debt financing will be available on satisfactory terms, or at all. Further, any additional equity financing may be dilutive to stockholders, and debt financing may require debt service payments and include restrictive covenants. We may also seek to restructure or refinance our existing indebtedness, which could result in additional dilution, debt service costs and restrictive covenants.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had $82.7 million of aggregate borrowings outstanding under the Term Loan Agreement as of March 31, 2018 and December 31, 2017.</w:t>
      </w:r>
    </w:p>
    <w:p>
      <w:pPr>
        <w:spacing w:after="0" w:line="237" w:lineRule="exact"/>
        <w:rPr>
          <w:sz w:val="20"/>
          <w:szCs w:val="20"/>
          <w:color w:val="auto"/>
        </w:rPr>
      </w:pPr>
    </w:p>
    <w:p>
      <w:pPr>
        <w:ind w:right="80" w:firstLine="577"/>
        <w:spacing w:after="0" w:line="255" w:lineRule="auto"/>
        <w:rPr>
          <w:sz w:val="20"/>
          <w:szCs w:val="20"/>
          <w:color w:val="auto"/>
        </w:rPr>
      </w:pPr>
      <w:r>
        <w:rPr>
          <w:rFonts w:ascii="Arial" w:cs="Arial" w:eastAsia="Arial" w:hAnsi="Arial"/>
          <w:sz w:val="18"/>
          <w:szCs w:val="18"/>
          <w:color w:val="auto"/>
        </w:rPr>
        <w:t>Under the Term Loan Agreement, interest is payable, at our option, (i) in cash at a rate of 11.5% per annum or (ii) at a rate of 9.5% of the 11.5% per annum in cash and 2.0% of the 11.5% per annum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on the maturity date of the Term Loan Agreement, which is March 31, 2020. We had elected to pay interest in cash at a rate of 11.5% per annum through September 30, 2015. From October 1, 2015, through December 31, 2017, we elected to pay interest in cash at a rate of 9.5% per annum and to have 2.0% per annum added to the principal of the loan. As a result, $2.7 million was added to the principal of the loan since October 1, 2015, or the PIK Loans.</w:t>
      </w:r>
    </w:p>
    <w:p>
      <w:pPr>
        <w:spacing w:after="0" w:line="189" w:lineRule="exact"/>
        <w:rPr>
          <w:sz w:val="20"/>
          <w:szCs w:val="20"/>
          <w:color w:val="auto"/>
        </w:rPr>
      </w:pPr>
    </w:p>
    <w:p>
      <w:pPr>
        <w:ind w:right="200" w:firstLine="571"/>
        <w:spacing w:after="0" w:line="277" w:lineRule="auto"/>
        <w:rPr>
          <w:sz w:val="20"/>
          <w:szCs w:val="20"/>
          <w:color w:val="auto"/>
        </w:rPr>
      </w:pPr>
      <w:r>
        <w:rPr>
          <w:rFonts w:ascii="Arial" w:cs="Arial" w:eastAsia="Arial" w:hAnsi="Arial"/>
          <w:sz w:val="18"/>
          <w:szCs w:val="18"/>
          <w:color w:val="auto"/>
        </w:rPr>
        <w:t>The loan is collateralized by all of our assets. The principal financial covenants require that we attain minimum annual revenues of $95.0 million in 2018 and each year thereafter until the end of the term of the loan.</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ind w:firstLine="577"/>
        <w:spacing w:after="0" w:line="259" w:lineRule="auto"/>
        <w:rPr>
          <w:sz w:val="20"/>
          <w:szCs w:val="20"/>
          <w:color w:val="auto"/>
        </w:rPr>
      </w:pPr>
      <w:r>
        <w:rPr>
          <w:rFonts w:ascii="Arial" w:cs="Arial" w:eastAsia="Arial" w:hAnsi="Arial"/>
          <w:sz w:val="18"/>
          <w:szCs w:val="18"/>
          <w:color w:val="auto"/>
        </w:rPr>
        <w:t>In connection with the Third Amendment, we previously agreed to pay, on the earlier of (i) the maturity date of the Term Loan Agreement, which is March 31, 2020, (ii) the date that the loan under the Term Loan Agreement becomes due, and (iii) the date on which we make a voluntary pre-payment of the loan, a financing fee equal to 3.0% of the sum of (x) the aggregate amount drawn under the Third Amendment, and (y) any PIK Loans issued in relation to the Third Amendment, or the Back End Financing Fee.</w:t>
      </w:r>
    </w:p>
    <w:p>
      <w:pPr>
        <w:spacing w:after="0" w:line="187" w:lineRule="exact"/>
        <w:rPr>
          <w:sz w:val="20"/>
          <w:szCs w:val="20"/>
          <w:color w:val="auto"/>
        </w:rPr>
      </w:pPr>
    </w:p>
    <w:p>
      <w:pPr>
        <w:ind w:right="120" w:firstLine="647"/>
        <w:spacing w:after="0" w:line="259" w:lineRule="auto"/>
        <w:rPr>
          <w:sz w:val="20"/>
          <w:szCs w:val="20"/>
          <w:color w:val="auto"/>
        </w:rPr>
      </w:pPr>
      <w:r>
        <w:rPr>
          <w:rFonts w:ascii="Arial" w:cs="Arial" w:eastAsia="Arial" w:hAnsi="Arial"/>
          <w:sz w:val="18"/>
          <w:szCs w:val="18"/>
          <w:color w:val="auto"/>
        </w:rPr>
        <w:t>Pursuant to the Fourth Amendment, we agreed to increase the Back End Financing Fee to 5.0% of the entire aggregate principal amount of borrowings outstanding, including total PIK Loans issued, under the Term Loan Agreement. The Back End Financing Fee is payable at maturity of our loans and on the principal amount of any loans for which we make an optional prepayment, and may be payable in connection with asset sales not permitted under the Term Loan Agreement or a change of control.</w:t>
      </w:r>
    </w:p>
    <w:p>
      <w:pPr>
        <w:spacing w:after="0" w:line="187" w:lineRule="exact"/>
        <w:rPr>
          <w:sz w:val="20"/>
          <w:szCs w:val="20"/>
          <w:color w:val="auto"/>
        </w:rPr>
      </w:pPr>
    </w:p>
    <w:p>
      <w:pPr>
        <w:ind w:right="40" w:firstLine="647"/>
        <w:spacing w:after="0" w:line="272" w:lineRule="auto"/>
        <w:rPr>
          <w:sz w:val="20"/>
          <w:szCs w:val="20"/>
          <w:color w:val="auto"/>
        </w:rPr>
      </w:pPr>
      <w:r>
        <w:rPr>
          <w:rFonts w:ascii="Arial" w:cs="Arial" w:eastAsia="Arial" w:hAnsi="Arial"/>
          <w:sz w:val="17"/>
          <w:szCs w:val="17"/>
          <w:color w:val="auto"/>
        </w:rPr>
        <w:t>In February 2018, we entered into the Fifth Amendment, which included a limited advance waiver of a potential event of default in the event that the audit report and opinion of our independent registered public accounting firm for the year ended December 31, 2017 included an explanatory paragraph that described conditions that raised substantial doubt about our ability to continue as a going concern. The Fifth Amendment also included a covenant requiring us to complete a financing in which our gross proceeds from the sale of equity securities was at least $20.0 million, no later than August 30, 2018. We satisfied this financing covenant with the completion of the February Financing. In connection with the Fifth Amendment, we also agreed to increase the Back End Financing Fee from 5.0% to 6.0% of the entire aggregate principal amount of borrowings outstanding under the Term Loan Agreement. As of March 31, 2018, we had accrued $5.0 million for the Back End Financing Fee.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577"/>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on our financial statements, which have been prepared in accordance with U.S. GAAP. The preparation of these financial statements requires management to make estimates and judgments that affect the reported amounts of assets, liabilities, revenues and expenses and the disclosure of contingent assets and liabilities in our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78" w:lineRule="exact"/>
        <w:rPr>
          <w:sz w:val="20"/>
          <w:szCs w:val="20"/>
          <w:color w:val="auto"/>
        </w:rPr>
      </w:pPr>
    </w:p>
    <w:p>
      <w:pPr>
        <w:ind w:right="180" w:firstLine="577"/>
        <w:spacing w:after="0" w:line="259"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the Annual Report other than adoption of the new revenue recognition standard (“Revenue from Contracts with Customers Standard”). Refer to the disclosures in the Notes to Unaudited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March 31, 2018, we did not have any off-balance sheet arrangements.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invest our excess cash primarily in commercial paper,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7"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ind w:right="220" w:firstLine="571"/>
        <w:spacing w:after="0" w:line="264"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March 31, 2018, this change would not have had a material effect on the fair value of our investment portfolio as of that date.</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interest rate under the Term Loan Agreement is fixed and not subject to changes in market interest rates.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ind w:right="20" w:firstLine="571"/>
        <w:spacing w:after="0" w:line="272" w:lineRule="auto"/>
        <w:rPr>
          <w:sz w:val="20"/>
          <w:szCs w:val="20"/>
          <w:color w:val="auto"/>
        </w:rPr>
      </w:pPr>
      <w:r>
        <w:rPr>
          <w:rFonts w:ascii="Arial" w:cs="Arial" w:eastAsia="Arial" w:hAnsi="Arial"/>
          <w:sz w:val="17"/>
          <w:szCs w:val="17"/>
          <w:color w:val="auto"/>
        </w:rPr>
        <w:t>Our operations are located in the United States, and nearly all of our sales since inception have been made in U.S. dollars. While we plan to begin commercialization of t:slim X2 in select geographies outside the U.S., we expect the significant majority of our sales will continue to be made in U.S. dollars for the foreseeable future. Accordingly, we do not currently have or expect to have any material exposure to foreign currency rate fluctuations. From time to time, we may have foreign currency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risks. In general, we may hedge material foreign exchange exposures up to 12 months in advance. However, we may choose not to hedge some exposures for a variety of reasons including prohibitive economic costs.</w:t>
      </w:r>
    </w:p>
    <w:p>
      <w:pPr>
        <w:spacing w:after="0" w:line="1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88"/>
        <w:spacing w:after="0" w:line="287"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and Exchange Act of 1934, as amended, or the Exchange Act, that are designed to ensure that information required to be disclosed in our periodic and current reports that we file with the Securities and Exchange Commission, or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69" w:lineRule="exact"/>
        <w:rPr>
          <w:sz w:val="20"/>
          <w:szCs w:val="20"/>
          <w:color w:val="auto"/>
        </w:rPr>
      </w:pPr>
    </w:p>
    <w:p>
      <w:pPr>
        <w:ind w:right="440" w:firstLine="518"/>
        <w:spacing w:after="0" w:line="259" w:lineRule="auto"/>
        <w:rPr>
          <w:sz w:val="20"/>
          <w:szCs w:val="20"/>
          <w:color w:val="auto"/>
        </w:rPr>
      </w:pPr>
      <w:r>
        <w:rPr>
          <w:rFonts w:ascii="Arial" w:cs="Arial" w:eastAsia="Arial" w:hAnsi="Arial"/>
          <w:sz w:val="18"/>
          <w:szCs w:val="18"/>
          <w:color w:val="auto"/>
        </w:rPr>
        <w:t>As of March 31, 2018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March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0" w:firstLine="571"/>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March 31, 2018 that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571"/>
        <w:spacing w:after="0" w:line="297" w:lineRule="auto"/>
        <w:rPr>
          <w:sz w:val="20"/>
          <w:szCs w:val="20"/>
          <w:color w:val="auto"/>
        </w:rPr>
      </w:pPr>
      <w:r>
        <w:rPr>
          <w:rFonts w:ascii="Arial" w:cs="Arial" w:eastAsia="Arial" w:hAnsi="Arial"/>
          <w:sz w:val="16"/>
          <w:szCs w:val="16"/>
          <w:color w:val="auto"/>
        </w:rPr>
        <w:t>From time to time, we are involved in various legal proceedings, disputes and other claims arising in the ordinary course of our business, including actions with respect to intellectual property, employment, product liability and contractual matters. Although the results of legal proceedings and claims cannot be predicted with certainty, we currently believe that the final outcome of these ordinary course matters will not, individually or in the aggregate, have a material adverse effect on our business, financial position, results of operations, cash flows or future prospects. However, regardless of the outcome, legal proceedings and claims can have an adverse impact on us because of legal costs, diversion of management time and resources, and other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An investment in our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w:t>
      </w:r>
    </w:p>
    <w:p>
      <w:pPr>
        <w:spacing w:after="0" w:line="193"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i w:val="1"/>
          <w:iCs w:val="1"/>
          <w:color w:val="auto"/>
        </w:rPr>
        <w:t>The risk factors set forth below marked with an asterisk (*) next to the title contain changes to the description of the risk factors previously disclosed in Part I, Item 1A of the Annual Report.</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profitability.*</w:t>
      </w:r>
    </w:p>
    <w:p>
      <w:pPr>
        <w:spacing w:after="0" w:line="225" w:lineRule="exact"/>
        <w:rPr>
          <w:sz w:val="20"/>
          <w:szCs w:val="20"/>
          <w:color w:val="auto"/>
        </w:rPr>
      </w:pPr>
    </w:p>
    <w:p>
      <w:pPr>
        <w:ind w:right="20" w:firstLine="629"/>
        <w:spacing w:after="0" w:line="276" w:lineRule="auto"/>
        <w:rPr>
          <w:sz w:val="20"/>
          <w:szCs w:val="20"/>
          <w:color w:val="auto"/>
        </w:rPr>
      </w:pPr>
      <w:r>
        <w:rPr>
          <w:rFonts w:ascii="Arial" w:cs="Arial" w:eastAsia="Arial" w:hAnsi="Arial"/>
          <w:sz w:val="17"/>
          <w:szCs w:val="17"/>
          <w:color w:val="auto"/>
        </w:rPr>
        <w:t>Since our inception in January 2006, we have incurred a significant net loss. As of March 31, 2018 we had an accumulated deficit of $510.2 million. To date, we have financed our operations primarily through public and private sales of our equity securities, debt financing with Capital Royalty Partners II, L.P. and its affiliated funds, or Capital Royalty Partners, and sales of our products. We have devoted substantially all of our resources to the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73" w:lineRule="exact"/>
        <w:rPr>
          <w:sz w:val="20"/>
          <w:szCs w:val="20"/>
          <w:color w:val="auto"/>
        </w:rPr>
      </w:pPr>
    </w:p>
    <w:p>
      <w:pPr>
        <w:ind w:right="20" w:firstLine="629"/>
        <w:spacing w:after="0" w:line="271" w:lineRule="auto"/>
        <w:rPr>
          <w:sz w:val="20"/>
          <w:szCs w:val="20"/>
          <w:color w:val="auto"/>
        </w:rPr>
      </w:pPr>
      <w:r>
        <w:rPr>
          <w:rFonts w:ascii="Arial" w:cs="Arial" w:eastAsia="Arial" w:hAnsi="Arial"/>
          <w:sz w:val="17"/>
          <w:szCs w:val="17"/>
          <w:color w:val="auto"/>
        </w:rPr>
        <w:t>We began commercial sales of our first commercial product, the t:slim Insulin Delivery System, or t:slim, in the third quarter of 2012. We began commercial sales of t:flex in the second quarter of 2015 and t:slim G4 in the third quarter of 2015. In October 2016, we discontinued new shipments of t:slim and launched t:slim X2, our next-generation flagship pump. In August 2017, we commenced commercial sales of t:slim X2 with G5 integration and discontinued new sales of t:slim G4. The t:slim X2 hardware platform now represents nearly 100% of new pump shipments. Accordingly, the Company intends to discontinue new sales of t:flex pumps in the third quarter of 2018. Since the first quarter of 2013, we have been able to manufacture and sell our insulin pump products at a cost and in volumes sufficient to allow us to achieve a positive overall gross margin. For the years ended December 31, 2017 and 2016, our gross profit was $44.1 million and $23.6 million, respectively. Although we have achieved a positive overall gross margin, we still operate at a significant net loss and expect that we will continue to do so for at least the next two years.</w:t>
      </w:r>
    </w:p>
    <w:p>
      <w:pPr>
        <w:spacing w:after="0" w:line="179" w:lineRule="exact"/>
        <w:rPr>
          <w:sz w:val="20"/>
          <w:szCs w:val="20"/>
          <w:color w:val="auto"/>
        </w:rPr>
      </w:pPr>
    </w:p>
    <w:p>
      <w:pPr>
        <w:ind w:right="40" w:firstLine="629"/>
        <w:spacing w:after="0" w:line="257" w:lineRule="auto"/>
        <w:rPr>
          <w:sz w:val="20"/>
          <w:szCs w:val="20"/>
          <w:color w:val="auto"/>
        </w:rPr>
      </w:pPr>
      <w:r>
        <w:rPr>
          <w:rFonts w:ascii="Arial" w:cs="Arial" w:eastAsia="Arial" w:hAnsi="Arial"/>
          <w:sz w:val="18"/>
          <w:szCs w:val="18"/>
          <w:color w:val="auto"/>
        </w:rPr>
        <w:t>To implement our business strategy we need to, among other things, increase sales of our products and the gross profit associated with those sales, maintain an appropriate customer service and support infrastructure, fund ongoing research and development activities, improve our manufacturing capabilities, and obtain regulatory clearance or approval to commercialize our products currently under development. Our expenses may continue to increase as we pursue these objectives and make investments in our business. Additional increases in our expenses without commensurate increases in sales could significantly increase our operating losses.</w:t>
      </w:r>
    </w:p>
    <w:p>
      <w:pPr>
        <w:spacing w:after="0" w:line="188" w:lineRule="exact"/>
        <w:rPr>
          <w:sz w:val="20"/>
          <w:szCs w:val="20"/>
          <w:color w:val="auto"/>
        </w:rPr>
      </w:pPr>
    </w:p>
    <w:p>
      <w:pPr>
        <w:ind w:right="60" w:firstLine="629"/>
        <w:spacing w:after="0" w:line="302" w:lineRule="auto"/>
        <w:rPr>
          <w:sz w:val="20"/>
          <w:szCs w:val="20"/>
          <w:color w:val="auto"/>
        </w:rPr>
      </w:pPr>
      <w:r>
        <w:rPr>
          <w:rFonts w:ascii="Arial" w:cs="Arial" w:eastAsia="Arial" w:hAnsi="Arial"/>
          <w:sz w:val="16"/>
          <w:szCs w:val="16"/>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new products. Any additional operating losses will have an adverse effect on our stockholders’ equity, and we cannot assure you that we will ever be able to achieve or sustain profitability.</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9" w:name="page30"/>
    <w:bookmarkEnd w:id="29"/>
    <w:p>
      <w:pPr>
        <w:ind w:right="8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left="760" w:right="120"/>
        <w:spacing w:after="0" w:line="277" w:lineRule="auto"/>
        <w:rPr>
          <w:sz w:val="20"/>
          <w:szCs w:val="20"/>
          <w:color w:val="auto"/>
        </w:rPr>
      </w:pPr>
      <w:r>
        <w:rPr>
          <w:rFonts w:ascii="Arial" w:cs="Arial" w:eastAsia="Arial" w:hAnsi="Arial"/>
          <w:sz w:val="18"/>
          <w:szCs w:val="18"/>
          <w:color w:val="auto"/>
        </w:rPr>
        <w:t>We generate a significant majority of our revenue from the sale of insulin pumps and the related insulin cartridges and infusion sets. Sales of these products may be negatively impacted by many factors, including:</w:t>
      </w:r>
    </w:p>
    <w:p>
      <w:pPr>
        <w:spacing w:after="0" w:line="76" w:lineRule="exact"/>
        <w:rPr>
          <w:sz w:val="20"/>
          <w:szCs w:val="20"/>
          <w:color w:val="auto"/>
        </w:rPr>
      </w:pPr>
    </w:p>
    <w:p>
      <w:pPr>
        <w:ind w:left="1340" w:hanging="387"/>
        <w:spacing w:after="0"/>
        <w:tabs>
          <w:tab w:leader="none" w:pos="1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market acceptance of the insulin pumps and related products manufactured and sold by our key competitors, including Medtronic;</w:t>
      </w:r>
    </w:p>
    <w:p>
      <w:pPr>
        <w:spacing w:after="0" w:line="236" w:lineRule="exact"/>
        <w:rPr>
          <w:rFonts w:ascii="Arial" w:cs="Arial" w:eastAsia="Arial" w:hAnsi="Arial"/>
          <w:sz w:val="17"/>
          <w:szCs w:val="17"/>
          <w:color w:val="auto"/>
        </w:rPr>
      </w:pPr>
    </w:p>
    <w:p>
      <w:pPr>
        <w:ind w:left="1340" w:right="200" w:hanging="387"/>
        <w:spacing w:after="0" w:line="277" w:lineRule="auto"/>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that other technological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25" w:lineRule="exact"/>
        <w:rPr>
          <w:rFonts w:ascii="Arial" w:cs="Arial" w:eastAsia="Arial" w:hAnsi="Arial"/>
          <w:sz w:val="18"/>
          <w:szCs w:val="18"/>
          <w:color w:val="auto"/>
        </w:rPr>
      </w:pPr>
    </w:p>
    <w:p>
      <w:pPr>
        <w:ind w:left="1340" w:right="720" w:hanging="387"/>
        <w:spacing w:after="0" w:line="277" w:lineRule="auto"/>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340" w:right="180" w:hanging="387"/>
        <w:spacing w:after="0" w:line="308" w:lineRule="auto"/>
        <w:tabs>
          <w:tab w:leader="none" w:pos="1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reimbursement rates or policies relating to insulin pumps or similar products or technologies by third-party payors, such as the decision by UnitedHealthcare during 2016 that restricted a majority of its members from accessing our pumps;</w:t>
      </w:r>
    </w:p>
    <w:p>
      <w:pPr>
        <w:spacing w:after="0" w:line="146" w:lineRule="exact"/>
        <w:rPr>
          <w:rFonts w:ascii="Arial" w:cs="Arial" w:eastAsia="Arial" w:hAnsi="Arial"/>
          <w:sz w:val="17"/>
          <w:szCs w:val="17"/>
          <w:color w:val="auto"/>
        </w:rPr>
      </w:pPr>
    </w:p>
    <w:p>
      <w:pPr>
        <w:ind w:left="1340" w:hanging="387"/>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340" w:right="220" w:hanging="387"/>
        <w:spacing w:after="0" w:line="277" w:lineRule="auto"/>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or destruction, loss, or temporary shutdown of our manufacturing facilities; and</w:t>
      </w:r>
    </w:p>
    <w:p>
      <w:pPr>
        <w:spacing w:after="0" w:line="170" w:lineRule="exact"/>
        <w:rPr>
          <w:rFonts w:ascii="Arial" w:cs="Arial" w:eastAsia="Arial" w:hAnsi="Arial"/>
          <w:sz w:val="18"/>
          <w:szCs w:val="18"/>
          <w:color w:val="auto"/>
        </w:rPr>
      </w:pPr>
    </w:p>
    <w:p>
      <w:pPr>
        <w:ind w:left="1340" w:right="200" w:hanging="387"/>
        <w:spacing w:after="0" w:line="277" w:lineRule="auto"/>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claims that any of our insulin pump products, or any component thereof or related supplies, infringes on patent rights or other intellectual property rights of third parties.</w:t>
      </w:r>
    </w:p>
    <w:p>
      <w:pPr>
        <w:spacing w:after="0" w:line="170" w:lineRule="exact"/>
        <w:rPr>
          <w:sz w:val="20"/>
          <w:szCs w:val="20"/>
          <w:color w:val="auto"/>
        </w:rPr>
      </w:pPr>
    </w:p>
    <w:p>
      <w:pPr>
        <w:ind w:right="580" w:firstLine="629"/>
        <w:spacing w:after="0" w:line="342" w:lineRule="auto"/>
        <w:rPr>
          <w:sz w:val="20"/>
          <w:szCs w:val="20"/>
          <w:color w:val="auto"/>
        </w:rPr>
      </w:pPr>
      <w:r>
        <w:rPr>
          <w:rFonts w:ascii="Arial" w:cs="Arial" w:eastAsia="Arial" w:hAnsi="Arial"/>
          <w:sz w:val="16"/>
          <w:szCs w:val="16"/>
          <w:color w:val="auto"/>
        </w:rPr>
        <w:t>In addition, sales of any of our current or future insulin pump products with CGM integration are subject to the continuation of our applicable agreements with Dexcom, which under some circumstances are subject to termination by Dexcom, with or without cause, on relatively short notice.</w:t>
      </w:r>
    </w:p>
    <w:p>
      <w:pPr>
        <w:spacing w:after="0" w:line="124" w:lineRule="exact"/>
        <w:rPr>
          <w:sz w:val="20"/>
          <w:szCs w:val="20"/>
          <w:color w:val="auto"/>
        </w:rPr>
      </w:pPr>
    </w:p>
    <w:p>
      <w:pPr>
        <w:ind w:right="260" w:firstLine="629"/>
        <w:spacing w:after="0" w:line="290" w:lineRule="auto"/>
        <w:rPr>
          <w:sz w:val="20"/>
          <w:szCs w:val="20"/>
          <w:color w:val="auto"/>
        </w:rPr>
      </w:pPr>
      <w:r>
        <w:rPr>
          <w:rFonts w:ascii="Arial" w:cs="Arial" w:eastAsia="Arial" w:hAnsi="Arial"/>
          <w:sz w:val="16"/>
          <w:szCs w:val="16"/>
          <w:color w:val="auto"/>
        </w:rPr>
        <w:t>Furthermore, sales of our products may be adversely impacted by negative perceptions regarding our financial stability relative to that of our competitors, and our ability to sustain our business operations on a long-term basis. These perceptions may cause people with insulin-dependent diabetes, their caregivers and healthcare providers, as well as independent distributors and third-party payors, to question our ability to continue to sell our products, provide customer service, support our commercial organization, and fulfill our strategic objectives. These concerns may arise from a number of factors, including our recent and projected financial results, recent changes in and volatility of our stock price, concerns regarding our ability to maintain the continued listing of our common stock on NASDAQ, perceptions about the dilutive impact of our financing transactions, our current level of indebtedness and debt service costs, the competitive environment in our industry, and uncertainties regarding the regulatory environment. Any such concerns, whether actual or perceived, could cause consumers to delay the purchase of our products or purchase competitive products.</w:t>
      </w:r>
    </w:p>
    <w:p>
      <w:pPr>
        <w:spacing w:after="0" w:line="166"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Because we currently rely on sales of our insulin pump products to generate a significant majority of our revenue, any factors that negatively impact sales of these products, or result in sales of these products increasing at a lower rate than expected, could adversely affect our business,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customers, their caregivers and healthcare providers, which include training specific to our products, ongoing support by sales and clinical employees, and 24/7 technical support and customer service. If demand for our products fluctuates, including as a result of the introduction of competitive products or technologies, changes in reimbursement policies, manufacturing problems, perceived safety or reliability issues with our or our competitors’ products, the failure to secure regulatory clearance or approvals, or for other reasons, our ability to attract and retain customers could be harmed. In addition, the retention of current customers may be impacted by negative perceptions regarding our financial stability relative to that of our competitors, and our ability to sustain our business operations on a long-term basis. The failure to retain a high percentage of our customers would negatively impact our revenue growth, which could have a material adverse effect on our business, financial condition and operating results.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ind w:right="6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70" w:lineRule="exact"/>
        <w:rPr>
          <w:sz w:val="20"/>
          <w:szCs w:val="20"/>
          <w:color w:val="auto"/>
        </w:rPr>
      </w:pPr>
    </w:p>
    <w:p>
      <w:pPr>
        <w:ind w:right="40" w:firstLine="571"/>
        <w:spacing w:after="0" w:line="286" w:lineRule="auto"/>
        <w:rPr>
          <w:sz w:val="20"/>
          <w:szCs w:val="20"/>
          <w:color w:val="auto"/>
        </w:rPr>
      </w:pPr>
      <w:r>
        <w:rPr>
          <w:rFonts w:ascii="Arial" w:cs="Arial" w:eastAsia="Arial" w:hAnsi="Arial"/>
          <w:sz w:val="17"/>
          <w:szCs w:val="17"/>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or MDI, therapy.</w:t>
      </w:r>
    </w:p>
    <w:p>
      <w:pPr>
        <w:spacing w:after="0" w:line="166" w:lineRule="exact"/>
        <w:rPr>
          <w:sz w:val="20"/>
          <w:szCs w:val="20"/>
          <w:color w:val="auto"/>
        </w:rPr>
      </w:pPr>
    </w:p>
    <w:p>
      <w:pPr>
        <w:ind w:right="40" w:firstLine="571"/>
        <w:spacing w:after="0" w:line="270" w:lineRule="auto"/>
        <w:rPr>
          <w:sz w:val="20"/>
          <w:szCs w:val="20"/>
          <w:color w:val="auto"/>
        </w:rPr>
      </w:pPr>
      <w:r>
        <w:rPr>
          <w:rFonts w:ascii="Arial" w:cs="Arial" w:eastAsia="Arial" w:hAnsi="Arial"/>
          <w:sz w:val="17"/>
          <w:szCs w:val="17"/>
          <w:color w:val="auto"/>
        </w:rPr>
        <w:t>Our primary competitors are major medical device companies that are either publicly traded companies or divisions or subsidiaries of publicly traded companies. For instance, Medtronic MiniMed, a division of Medtronic, Inc., has been the market leader for many years and has the majority share of the traditional insulin pump market in the United States. However, the market for insulin pumps continues to experience significant changes. For instance, in 2016, Roche Diabetes Care, a division of F. Hoffman-La Roche, discontinued sales of new insulin pumps in the United States. In October 2017, Johnson &amp; Johnson announced its plans to discontinue the operations of Animas and to exit the insulin pump business entirely. Both Roche and Animas designated Medtronic as a preferred partner to facilitate the transition of their respective insulin pump customers. Most recently, in late 2017, Eli Lilly &amp; Co. announced that it is developing an insulin pump with AID technology that it intends to launch in the next two to three years. There are also a number of other companies developing and marketing their own insulin delivery systems, including insulin pumps and Bluetooth-enabled insulin pens to support MDI therapy. While these industry changes are significant, it is difficult to know how they will influence our business or the competitive landscape in which we operate. Our key competitors, most notably Medtronic, enjoy several competitive advantages over us, including:</w:t>
      </w:r>
    </w:p>
    <w:p>
      <w:pPr>
        <w:spacing w:after="0" w:line="178" w:lineRule="exact"/>
        <w:rPr>
          <w:sz w:val="20"/>
          <w:szCs w:val="20"/>
          <w:color w:val="auto"/>
        </w:rPr>
      </w:pPr>
    </w:p>
    <w:p>
      <w:pPr>
        <w:ind w:left="1340" w:hanging="387"/>
        <w:spacing w:after="0"/>
        <w:tabs>
          <w:tab w:leader="none" w:pos="1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greater financial and human resources for sales and marketing, product development, customer service and clinical resources;</w:t>
      </w:r>
    </w:p>
    <w:p>
      <w:pPr>
        <w:spacing w:after="0" w:line="236" w:lineRule="exact"/>
        <w:rPr>
          <w:rFonts w:ascii="Arial" w:cs="Arial" w:eastAsia="Arial" w:hAnsi="Arial"/>
          <w:sz w:val="17"/>
          <w:szCs w:val="17"/>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financial resources to respond to competitive pressures and regulatory uncertainty;</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established reputation and name recognition among healthcare providers and other key opinion leaders in the diabetes industry;</w:t>
      </w:r>
    </w:p>
    <w:p>
      <w:pPr>
        <w:spacing w:after="0" w:line="236" w:lineRule="exact"/>
        <w:rPr>
          <w:rFonts w:ascii="Arial" w:cs="Arial" w:eastAsia="Arial" w:hAnsi="Arial"/>
          <w:sz w:val="17"/>
          <w:szCs w:val="17"/>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market share and established base of customers;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supported by long-term clinical data;</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more experience in conducting research and development, manufacturing, clinical trials, and obtaining regulatory approval or clearance.</w:t>
      </w:r>
    </w:p>
    <w:p>
      <w:pPr>
        <w:spacing w:after="0" w:line="275"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Medtronic offers a traditional insulin pump with AID functionality and a new CGM system and Insulet offers an insulin pump with a tubeless delivery system that does not utilize an infusion set. These specific features may make the competitive products more desirable to customers and healthcare providers, which could negatively impact sales of our products.</w:t>
      </w:r>
    </w:p>
    <w:p>
      <w:pPr>
        <w:spacing w:after="0" w:line="187"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Laboratories recently launched a new blood glucose monitoring system, which competes with the Dexcom technology. Competitive pressures within our industry could negatively impact the financial condition of our business partners, impact their ability to fulfil contractual obligations to us, and result in harm to our financial condition and operating results.</w:t>
      </w:r>
    </w:p>
    <w:p>
      <w:pPr>
        <w:spacing w:after="0" w:line="193" w:lineRule="exact"/>
        <w:rPr>
          <w:sz w:val="20"/>
          <w:szCs w:val="20"/>
          <w:color w:val="auto"/>
        </w:rPr>
      </w:pPr>
    </w:p>
    <w:p>
      <w:pPr>
        <w:ind w:right="160" w:firstLine="571"/>
        <w:spacing w:after="0" w:line="308" w:lineRule="auto"/>
        <w:rPr>
          <w:sz w:val="20"/>
          <w:szCs w:val="20"/>
          <w:color w:val="auto"/>
        </w:rPr>
      </w:pPr>
      <w:r>
        <w:rPr>
          <w:rFonts w:ascii="Arial" w:cs="Arial" w:eastAsia="Arial" w:hAnsi="Arial"/>
          <w:sz w:val="17"/>
          <w:szCs w:val="17"/>
          <w:color w:val="auto"/>
        </w:rPr>
        <w:t>For these and other reasons, we may not be able to compete successfully against our current or potential future competitors. As a result, our product sales may be negatively affected, which could have a material adverse impact on our financial condition and operating results.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 w:name="page32"/>
    <w:bookmarkEnd w:id="31"/>
    <w:p>
      <w:pPr>
        <w:ind w:right="34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firstLine="571"/>
        <w:spacing w:after="0" w:line="271" w:lineRule="auto"/>
        <w:rPr>
          <w:sz w:val="20"/>
          <w:szCs w:val="20"/>
          <w:color w:val="auto"/>
        </w:rPr>
      </w:pPr>
      <w:r>
        <w:rPr>
          <w:rFonts w:ascii="Arial" w:cs="Arial" w:eastAsia="Arial" w:hAnsi="Arial"/>
          <w:sz w:val="17"/>
          <w:szCs w:val="17"/>
          <w:color w:val="auto"/>
        </w:rPr>
        <w:t>Our ability to achieve our strategic objectives will depend, among other things, on our ability to develop and commercialize products for the treatment of diabetes that offer distinct features and functionality, are easy-to-use, receive adequate coverage and reimbursement from third-party payors, and are otherwise more appealing than available alternatives. Our primary competitors, as well as a number of other companies, medical researchers and pharmaceutical companies are pursuing new delivery devices, delivery technologies, sensing technologies, procedures, drugs and other therapies for the monitoring, treatment and prevention of diabetes. Any technological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79"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frequent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00" w:lineRule="exact"/>
        <w:rPr>
          <w:sz w:val="20"/>
          <w:szCs w:val="20"/>
          <w:color w:val="auto"/>
        </w:rPr>
      </w:pPr>
    </w:p>
    <w:p>
      <w:pPr>
        <w:ind w:right="360" w:firstLine="571"/>
        <w:spacing w:after="0" w:line="257" w:lineRule="auto"/>
        <w:rPr>
          <w:sz w:val="20"/>
          <w:szCs w:val="20"/>
          <w:color w:val="auto"/>
        </w:rPr>
      </w:pPr>
      <w:r>
        <w:rPr>
          <w:rFonts w:ascii="Arial" w:cs="Arial" w:eastAsia="Arial" w:hAnsi="Arial"/>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 w:name="page33"/>
    <w:bookmarkEnd w:id="32"/>
    <w:p>
      <w:pPr>
        <w:ind w:right="320"/>
        <w:spacing w:after="0" w:line="277" w:lineRule="auto"/>
        <w:rPr>
          <w:sz w:val="20"/>
          <w:szCs w:val="20"/>
          <w:color w:val="auto"/>
        </w:rPr>
      </w:pPr>
      <w:r>
        <w:rPr>
          <w:rFonts w:ascii="Arial" w:cs="Arial" w:eastAsia="Arial" w:hAnsi="Arial"/>
          <w:sz w:val="18"/>
          <w:szCs w:val="18"/>
          <w:b w:val="1"/>
          <w:bCs w:val="1"/>
          <w:i w:val="1"/>
          <w:iCs w:val="1"/>
          <w:color w:val="auto"/>
        </w:rPr>
        <w:t>The failure of our insulin pump products to achieve and maintain market acceptance could result in us achieving sales below our expectations, which would cause our business, financial condition and operating results to be materially and adversely affected.*</w:t>
      </w:r>
    </w:p>
    <w:p>
      <w:pPr>
        <w:spacing w:after="0" w:line="17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Our current business strategy is highly dependent on our insulin pump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insulin treatment methodologies. Market acceptance and adoption of our products depends on educating people with diabetes, as well as their caregivers and healthcare providers, about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fail to increase our sales in line with our forecasts.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260" w:right="140" w:hanging="323"/>
        <w:spacing w:after="0" w:line="277" w:lineRule="auto"/>
        <w:rPr>
          <w:sz w:val="20"/>
          <w:szCs w:val="20"/>
          <w:color w:val="auto"/>
        </w:rPr>
      </w:pPr>
      <w:r>
        <w:rPr>
          <w:rFonts w:ascii="Arial" w:cs="Arial" w:eastAsia="Arial" w:hAnsi="Arial"/>
          <w:sz w:val="18"/>
          <w:szCs w:val="18"/>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70" w:lineRule="exact"/>
        <w:rPr>
          <w:sz w:val="20"/>
          <w:szCs w:val="20"/>
          <w:color w:val="auto"/>
        </w:rPr>
      </w:pPr>
    </w:p>
    <w:p>
      <w:pPr>
        <w:ind w:left="1260" w:right="160" w:hanging="323"/>
        <w:spacing w:after="0" w:line="264" w:lineRule="auto"/>
        <w:rPr>
          <w:sz w:val="20"/>
          <w:szCs w:val="20"/>
          <w:color w:val="auto"/>
        </w:rPr>
      </w:pPr>
      <w:r>
        <w:rPr>
          <w:rFonts w:ascii="Arial" w:cs="Arial" w:eastAsia="Arial" w:hAnsi="Arial"/>
          <w:sz w:val="18"/>
          <w:szCs w:val="18"/>
          <w:color w:val="auto"/>
        </w:rPr>
        <w:t>•the failure of our products to provide the features and functionality that people with insulin-dependent diabetes, their caregivers and healthcare providers are seeking in insulin pump products, and to incorporate those features into our products in a timely, cost-effective and user-friendly manner;</w:t>
      </w:r>
    </w:p>
    <w:p>
      <w:pPr>
        <w:spacing w:after="0" w:line="181" w:lineRule="exact"/>
        <w:rPr>
          <w:sz w:val="20"/>
          <w:szCs w:val="20"/>
          <w:color w:val="auto"/>
        </w:rPr>
      </w:pPr>
    </w:p>
    <w:p>
      <w:pPr>
        <w:ind w:left="1260" w:right="400" w:hanging="323"/>
        <w:spacing w:after="0" w:line="277" w:lineRule="auto"/>
        <w:rPr>
          <w:sz w:val="20"/>
          <w:szCs w:val="20"/>
          <w:color w:val="auto"/>
        </w:rPr>
      </w:pPr>
      <w:r>
        <w:rPr>
          <w:rFonts w:ascii="Arial" w:cs="Arial" w:eastAsia="Arial" w:hAnsi="Arial"/>
          <w:sz w:val="18"/>
          <w:szCs w:val="18"/>
          <w:color w:val="auto"/>
        </w:rPr>
        <w:t>•lack of evidence supporting the safety, ease-of-use or other perceived benefits of our products over competitive products or other currently-available insulin treatment methodologies;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•perceived risks or uncertainties associated with the use of our insulin pump products or similar products or technologies generally;</w:t>
      </w:r>
    </w:p>
    <w:p>
      <w:pPr>
        <w:spacing w:after="0" w:line="225" w:lineRule="exact"/>
        <w:rPr>
          <w:sz w:val="20"/>
          <w:szCs w:val="20"/>
          <w:color w:val="auto"/>
        </w:rPr>
      </w:pPr>
    </w:p>
    <w:p>
      <w:pPr>
        <w:ind w:left="1260" w:right="100" w:hanging="323"/>
        <w:spacing w:after="0" w:line="277" w:lineRule="auto"/>
        <w:rPr>
          <w:sz w:val="20"/>
          <w:szCs w:val="20"/>
          <w:color w:val="auto"/>
        </w:rPr>
      </w:pPr>
      <w:r>
        <w:rPr>
          <w:rFonts w:ascii="Arial" w:cs="Arial" w:eastAsia="Arial" w:hAnsi="Arial"/>
          <w:sz w:val="18"/>
          <w:szCs w:val="18"/>
          <w:color w:val="auto"/>
        </w:rPr>
        <w:t>•the introduction of competitive products, technologies or treatment techniques and the rate of their acceptance as compared to our insulin pump products;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25" w:lineRule="exact"/>
        <w:rPr>
          <w:sz w:val="20"/>
          <w:szCs w:val="20"/>
          <w:color w:val="auto"/>
        </w:rPr>
      </w:pPr>
    </w:p>
    <w:p>
      <w:pPr>
        <w:ind w:left="1260" w:hanging="323"/>
        <w:spacing w:after="0" w:line="277" w:lineRule="auto"/>
        <w:rPr>
          <w:sz w:val="20"/>
          <w:szCs w:val="20"/>
          <w:color w:val="auto"/>
        </w:rPr>
      </w:pPr>
      <w:r>
        <w:rPr>
          <w:rFonts w:ascii="Arial" w:cs="Arial" w:eastAsia="Arial" w:hAnsi="Arial"/>
          <w:sz w:val="18"/>
          <w:szCs w:val="18"/>
          <w:color w:val="auto"/>
        </w:rPr>
        <w:t>•discounts, rebates and other financial incentives that our competitors may offer for competitive products that make them more attractive than our products; and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•results of clinical studies relating to our existing products or products under development or similar competitive products.</w:t>
      </w:r>
    </w:p>
    <w:p>
      <w:pPr>
        <w:spacing w:after="0" w:line="225"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addition, even if we are able to convince people with insulin-dependent diabetes, their caregivers or healthcare providers that our products compare favorably to the products and treatment alternatives offered by our competitors, negative perceptions regarding our financial stability relative to that of our competitors, and our ability to sustain our business operations on a long-term basis, could cause consumers to delay the purchase of our products or to purchase competitive products.</w:t>
      </w:r>
    </w:p>
    <w:p>
      <w:pPr>
        <w:spacing w:after="0" w:line="187"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Furthermore, the rapid evolution of technology and treatment options within our industry may cause consumers to delay the purchase of our products in anticipation of advancements, or the perception that advancements could occur, in our products or the products offered by our competitors. It is also possible that consumers interested in purchasing any of our future products currently under development may delay the purchase of one of our current products.</w:t>
      </w:r>
    </w:p>
    <w:p>
      <w:pPr>
        <w:spacing w:after="0" w:line="187"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If our insulin pump products do not achieve and maintain widespread market acceptance, we may fail to achieve sales at or above our projections, in which case our business, financial condition and operating results could be materially and adversely affected.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ind w:right="300"/>
        <w:spacing w:after="0" w:line="381" w:lineRule="auto"/>
        <w:rPr>
          <w:sz w:val="20"/>
          <w:szCs w:val="20"/>
          <w:color w:val="auto"/>
        </w:rPr>
      </w:pPr>
      <w:r>
        <w:rPr>
          <w:rFonts w:ascii="Arial" w:cs="Arial" w:eastAsia="Arial" w:hAnsi="Arial"/>
          <w:sz w:val="15"/>
          <w:szCs w:val="15"/>
          <w:b w:val="1"/>
          <w:bCs w:val="1"/>
          <w:i w:val="1"/>
          <w:iCs w:val="1"/>
          <w:color w:val="auto"/>
        </w:rPr>
        <w:t>Our ability to achieve profitability will depend, in part, on our ability to reduce the per unit cost of our products by increasing production volume and manufacturing efficiency, including by reducing raw material, labor, product-training, expected warranty and manufacturing overhead costs per unit.</w:t>
      </w:r>
    </w:p>
    <w:p>
      <w:pPr>
        <w:spacing w:after="0" w:line="101"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believe that our ability to reduce the per unit cost of our insulin pump products and related cartridges will have a significant impact on our ability to achieve profitability. Our cost of sales includes raw material procurement costs, labor costs, product training expenses, warranty, scrap and inventory excess and obsolescence. It also includes manufacturing overhead costs, including expenses relating to quality assurance, inventory control, facilities, equipment, information technology and operations management. If we are unable to sustain or reduce our overall cost of sales, including through arrangements such as volume purchase discounts, negotiation of improved pricing, more efficient training programs for customers, and improved warranty performance, it will be difficult to reduce our per unit costs and our ability to achieve profitability will be constrained. The per unit cost of our products is significantly impacted by our overall production volumes, and any factors that cause our production volumes to decline, or to grow at a slower rate than we expect, would significantly impact our expected per unit costs. In addition, we may not achieve anticipated improvements in manufacturing productivity following the relocation of our manufacturing operations to our Barnes Canyon facility. Furthermore, while we currently believe our proprietary technology platform will allow us to efficiently design and develop new products, changes in the market that require us to modify or replace our existing platform, such as any accelerated development of our next generation t:sport product, will reduce the efficiencies gained through our platform and could increase our per unit costs. If we are unable to effectively manage our overall costs while increasing our production volumes and lowering our per unit costs, we may not be able to achieve or sustain profitability, which would have an adverse impact on our business, financial condition and operating results.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20" w:firstLine="571"/>
        <w:spacing w:after="0" w:line="297" w:lineRule="auto"/>
        <w:rPr>
          <w:sz w:val="20"/>
          <w:szCs w:val="20"/>
          <w:color w:val="auto"/>
        </w:rPr>
      </w:pPr>
      <w:r>
        <w:rPr>
          <w:rFonts w:ascii="Arial" w:cs="Arial" w:eastAsia="Arial" w:hAnsi="Arial"/>
          <w:sz w:val="16"/>
          <w:szCs w:val="16"/>
          <w:color w:val="auto"/>
        </w:rPr>
        <w:t>We have derived nearly all of our revenue from sales of insulin pumps, and related insulin cartridges and infusion sets, and expect to continue to do so in the foreseeable future.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158"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As guidelines in setting their coverage and reimbursement policies, many third-party payors in the United States use coverage decisions and payment amounts determined by the Centers for Medicare and Medicaid Services, or CMS, which administers the U.S. Medicare program. Medicare periodically reviews its reimbursement practices for diabetes-related products. Medicare previously implemented a competitive bidding process for blood glucose strip reimbursement, which resulted in a significant reduction in the reimbursement rate for those products. In 2017, Medicare announced, and then shortly thereafter suspended, a competitive bidding process for insulin pumps. As a result, there is uncertainty as to the future Medicare reimbursement rate for our products. In addition, those third-party payors that do not follow the CMS guidelines may adopt different coverage and reimbursement policies for our current and future products. It is possible that some third-party payors will not offer any coverage for our current or future products. For instance,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an insulin pump from us for the foreseeable future. It is possible that other third-party payors may adopt similar policies in the future, which would adversely impact our ability to sell our products.</w:t>
      </w:r>
    </w:p>
    <w:p>
      <w:pPr>
        <w:spacing w:after="0" w:line="193" w:lineRule="exact"/>
        <w:rPr>
          <w:sz w:val="20"/>
          <w:szCs w:val="20"/>
          <w:color w:val="auto"/>
        </w:rPr>
      </w:pPr>
    </w:p>
    <w:p>
      <w:pPr>
        <w:ind w:right="20" w:firstLine="571"/>
        <w:spacing w:after="0" w:line="269" w:lineRule="auto"/>
        <w:rPr>
          <w:sz w:val="20"/>
          <w:szCs w:val="20"/>
          <w:color w:val="auto"/>
        </w:rPr>
      </w:pPr>
      <w:r>
        <w:rPr>
          <w:rFonts w:ascii="Arial" w:cs="Arial" w:eastAsia="Arial" w:hAnsi="Arial"/>
          <w:sz w:val="17"/>
          <w:szCs w:val="17"/>
          <w:color w:val="auto"/>
        </w:rPr>
        <w:t>We currently have contracts establishing reimbursement for our insulin pump products with approximately 176 national and regional third-party payors in the United States. While we may enter into additional contracts both domestically and internationally, with third-party payors and adding coverage for future products under our current agreements, we cannot guarantee that we will succeed in doing so or that the reimbursement contracts that we are able to negotiate will enable us to sell our products on a profitable basis. In particular, we do not have experience securing reimbursement in international markets. Also, any negative perceptions among third-party payors regarding our financial stability, including our ability to continue to sell and service our products, may make it more difficult to enter into or renew reimbursement contracts with third-party payors.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3"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40" w:firstLine="571"/>
        <w:spacing w:after="0" w:line="302" w:lineRule="auto"/>
        <w:rPr>
          <w:sz w:val="20"/>
          <w:szCs w:val="20"/>
          <w:color w:val="auto"/>
        </w:rPr>
      </w:pPr>
      <w:r>
        <w:rPr>
          <w:rFonts w:ascii="Arial" w:cs="Arial" w:eastAsia="Arial" w:hAnsi="Arial"/>
          <w:sz w:val="16"/>
          <w:szCs w:val="16"/>
          <w:color w:val="auto"/>
        </w:rPr>
        <w:t>We have only limited experience marketing and selling our products as well as training new customers on their use. In addition, the vast majority of our existing customers are individuals with type 1 diabetes, and we have only limited experience marketing and selling our products to customers with type 2 diabetes. As a result, we expect to continue to face unexpected challenges marketing and selling t:flex, which is designed to meet the needs of customers with type 2 diabetes and/or higher insulin requirements. Accordingly, the Company intends to discontinue new sales of t:flex pumps in the third quarter of 2018.</w:t>
      </w:r>
    </w:p>
    <w:p>
      <w:pPr>
        <w:spacing w:after="0" w:line="154"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expect to derive nearly all of our revenue from the sale of t:slim X2 with G5, and the related insulin cartridges and infusion sets, unless and until we receive regulatory clearance or approval for other products currently under development. As a result, our financial condition and operating results are and will continue to be highly dependent on the ability of our sales and marketing organization to adequately promote, market and sell our insulin pumps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firstLine="571"/>
        <w:spacing w:after="0" w:line="269" w:lineRule="auto"/>
        <w:rPr>
          <w:sz w:val="20"/>
          <w:szCs w:val="20"/>
          <w:color w:val="auto"/>
        </w:rPr>
      </w:pPr>
      <w:r>
        <w:rPr>
          <w:rFonts w:ascii="Arial" w:cs="Arial" w:eastAsia="Arial" w:hAnsi="Arial"/>
          <w:sz w:val="17"/>
          <w:szCs w:val="17"/>
          <w:color w:val="auto"/>
        </w:rPr>
        <w:t>A key element of our business strategy involves our sales, clinical, marketing and customer service personnel driving adoption of our products. We have rapidly increased the number of sales, marketing, clinical and customer service personnel employed by us since the initial commercial launch of t:slim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light of negative perceptions regarding our financial stability, and the decline in our stock price, especially over the past two years, which may make it more difficult to motivate and retain key personnel. Unexpected turnover among our sales, marketing, clinical and customer service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83"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expect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47" w:lineRule="exact"/>
        <w:rPr>
          <w:sz w:val="20"/>
          <w:szCs w:val="20"/>
          <w:color w:val="auto"/>
        </w:rPr>
      </w:pPr>
    </w:p>
    <w:p>
      <w:pPr>
        <w:ind w:right="100" w:firstLine="571"/>
        <w:spacing w:after="0" w:line="285" w:lineRule="auto"/>
        <w:rPr>
          <w:sz w:val="20"/>
          <w:szCs w:val="20"/>
          <w:color w:val="auto"/>
        </w:rPr>
      </w:pPr>
      <w:r>
        <w:rPr>
          <w:rFonts w:ascii="Arial" w:cs="Arial" w:eastAsia="Arial" w:hAnsi="Arial"/>
          <w:sz w:val="16"/>
          <w:szCs w:val="16"/>
          <w:color w:val="auto"/>
        </w:rPr>
        <w:t>For the year ended December 31, 2017, sales to approximately 35 independent distributors represented approximately 75% of our sales. While our goal in the United States is to ultimately reduce the percentage of our sales to independent distributors over time as we enter into contracts with additional third-party payors, we believe that a majority of our sales will continue to be to independent distributors for the foreseeable future, and it is possible that the percentage of our sales to independent distributors could even increase in the near term, particularly in light of our plans to primarily rely on independent distributors outside of the United States and Canada. For example, our dependence upon independent distributors could increase if third-party payors decide to contract with independent distributors directly in lieu of contracting with us to supply our products to their members directly. Our dependence upon independent distributors has also increased following our launch of the t:lock for our insulin cartridge, which may continue to result in greater sales of our infusion sets to distributors. Our dependence upon independent distributors could also increase if customers prefer to purchase all of their diabetes supplies through a single source, instead of purchasing pump-related products through us and other diabetes supplies through other suppliers. However, negative perceptions among independent distributors regarding our financial stability, and our ability to sustain our business operations on a long-term basis may negatively impact the willingness of our distributors to continue to do business with us. None of our independent distributors in the United States has been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the United States generally have longer initial terms and, in addition to being terminable in connection with a party’s material breach, include provisions that allow us to terminate those agreements prior to their ordinary expiration. If we are unable to maintain or expand our network of independent distributors, our sales may be negatively affected.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ind w:right="80"/>
        <w:spacing w:after="0" w:line="255" w:lineRule="auto"/>
        <w:rPr>
          <w:sz w:val="20"/>
          <w:szCs w:val="20"/>
          <w:color w:val="auto"/>
        </w:rPr>
      </w:pPr>
      <w:r>
        <w:rPr>
          <w:rFonts w:ascii="Arial" w:cs="Arial" w:eastAsia="Arial" w:hAnsi="Arial"/>
          <w:sz w:val="18"/>
          <w:szCs w:val="18"/>
          <w:color w:val="auto"/>
        </w:rPr>
        <w:t>For the year ended December 31, 2017, our two largest independent distributors collectively comprised approximately 35.5% of our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or other arrangements pursuant to which independent distributors may purchase product from us, the terms of the arrangements could result in our product margins to be lower than if we directly marketed and sold our products.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20" w:firstLine="571"/>
        <w:spacing w:after="0" w:line="269" w:lineRule="auto"/>
        <w:rPr>
          <w:sz w:val="20"/>
          <w:szCs w:val="20"/>
          <w:color w:val="auto"/>
        </w:rPr>
      </w:pPr>
      <w:r>
        <w:rPr>
          <w:rFonts w:ascii="Arial" w:cs="Arial" w:eastAsia="Arial" w:hAnsi="Arial"/>
          <w:sz w:val="17"/>
          <w:szCs w:val="17"/>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or these third parties do not successfully carry out their commitments or regulatory obligations or meet expected deadlines, or the quality or accuracy of the data they obtain is compromised due to the failure to adhere to agreed upon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In particular, we currently expect to rely on data from the National Institute of Health-funded International Diabetes Closed Loop Trial, or IDCL Trial, to support our development of t:slim X2 with Control IQ. The IDCL Trial is being conducted entirely by third parties over which we have little or no control or influence. In the event that the IDCL Trial is not performed on a timely basis, or if the quality or accuracy of the data obtained from the IDCL Trial is compromised due to the failure to adhere to clinical protocols or regulatory requirements or for other reasons, our development activities for t:slim X2 with Control IQ may be negatively impacted.</w:t>
      </w:r>
    </w:p>
    <w:p>
      <w:pPr>
        <w:spacing w:after="0" w:line="18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24"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especially with respect to the IDCL Trial that we intend to rely upon for the development of t:slim X2 with Control IQ.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89"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7" w:lineRule="exact"/>
        <w:rPr>
          <w:sz w:val="20"/>
          <w:szCs w:val="20"/>
          <w:color w:val="auto"/>
        </w:rPr>
      </w:pPr>
    </w:p>
    <w:p>
      <w:pPr>
        <w:ind w:firstLine="571"/>
        <w:spacing w:after="0" w:line="272" w:lineRule="auto"/>
        <w:rPr>
          <w:sz w:val="20"/>
          <w:szCs w:val="20"/>
          <w:color w:val="auto"/>
        </w:rPr>
      </w:pPr>
      <w:r>
        <w:rPr>
          <w:rFonts w:ascii="Arial" w:cs="Arial" w:eastAsia="Arial" w:hAnsi="Arial"/>
          <w:sz w:val="17"/>
          <w:szCs w:val="17"/>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ind w:firstLine="518"/>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upon which to evaluate our business and forecast our future sales and operating results and may face difficulties frequently encountered by companies in competitive and rapidly-evolving markets.*</w:t>
      </w:r>
    </w:p>
    <w:p>
      <w:pPr>
        <w:spacing w:after="0" w:line="17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a limited operating history upon which to evaluate our business and forecast our future sales and operating results. We began commercial sales of t:slim in the third quarter of 2012, of t:flex in the second quarter of 2015 and of t:slim X2 with G5 in August 2017. The t:slim X2 hardware platform now represents nearly 100% of new pump shipments. Accordingly, the Company intends to discontinue new sales of t:flex pumps in the third quarter of 2018. More recently, important industry changes such as the FDA approval and launch of new products by our competitors, and the announcement by Johnson &amp; Johnson that it is discontinuing the operations of Animas and exiting the insulin pump business, combine to make it more difficult for us to predict our future sales and operating results. In assessing our business prospects, you should consider these factors as well as the various risks and difficulties frequently encountered by companies in competitive and rapidly evolving markets, particularly those facing emerging growth companies that manufacture and sell medical devices.</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340" w:right="680" w:hanging="387"/>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and improve the productivity of our sales, clinical and marketing infrastructure to grow sales of our existing and proposed products;</w:t>
      </w:r>
    </w:p>
    <w:p>
      <w:pPr>
        <w:spacing w:after="0" w:line="170" w:lineRule="exact"/>
        <w:rPr>
          <w:rFonts w:ascii="Arial" w:cs="Arial" w:eastAsia="Arial" w:hAnsi="Arial"/>
          <w:sz w:val="18"/>
          <w:szCs w:val="18"/>
          <w:color w:val="auto"/>
        </w:rPr>
      </w:pPr>
    </w:p>
    <w:p>
      <w:pPr>
        <w:ind w:left="1340" w:right="220" w:hanging="387"/>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gain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340" w:right="400" w:hanging="387"/>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maintain regulatory clearance or approval to enhance our existing products and commercialize proposed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13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Due to our limited operating history, we may not have the institutional knowledge or experience to be able to effectively address these and other risks that may face our business. In addition, we may not be able to develop insights into trends that could emerge and negatively affect our business and may fail to respond effectively to those trends. As a result of these or other risks, we may not be able to execute key components of our business strategy, and our business, financial condition and operating results may suffer.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 w:name="page38"/>
    <w:bookmarkEnd w:id="37"/>
    <w:p>
      <w:pPr>
        <w:ind w:right="260"/>
        <w:spacing w:after="0" w:line="277" w:lineRule="auto"/>
        <w:rPr>
          <w:sz w:val="20"/>
          <w:szCs w:val="20"/>
          <w:color w:val="auto"/>
        </w:rPr>
      </w:pPr>
      <w:r>
        <w:rPr>
          <w:rFonts w:ascii="Arial" w:cs="Arial" w:eastAsia="Arial" w:hAnsi="Arial"/>
          <w:sz w:val="18"/>
          <w:szCs w:val="18"/>
          <w:b w:val="1"/>
          <w:bCs w:val="1"/>
          <w:i w:val="1"/>
          <w:iCs w:val="1"/>
          <w:color w:val="auto"/>
        </w:rPr>
        <w:t>The Technology Upgrade Program resulted in accounting complexities that may lead to confusion when comparing our historical and future financial results.</w:t>
      </w:r>
    </w:p>
    <w:p>
      <w:pPr>
        <w:spacing w:after="0" w:line="17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While our Technology Upgrade Program expired on September 30, 2017, it resulted in a number of accounting complexities that will continue to make comparisons of our historical and future financial results more difficult. In particular, during the term of the Technology Upgrade Program, U.S. GAAP prevented us from recognizing, at the time of sale, up to 100% of the sales and cost of sales associated with the sale of our insulin pumps to eligible customers. Instead, depending on the type of pump sold, we were required to defer some or all of the sales and cost of sales until a later date. In light of the expiration of the Program, we are no longer subject to these accounting deferrals. However, in evaluating our 2017 financial results through December 31, 2017, as a result of the Technology Upgrade Program we recorded incremental net sales of $5.0 million that were previously deferred, with a corresponding increase of $3.1 million in gross profit.</w:t>
      </w:r>
    </w:p>
    <w:p>
      <w:pPr>
        <w:spacing w:after="0" w:line="189" w:lineRule="exact"/>
        <w:rPr>
          <w:sz w:val="20"/>
          <w:szCs w:val="20"/>
          <w:color w:val="auto"/>
        </w:rPr>
      </w:pPr>
    </w:p>
    <w:p>
      <w:pPr>
        <w:ind w:firstLine="571"/>
        <w:spacing w:after="0" w:line="302" w:lineRule="auto"/>
        <w:rPr>
          <w:sz w:val="20"/>
          <w:szCs w:val="20"/>
          <w:color w:val="auto"/>
        </w:rPr>
      </w:pPr>
      <w:r>
        <w:rPr>
          <w:rFonts w:ascii="Arial" w:cs="Arial" w:eastAsia="Arial" w:hAnsi="Arial"/>
          <w:sz w:val="16"/>
          <w:szCs w:val="16"/>
          <w:color w:val="auto"/>
        </w:rPr>
        <w:t>Despite our efforts to explain the required accounting treatment for the Technology Upgrade Program, it is possible that there may be confusion when comparing our historical and future financial results, which may cause our stock price to decline. For example, any revenue growth in 2018 on a U.S. GAAP basis is expected to be lower than the rate of growth on a product volume basis. In addition, the complexities associated with the Program may cause investors to avoid investing in our common stock until our financial results and trends are more predictable, which may also adversely impact our stock price.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ind w:right="200" w:firstLine="571"/>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related to our manufacturing capabilities, including:</w:t>
      </w:r>
    </w:p>
    <w:p>
      <w:pPr>
        <w:spacing w:after="0" w:line="181" w:lineRule="exact"/>
        <w:rPr>
          <w:sz w:val="20"/>
          <w:szCs w:val="20"/>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secure product components in a timely manner, in sufficient quantities and on commercially reasonable terms;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340" w:right="780" w:hanging="387"/>
        <w:spacing w:after="0" w:line="277"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facility.</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risks are likely to be exacerbated by our limited experience with our current products, manufacturing processes and manufacturing facilities.</w:t>
      </w:r>
    </w:p>
    <w:p>
      <w:pPr>
        <w:spacing w:after="0" w:line="248"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As demand for our products increases, and as the number of our commercial products expands, we will have to invest additional resources to purchase components, hire and train employees, and enhance our manufacturing processes and quality systems. Over the past two years we have implemented several new pieces of equipment that are intended to improve our manufacturing capacity and efficiency. However, it is possible that we may not achieve the anticipated improvements from these investments.</w:t>
      </w:r>
    </w:p>
    <w:p>
      <w:pPr>
        <w:spacing w:after="0" w:line="187"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implementation of additional equipment and procedures, obtaining new regulatory approvals, or the development of new manufacturing technologies. Ultimately, it may not be possible for us to manufacture these products at a cost or in quantities sufficient to make these products commercially viable.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jc w:val="both"/>
        <w:ind w:right="100" w:firstLine="571"/>
        <w:spacing w:after="0" w:line="264" w:lineRule="auto"/>
        <w:rPr>
          <w:sz w:val="20"/>
          <w:szCs w:val="20"/>
          <w:color w:val="auto"/>
        </w:rPr>
      </w:pPr>
      <w:r>
        <w:rPr>
          <w:rFonts w:ascii="Arial" w:cs="Arial" w:eastAsia="Arial" w:hAnsi="Arial"/>
          <w:sz w:val="18"/>
          <w:szCs w:val="18"/>
          <w:color w:val="auto"/>
        </w:rPr>
        <w:t>If we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third-party suppliers for certain product components, and the loss of any of these suppliers, or their inability to provide us with an adequate supply of components, could harm our business.</w:t>
      </w:r>
    </w:p>
    <w:p>
      <w:pPr>
        <w:spacing w:after="0" w:line="170" w:lineRule="exact"/>
        <w:rPr>
          <w:sz w:val="20"/>
          <w:szCs w:val="20"/>
          <w:color w:val="auto"/>
        </w:rPr>
      </w:pPr>
    </w:p>
    <w:p>
      <w:pPr>
        <w:ind w:firstLine="693"/>
        <w:spacing w:after="0" w:line="291" w:lineRule="auto"/>
        <w:rPr>
          <w:sz w:val="20"/>
          <w:szCs w:val="20"/>
          <w:color w:val="auto"/>
        </w:rPr>
      </w:pPr>
      <w:r>
        <w:rPr>
          <w:rFonts w:ascii="Arial" w:cs="Arial" w:eastAsia="Arial" w:hAnsi="Arial"/>
          <w:sz w:val="16"/>
          <w:szCs w:val="16"/>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in sufficient quantities, in compliance with regulatory requirements and quality control standards, in accordance with agreed-upon specifications, at acceptable costs and on a timely basis. For example, we have implemented a business strategy intended to increase our future sales of infusion sets, and any increase in the sales of our infusion sets could strain the ability of our suppliers to deliver products in a manner that meets our various requirements.</w:t>
      </w:r>
    </w:p>
    <w:p>
      <w:pPr>
        <w:spacing w:after="0" w:line="167" w:lineRule="exact"/>
        <w:rPr>
          <w:sz w:val="20"/>
          <w:szCs w:val="20"/>
          <w:color w:val="auto"/>
        </w:rPr>
      </w:pPr>
    </w:p>
    <w:p>
      <w:pPr>
        <w:ind w:right="160" w:firstLine="693"/>
        <w:spacing w:after="0" w:line="270" w:lineRule="auto"/>
        <w:rPr>
          <w:sz w:val="20"/>
          <w:szCs w:val="20"/>
          <w:color w:val="auto"/>
        </w:rPr>
      </w:pPr>
      <w:r>
        <w:rPr>
          <w:rFonts w:ascii="Arial" w:cs="Arial" w:eastAsia="Arial" w:hAnsi="Arial"/>
          <w:sz w:val="17"/>
          <w:szCs w:val="17"/>
          <w:color w:val="auto"/>
        </w:rPr>
        <w:t>We do not have long-term supply agreements with many of our suppliers and, in many cases, we make our purchases on a purchase order basis. Under most of our supply agreements, we have no obligation to buy any given quantity of components or products until we place written orders, and our suppliers have no obligation to manufacture for us or sell to us any given quantity of components or products until they accept an order. As a result, our ability to purchase adequate quantities of our components or products may be limited. Additionally, our suppliers may encounter problems that limit their ability to manufacture components or products for us, including financial difficulties or damage to their manufacturing equipment or facilities. If we fail to obtain sufficient quantities of high quality components to meet demand on a timely basis, we could lose customer orders, our reputation may be harmed and our business could suffer. Furthermore, negative perceptions among our suppliers regarding our financial stability, and our ability to sustain our business operations on a long-term basis, may cause one or more of our suppliers to terminate their relationship with us, or claim that our financial condition causes them to demand different payment terms.</w:t>
      </w:r>
    </w:p>
    <w:p>
      <w:pPr>
        <w:spacing w:after="0" w:line="182" w:lineRule="exact"/>
        <w:rPr>
          <w:sz w:val="20"/>
          <w:szCs w:val="20"/>
          <w:color w:val="auto"/>
        </w:rPr>
      </w:pPr>
    </w:p>
    <w:p>
      <w:pPr>
        <w:ind w:right="100" w:firstLine="700"/>
        <w:spacing w:after="0" w:line="270" w:lineRule="auto"/>
        <w:rPr>
          <w:sz w:val="20"/>
          <w:szCs w:val="20"/>
          <w:color w:val="auto"/>
        </w:rPr>
      </w:pPr>
      <w:r>
        <w:rPr>
          <w:rFonts w:ascii="Arial" w:cs="Arial" w:eastAsia="Arial" w:hAnsi="Arial"/>
          <w:sz w:val="17"/>
          <w:szCs w:val="17"/>
          <w:color w:val="auto"/>
        </w:rPr>
        <w:t>We generally use a small number of suppliers for our components or products. Depending on a limited number of suppliers exposes us to risks, including limited control over pricing,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inventory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would limit our ability to meet our sales commitments, which could harm our reputation and have a material adverse effect on our business.</w:t>
      </w:r>
    </w:p>
    <w:p>
      <w:pPr>
        <w:spacing w:after="0" w:line="178" w:lineRule="exact"/>
        <w:rPr>
          <w:sz w:val="20"/>
          <w:szCs w:val="20"/>
          <w:color w:val="auto"/>
        </w:rPr>
      </w:pPr>
    </w:p>
    <w:p>
      <w:pPr>
        <w:ind w:right="40" w:firstLine="693"/>
        <w:spacing w:after="0" w:line="255"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8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cannot reliably manufacture our new infusion set connector, or if it does not achieve market acceptance, we may not achieve our financial projections.</w:t>
      </w:r>
    </w:p>
    <w:p>
      <w:pPr>
        <w:spacing w:after="0" w:line="170" w:lineRule="exact"/>
        <w:rPr>
          <w:sz w:val="20"/>
          <w:szCs w:val="20"/>
          <w:color w:val="auto"/>
        </w:rPr>
      </w:pPr>
    </w:p>
    <w:p>
      <w:pPr>
        <w:ind w:right="300" w:firstLine="571"/>
        <w:spacing w:after="0" w:line="257" w:lineRule="auto"/>
        <w:rPr>
          <w:sz w:val="20"/>
          <w:szCs w:val="20"/>
          <w:color w:val="auto"/>
        </w:rPr>
      </w:pPr>
      <w:r>
        <w:rPr>
          <w:rFonts w:ascii="Arial" w:cs="Arial" w:eastAsia="Arial" w:hAnsi="Arial"/>
          <w:sz w:val="18"/>
          <w:szCs w:val="18"/>
          <w:color w:val="auto"/>
        </w:rPr>
        <w:t>In September 2017, we began commercial sales of products with t:lock, which replaced the standard Luer-lok connector that historically joined an infusion set to our proprietary disposable insulin cartridges. Concurrently, we began selling infusion sets that are compatible with t:lock. Our supplier of infusion sets must manufacture a variety of lengths and styles of infusion sets with t:lock that matches our cartridges. Failure to do so, or to do so at the necessary production volumes, may result in our inability to convert customers to t:lock when anticipated, which would negatively impact our ability to achieve our financial projections.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20" w:firstLine="571"/>
        <w:spacing w:after="0" w:line="255" w:lineRule="auto"/>
        <w:rPr>
          <w:sz w:val="20"/>
          <w:szCs w:val="20"/>
          <w:color w:val="auto"/>
        </w:rPr>
      </w:pPr>
      <w:r>
        <w:rPr>
          <w:rFonts w:ascii="Arial" w:cs="Arial" w:eastAsia="Arial" w:hAnsi="Arial"/>
          <w:sz w:val="18"/>
          <w:szCs w:val="18"/>
          <w:color w:val="auto"/>
        </w:rPr>
        <w:t>In addition, our independent distributors will need to continue to purchase the compatible infusion sets from us to provide to their customers. We anticipate the transition period for our direct customers and distributors to utilize their inventory on hand before transitioning to t:lock is substantially complete; however, we are aware of circumstances that may require additional time for some direct customers and distributors to complete the transition. Accordingly, we still anticipate offering both styles of cartridges and infusion sets to facilitate the transition of customer supplies early in 2018. However, due to the variability in purchasing patterns, standard Luer-lok inventory may not be consumed at the predicted rates and we may be required to offer both styles of insulin cartridges and infusion sets for a longer period than anticipated or we may be left with excess quantities of Luer-lok style insulin cartridges that we cannot sell at standard prices or at all.</w:t>
      </w:r>
    </w:p>
    <w:p>
      <w:pPr>
        <w:spacing w:after="0" w:line="189" w:lineRule="exact"/>
        <w:rPr>
          <w:sz w:val="20"/>
          <w:szCs w:val="20"/>
          <w:color w:val="auto"/>
        </w:rPr>
      </w:pPr>
    </w:p>
    <w:p>
      <w:pPr>
        <w:ind w:right="20" w:firstLine="571"/>
        <w:spacing w:after="0" w:line="257" w:lineRule="auto"/>
        <w:rPr>
          <w:sz w:val="20"/>
          <w:szCs w:val="20"/>
          <w:color w:val="auto"/>
        </w:rPr>
      </w:pPr>
      <w:r>
        <w:rPr>
          <w:rFonts w:ascii="Arial" w:cs="Arial" w:eastAsia="Arial" w:hAnsi="Arial"/>
          <w:sz w:val="18"/>
          <w:szCs w:val="18"/>
          <w:color w:val="auto"/>
        </w:rPr>
        <w:t>While t:lock was designed based on customer feedback, and all standard Luer-lok infusion sets that we currently offer are also available with t:lock, it is possible that t:lock may not continue to gain market acceptance by current or potential customers, their caregivers, or healthcare providers. Any negative market response to t:lock may impact a current customer’s decision to purchase a new pump from us at the time of renewal. In addition, potential customers may decide not to purchase our insulin pumps if they do not prefer t:lock or t:lock compatible infusion sets, which could have a material, adverse impact on our business, financial condition and operating results.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currently operate primarily at two locations in San Diego, California, and any disruption at these locations could adversely affect our business and operating results.</w:t>
      </w:r>
    </w:p>
    <w:p>
      <w:pPr>
        <w:spacing w:after="0" w:line="170" w:lineRule="exact"/>
        <w:rPr>
          <w:sz w:val="20"/>
          <w:szCs w:val="20"/>
          <w:color w:val="auto"/>
        </w:rPr>
      </w:pPr>
    </w:p>
    <w:p>
      <w:pPr>
        <w:ind w:right="140" w:firstLine="571"/>
        <w:spacing w:after="0" w:line="271" w:lineRule="auto"/>
        <w:rPr>
          <w:sz w:val="20"/>
          <w:szCs w:val="20"/>
          <w:color w:val="auto"/>
        </w:rPr>
      </w:pPr>
      <w:r>
        <w:rPr>
          <w:rFonts w:ascii="Arial" w:cs="Arial" w:eastAsia="Arial" w:hAnsi="Arial"/>
          <w:sz w:val="17"/>
          <w:szCs w:val="17"/>
          <w:color w:val="auto"/>
        </w:rPr>
        <w:t>Substantially all of our operations are conducted at two locations in San Diego, California, including our manufacturing processes, research and development activities, customer and technical support, and management and administrative functions. In addition, substantially all of our inventory of component supplies and finished goods are held at these locations. We take precautions to safeguard our facilities, including acquiring insurance, employing back-up generators, adopting health and safety protocols and utilizing off-site storage of computer data. However, vandalism, terrorism or a natural or other disaster, such as an earthquake, fire or flood, could damage or destroy our manufacturing equipment or our inventory of component supplies and finished goods, cause substantial delays in our operations, result in the loss of key information, result in reduced sales, and cause us to incur additional expenses. Our insurance may not cover our losses in any particular case. Regardless of the level of insurance coverage, damage to our facilities may have a material adverse effect on our business, financial condition and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experience the anticipated operating efficiencies from the transition of our manufacturing operations to our new facility.</w:t>
      </w:r>
    </w:p>
    <w:p>
      <w:pPr>
        <w:spacing w:after="0" w:line="225" w:lineRule="exact"/>
        <w:rPr>
          <w:sz w:val="20"/>
          <w:szCs w:val="20"/>
          <w:color w:val="auto"/>
        </w:rPr>
      </w:pPr>
    </w:p>
    <w:p>
      <w:pPr>
        <w:ind w:right="160" w:firstLine="693"/>
        <w:spacing w:after="0" w:line="259" w:lineRule="auto"/>
        <w:rPr>
          <w:sz w:val="20"/>
          <w:szCs w:val="20"/>
          <w:color w:val="auto"/>
        </w:rPr>
      </w:pPr>
      <w:r>
        <w:rPr>
          <w:rFonts w:ascii="Arial" w:cs="Arial" w:eastAsia="Arial" w:hAnsi="Arial"/>
          <w:sz w:val="18"/>
          <w:szCs w:val="18"/>
          <w:color w:val="auto"/>
        </w:rPr>
        <w:t>We recently completed the transition of our manufacturing operations to our Barnes Canyon facility that we expect will allow for future product manufacturing expansion. However, we may not experience the anticipated operating efficiencies as we commence manufacturing operations at the new facility. If we fail to achieve the operating efficiencies that we anticipate, our manufacturing and operating costs may be greater than expected, which would have a material adverse impact on our operating results.</w:t>
      </w:r>
    </w:p>
    <w:p>
      <w:pPr>
        <w:spacing w:after="0" w:line="187" w:lineRule="exact"/>
        <w:rPr>
          <w:sz w:val="20"/>
          <w:szCs w:val="20"/>
          <w:color w:val="auto"/>
        </w:rPr>
      </w:pPr>
    </w:p>
    <w:p>
      <w:pPr>
        <w:ind w:right="100" w:firstLine="693"/>
        <w:spacing w:after="0" w:line="270" w:lineRule="auto"/>
        <w:rPr>
          <w:sz w:val="20"/>
          <w:szCs w:val="20"/>
          <w:color w:val="auto"/>
        </w:rPr>
      </w:pPr>
      <w:r>
        <w:rPr>
          <w:rFonts w:ascii="Arial" w:cs="Arial" w:eastAsia="Arial" w:hAnsi="Arial"/>
          <w:sz w:val="17"/>
          <w:szCs w:val="17"/>
          <w:color w:val="auto"/>
        </w:rPr>
        <w:t>In September 2017, following a site inspection of our Barnes Canyon facility, the FDA issued a Form 483, List of Inspectional Observations, containing two observations. Following our receipt of the Form 483, we began implementing corrective and preventive actions to fully address the FDA observations, and in October 2017, we provided a written response to the FDA. In December 2017, we received a letter from the FDA stating that our initial written response did not fully address the FDA observations, and that the FDA would address the observations during its next regularly scheduled inspection of our facilities. Following additional discussions with the FDA regarding the observations from our Barnes Canyon Facility inspection, in April 2018 we initiated a voluntary product recall involving a small subset of t:slim G4 Insulin Pumps shipped between December 16, 2016 and June 21, 2017. The total number of devices subject to the recall is 55. We have concluded that the pumps subject to this recall have a higher than normal risk of an inaccurate battery reading that could result in an unanticipated suspension of insulin delivery. It remains possible that the FDA will conclude that our corrective and preventive actions are inadequate. If the FDA is not satisfied, it may issue a warning letter to us or may take other actions, any of which could have a material adverse effect on our business.</w:t>
      </w:r>
    </w:p>
    <w:p>
      <w:pPr>
        <w:spacing w:after="0" w:line="178" w:lineRule="exact"/>
        <w:rPr>
          <w:sz w:val="20"/>
          <w:szCs w:val="20"/>
          <w:color w:val="auto"/>
        </w:rPr>
      </w:pPr>
    </w:p>
    <w:p>
      <w:pPr>
        <w:jc w:val="both"/>
        <w:ind w:firstLine="693"/>
        <w:spacing w:after="0" w:line="264" w:lineRule="auto"/>
        <w:rPr>
          <w:sz w:val="20"/>
          <w:szCs w:val="20"/>
          <w:color w:val="auto"/>
        </w:rPr>
      </w:pPr>
      <w:r>
        <w:rPr>
          <w:rFonts w:ascii="Arial" w:cs="Arial" w:eastAsia="Arial" w:hAnsi="Arial"/>
          <w:sz w:val="18"/>
          <w:szCs w:val="18"/>
          <w:color w:val="auto"/>
        </w:rPr>
        <w:t>We expect that the management and support of our new manufacturing facility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from the new facility.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right="40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offerings through our research and development efforts, we may fail to effectively compete, which may impede our ability to become profitable.</w:t>
      </w:r>
    </w:p>
    <w:p>
      <w:pPr>
        <w:spacing w:after="0" w:line="170" w:lineRule="exact"/>
        <w:rPr>
          <w:sz w:val="20"/>
          <w:szCs w:val="20"/>
          <w:color w:val="auto"/>
        </w:rPr>
      </w:pPr>
    </w:p>
    <w:p>
      <w:pPr>
        <w:ind w:right="180" w:firstLine="571"/>
        <w:spacing w:after="0" w:line="297"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offerings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58" w:lineRule="exact"/>
        <w:rPr>
          <w:sz w:val="20"/>
          <w:szCs w:val="20"/>
          <w:color w:val="auto"/>
        </w:rPr>
      </w:pPr>
    </w:p>
    <w:p>
      <w:pPr>
        <w:ind w:left="1340" w:right="300" w:hanging="387"/>
        <w:spacing w:after="0" w:line="277"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34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70"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t:slim X2 and t:flex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G4 and t:slim X2 with G5 received FDA approval under a PMA. However, there are no published studies to evaluate the safety or effectiveness of t:slim G4 or t:slim X2 with G5 in a controlled setting. As a result, we currently lack the breadth of published long-term clinical data supporting the safety and efficacy of our products and the benefits they offer.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69" w:lineRule="exact"/>
        <w:rPr>
          <w:sz w:val="20"/>
          <w:szCs w:val="20"/>
          <w:color w:val="auto"/>
        </w:rPr>
      </w:pPr>
    </w:p>
    <w:p>
      <w:pPr>
        <w:ind w:right="220" w:firstLine="571"/>
        <w:spacing w:after="0" w:line="302"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ind w:right="40" w:firstLine="571"/>
        <w:spacing w:after="0" w:line="255" w:lineRule="auto"/>
        <w:rPr>
          <w:sz w:val="20"/>
          <w:szCs w:val="20"/>
          <w:color w:val="auto"/>
        </w:rPr>
      </w:pPr>
      <w:r>
        <w:rPr>
          <w:rFonts w:ascii="Arial" w:cs="Arial" w:eastAsia="Arial" w:hAnsi="Arial"/>
          <w:sz w:val="18"/>
          <w:szCs w:val="18"/>
          <w:color w:val="auto"/>
        </w:rPr>
        <w:t>Any alleged illness or injury associated with any of our products or product recall may negatively impact our financial results and business prospects depending on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right="60" w:firstLine="571"/>
        <w:spacing w:after="0" w:line="271"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We may not identify or complete any such transactions or arrangements in a timely manner, on a cost-effective basis, on acceptable terms or at all. In addition, we may not realize the anticipated benefits of any such transaction or arrangement that we do identify and complete. In particular, these collaborations may not result in the development of products that achieve commercial success or result in positive financial results and could be terminated prior to developing any products.</w:t>
      </w:r>
    </w:p>
    <w:p>
      <w:pPr>
        <w:spacing w:after="0" w:line="179" w:lineRule="exact"/>
        <w:rPr>
          <w:sz w:val="20"/>
          <w:szCs w:val="20"/>
          <w:color w:val="auto"/>
        </w:rPr>
      </w:pPr>
    </w:p>
    <w:p>
      <w:pPr>
        <w:ind w:firstLine="571"/>
        <w:spacing w:after="0" w:line="269"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8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For example, we have entered into multiple development agreements with Dexcom, which provide us non-exclusive licenses to integrate various generations of Dexcom CGM technology with our insulin pump products. Our agreements with Dexcom currently run until June 2020 with automatic one-year renewals. Under certain circumstances, these agreements may be terminated by either party without cause or on short notice. Termination of any of our agreements with Dexcom could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right="60" w:firstLine="571"/>
        <w:spacing w:after="0" w:line="312" w:lineRule="auto"/>
        <w:rPr>
          <w:sz w:val="20"/>
          <w:szCs w:val="20"/>
          <w:color w:val="auto"/>
        </w:rPr>
      </w:pPr>
      <w:r>
        <w:rPr>
          <w:rFonts w:ascii="Arial" w:cs="Arial" w:eastAsia="Arial" w:hAnsi="Arial"/>
          <w:sz w:val="16"/>
          <w:szCs w:val="16"/>
          <w:color w:val="auto"/>
        </w:rPr>
        <w:t>We operate our business in regions subject to natural disasters, including earthquakes, hurricanes, floods, fires and other catastrophic events.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w:t>
      </w:r>
    </w:p>
    <w:p>
      <w:pPr>
        <w:spacing w:after="0" w:line="147"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Any future disruptions to our operations could have a material adverse impact on our financial condition and results of operations in future periods.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right="100"/>
        <w:spacing w:after="0" w:line="277" w:lineRule="auto"/>
        <w:rPr>
          <w:sz w:val="20"/>
          <w:szCs w:val="20"/>
          <w:color w:val="auto"/>
        </w:rPr>
      </w:pPr>
      <w:r>
        <w:rPr>
          <w:rFonts w:ascii="Arial" w:cs="Arial" w:eastAsia="Arial" w:hAnsi="Arial"/>
          <w:sz w:val="18"/>
          <w:szCs w:val="18"/>
          <w:b w:val="1"/>
          <w:bCs w:val="1"/>
          <w:i w:val="1"/>
          <w:iCs w:val="1"/>
          <w:color w:val="auto"/>
        </w:rPr>
        <w:t>Any significant disruptions to our information technology systems, or failures of our pumps’ software to perform as we anticipate, could have an adverse effect on our business, financial condition and operating results.</w:t>
      </w:r>
    </w:p>
    <w:p>
      <w:pPr>
        <w:spacing w:after="0" w:line="170" w:lineRule="exact"/>
        <w:rPr>
          <w:sz w:val="20"/>
          <w:szCs w:val="20"/>
          <w:color w:val="auto"/>
        </w:rPr>
      </w:pPr>
    </w:p>
    <w:p>
      <w:pPr>
        <w:ind w:right="20" w:firstLine="571"/>
        <w:spacing w:after="0" w:line="270"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as well as those involved in the operation of our Tandem Device Updater, are vulnerable to damage or interruption from earthquakes, fires, floods and other natural disasters, terrorist attacks, attacks by computer viruses or hackers, power losses, and computer system or data network failures. In addition, our currently-marketed insulin pumps, and our products currently under development contain software which could be subject to computer virus, hacker attacks or other failures. These risks significantly increased after July 2016, when we received FDA clearance of our Tandem Device Updater, which enables customers to remotely update software on their insulin pumps. We may also face new risks relating to our information technology systems as we begin to commercialize our products outside the United States.</w:t>
      </w:r>
    </w:p>
    <w:p>
      <w:pPr>
        <w:spacing w:after="0" w:line="182" w:lineRule="exact"/>
        <w:rPr>
          <w:sz w:val="20"/>
          <w:szCs w:val="20"/>
          <w:color w:val="auto"/>
        </w:rPr>
      </w:pPr>
    </w:p>
    <w:p>
      <w:pPr>
        <w:ind w:right="220" w:firstLine="571"/>
        <w:spacing w:after="0" w:line="291" w:lineRule="auto"/>
        <w:rPr>
          <w:sz w:val="20"/>
          <w:szCs w:val="20"/>
          <w:color w:val="auto"/>
        </w:rPr>
      </w:pPr>
      <w:r>
        <w:rPr>
          <w:rFonts w:ascii="Arial" w:cs="Arial" w:eastAsia="Arial" w:hAnsi="Arial"/>
          <w:sz w:val="16"/>
          <w:szCs w:val="16"/>
          <w:color w:val="auto"/>
        </w:rPr>
        <w:t>The failure of our or our service providers’ information technology systems or our pumps’ software to perform as we anticipate or our failure to effectively implement new information technology systems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This may be especially true during periods in which we face challenges such as financial difficulties or a reduced stock price.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highly dependent upon the members of our management team, as well as other key employees. Many of these individuals have been employed by us for many years, have played integral roles in the growth of our business, and will continue to provide value to us. In our industry, it is common to attract and retain executive talent and other employees with compensation packages that include a significant equity component. At this time, a substantial number of our outstanding equity awards, which generally are issued in the form of stock options, are significantly out of the money and unlikely to be exercised in the future. We have issued, and may continue to issue, additional equity incentives that we believe will enhance our ability to retain our current key employees and attract the necessary additional executive talent, although some or all of these awards may be subject to conditions including the requirement to obtain the consent of our stockholders to an increase in the number of shares reserved for issuance under our equity plan.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170" w:lineRule="exact"/>
        <w:rPr>
          <w:sz w:val="20"/>
          <w:szCs w:val="20"/>
          <w:color w:val="auto"/>
        </w:rPr>
      </w:pPr>
    </w:p>
    <w:p>
      <w:pPr>
        <w:ind w:firstLine="571"/>
        <w:spacing w:after="0" w:line="269" w:lineRule="auto"/>
        <w:rPr>
          <w:sz w:val="20"/>
          <w:szCs w:val="20"/>
          <w:color w:val="auto"/>
        </w:rPr>
      </w:pPr>
      <w:r>
        <w:rPr>
          <w:rFonts w:ascii="Arial" w:cs="Arial" w:eastAsia="Arial" w:hAnsi="Arial"/>
          <w:sz w:val="17"/>
          <w:szCs w:val="17"/>
          <w:color w:val="auto"/>
        </w:rPr>
        <w:t>There are a number of federal and state laws protecting the confidentiality and security of certain patient health information, including patient records, and restricting the use and disclosure of that protected information. In particular, the U.S. Department of Health and Human Services, or HHS, promulgated privacy and security rules under the Health Insurance Portability and Accountability Act of 1996, or HIPAA, as amended by the Health Information Technology for Economic and Clinical Health Act, or HITECH. The privacy rule protects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The security rule protects protected health information, or PHI, stored electronically by requiring appropriate administrative, physical and technical safeguards to ensure the confidentiality, integrity and security of such PHI. If we, or any of our service providers, are found to be in violation of the promulgated privacy and security rules under HIPAA and HITECH, we could be subject to civil or criminal penalties, which could increase our liabilities, harm our reputation and have a material adverse effect on our business, financial condition and operating results. We may also face new risks relating to security laws and privacy rights as we begin to commercialize our products outside the United States.</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seeking approval to commercialize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We are planning to begin commercialization of the t:slim X2 in select geographies outside of the United States, including Canada, during 2018. We do not have experience in commercializing our products outside of the United States and expect that we will be subject to additional risks related to entering into international business markets, including:</w:t>
      </w:r>
    </w:p>
    <w:p>
      <w:pPr>
        <w:spacing w:after="0" w:line="181" w:lineRule="exact"/>
        <w:rPr>
          <w:sz w:val="20"/>
          <w:szCs w:val="20"/>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 users and employees;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340" w:right="20" w:hanging="387"/>
        <w:spacing w:after="0" w:line="277"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340" w:right="200" w:hanging="387"/>
        <w:spacing w:after="0" w:line="277"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87" w:right="259" w:bottom="1440" w:gutter="0" w:footer="0" w:header="0"/>
        </w:sectPr>
      </w:pPr>
    </w:p>
    <w:bookmarkStart w:id="44" w:name="page45"/>
    <w:bookmarkEnd w:id="44"/>
    <w:p>
      <w:pPr>
        <w:ind w:left="1340" w:hanging="387"/>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347" w:lineRule="exact"/>
        <w:rPr>
          <w:sz w:val="20"/>
          <w:szCs w:val="20"/>
          <w:color w:val="auto"/>
        </w:rPr>
      </w:pPr>
    </w:p>
    <w:p>
      <w:pPr>
        <w:ind w:right="100" w:firstLine="571"/>
        <w:spacing w:after="0" w:line="257" w:lineRule="auto"/>
        <w:rPr>
          <w:sz w:val="20"/>
          <w:szCs w:val="20"/>
          <w:color w:val="auto"/>
        </w:rPr>
      </w:pPr>
      <w:r>
        <w:rPr>
          <w:rFonts w:ascii="Arial" w:cs="Arial" w:eastAsia="Arial" w:hAnsi="Arial"/>
          <w:sz w:val="18"/>
          <w:szCs w:val="18"/>
          <w:color w:val="auto"/>
        </w:rPr>
        <w:t>In addition, entry into international markets may require significant financial resources and could divert management’s attention from managing our core business. We have limited experience with regulatory environments and market practices internationally, and we may not be able to penetrate or successfully operate in new markets. Accordingly,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8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01" w:lineRule="exact"/>
        <w:rPr>
          <w:sz w:val="20"/>
          <w:szCs w:val="20"/>
          <w:color w:val="auto"/>
        </w:rPr>
      </w:pPr>
    </w:p>
    <w:p>
      <w:pPr>
        <w:ind w:right="320" w:firstLine="571"/>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24" w:lineRule="exact"/>
        <w:rPr>
          <w:sz w:val="20"/>
          <w:szCs w:val="20"/>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compliance with regulatory matters.</w:t>
      </w:r>
    </w:p>
    <w:p>
      <w:pPr>
        <w:spacing w:after="0" w:line="25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funds in the future and if we are unable to raise additional funds when necessary, we may not be able to achieve our strategic objectives.*</w:t>
      </w:r>
    </w:p>
    <w:p>
      <w:pPr>
        <w:spacing w:after="0" w:line="170" w:lineRule="exact"/>
        <w:rPr>
          <w:sz w:val="20"/>
          <w:szCs w:val="20"/>
          <w:color w:val="auto"/>
        </w:rPr>
      </w:pPr>
    </w:p>
    <w:p>
      <w:pPr>
        <w:ind w:right="260" w:firstLine="571"/>
        <w:spacing w:after="0" w:line="276" w:lineRule="auto"/>
        <w:rPr>
          <w:sz w:val="20"/>
          <w:szCs w:val="20"/>
          <w:color w:val="auto"/>
        </w:rPr>
      </w:pPr>
      <w:r>
        <w:rPr>
          <w:rFonts w:ascii="Arial" w:cs="Arial" w:eastAsia="Arial" w:hAnsi="Arial"/>
          <w:sz w:val="17"/>
          <w:szCs w:val="17"/>
          <w:color w:val="auto"/>
        </w:rPr>
        <w:t>As of March 31, 2018, we had $81.9 million in cash, cash equivalents and short-term investments, which included $10.0 million of restricted cash. Our management expects the continued growth of our business, including the expansion of our customer care infrastructure to support our growing base of customers our plans to commence commercial sales of our products outside the United States and additional research and development activities, will continue to increase our expenses and capital needs. In addition, the amount of our future product sales is difficult to predict and actual sales may not be in line with our forecasts. Our future capital requirements will depend on many factors, including:</w:t>
      </w:r>
    </w:p>
    <w:p>
      <w:pPr>
        <w:spacing w:after="0" w:line="173" w:lineRule="exact"/>
        <w:rPr>
          <w:sz w:val="20"/>
          <w:szCs w:val="20"/>
          <w:color w:val="auto"/>
        </w:rPr>
      </w:pPr>
    </w:p>
    <w:p>
      <w:pPr>
        <w:ind w:left="1340" w:right="520" w:hanging="387"/>
        <w:spacing w:after="0" w:line="277"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proceeds we receive from the exercise of our outstanding warrants;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maintaining an appropriate sales, clinical and marketing infrastructure;</w:t>
      </w:r>
    </w:p>
    <w:p>
      <w:pPr>
        <w:spacing w:after="0" w:line="225" w:lineRule="exact"/>
        <w:rPr>
          <w:rFonts w:ascii="Arial" w:cs="Arial" w:eastAsia="Arial" w:hAnsi="Arial"/>
          <w:sz w:val="18"/>
          <w:szCs w:val="18"/>
          <w:color w:val="auto"/>
        </w:rPr>
      </w:pPr>
    </w:p>
    <w:p>
      <w:pPr>
        <w:ind w:left="1340" w:right="760" w:hanging="387"/>
        <w:spacing w:after="0" w:line="277"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expenses we incur in maintaining and enhancing our manufacturing infrastructure, including adding additional manufacturing equipment and capacity;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associated with developing and commercializing our proposed products or technologies;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care infrastructure;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obtaining and maintaining regulatory clearance or approval for our products and our manufacturing facilities;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we incur in connection with potential litigation or governmental investigations;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compliance with the covenants in the Term Loan Agreement;</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anticipated or unanticipated capital expenditures;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As a result of these and other factors we may in the future seek additional capital from public or private offerings of our capital stock, elect to restructure or refinance our existing indebtedness, or borrow additional amounts under new credit lines or from other sources.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78" w:lineRule="exact"/>
        <w:rPr>
          <w:sz w:val="20"/>
          <w:szCs w:val="20"/>
          <w:color w:val="auto"/>
        </w:rPr>
      </w:pPr>
    </w:p>
    <w:p>
      <w:pPr>
        <w:ind w:right="120" w:firstLine="571"/>
        <w:spacing w:after="0" w:line="302" w:lineRule="auto"/>
        <w:rPr>
          <w:sz w:val="20"/>
          <w:szCs w:val="20"/>
          <w:color w:val="auto"/>
        </w:rPr>
      </w:pPr>
      <w:r>
        <w:rPr>
          <w:rFonts w:ascii="Arial" w:cs="Arial" w:eastAsia="Arial" w:hAnsi="Arial"/>
          <w:sz w:val="16"/>
          <w:szCs w:val="16"/>
          <w:color w:val="auto"/>
        </w:rPr>
        <w:t>If we are unable to raise additional capital when necessary, we may not be able to maintain our existing sales, marketing, clinical and customer care infrastructure, enhance our current products or develop new products, take advantage of future opportunities, respond to competitive pressures, changes in supplier relationships, or unanticipated changes in customer demand, or satisfy covenants in the Term Loan Agreement. Any of these events could adversely affect our ability to achieve our strategic objectives, which could have a material adverse effect on our business, financial condition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380" w:firstLine="571"/>
        <w:spacing w:after="0" w:line="264"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introductions by us or our competitors. Our operating results, and the variability of these operating results, will be affected by numerous factors, including:</w:t>
      </w:r>
    </w:p>
    <w:p>
      <w:pPr>
        <w:spacing w:after="0" w:line="181" w:lineRule="exact"/>
        <w:rPr>
          <w:sz w:val="20"/>
          <w:szCs w:val="20"/>
          <w:color w:val="auto"/>
        </w:rPr>
      </w:pPr>
    </w:p>
    <w:p>
      <w:pPr>
        <w:ind w:left="1340" w:right="140" w:hanging="387"/>
        <w:spacing w:after="0" w:line="277"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increase sales and gross profit from our insulin pump products, including the related insulin cartridges and infusion sets, and to commercialize and sell our future products;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acceptance of our products by people with insulin-dependent diabetes, their caregivers, healthcare providers and third-party payors;</w:t>
      </w:r>
    </w:p>
    <w:p>
      <w:pPr>
        <w:spacing w:after="0" w:line="236" w:lineRule="exact"/>
        <w:rPr>
          <w:rFonts w:ascii="Arial" w:cs="Arial" w:eastAsia="Arial" w:hAnsi="Arial"/>
          <w:sz w:val="17"/>
          <w:szCs w:val="17"/>
          <w:color w:val="auto"/>
        </w:rPr>
      </w:pPr>
    </w:p>
    <w:p>
      <w:pPr>
        <w:ind w:left="1340" w:right="480" w:hanging="387"/>
        <w:spacing w:after="0" w:line="277"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340" w:right="20" w:hanging="387"/>
        <w:spacing w:after="0" w:line="277"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revenue and expense recognition associated with our product sales pursuant to applicable accounting standards.</w:t>
      </w:r>
    </w:p>
    <w:p>
      <w:pPr>
        <w:spacing w:after="0" w:line="225" w:lineRule="exact"/>
        <w:rPr>
          <w:sz w:val="20"/>
          <w:szCs w:val="20"/>
          <w:color w:val="auto"/>
        </w:rPr>
      </w:pPr>
    </w:p>
    <w:p>
      <w:pPr>
        <w:ind w:right="140" w:firstLine="571"/>
        <w:spacing w:after="0" w:line="279" w:lineRule="auto"/>
        <w:rPr>
          <w:sz w:val="20"/>
          <w:szCs w:val="20"/>
          <w:color w:val="auto"/>
        </w:rPr>
      </w:pPr>
      <w:r>
        <w:rPr>
          <w:rFonts w:ascii="Arial" w:cs="Arial" w:eastAsia="Arial" w:hAnsi="Arial"/>
          <w:sz w:val="17"/>
          <w:szCs w:val="17"/>
          <w:color w:val="auto"/>
        </w:rPr>
        <w:t>As a result of our recent and anticipated product launches, and due to the complexities of the industry in which we operate, it will continue to be difficult for us to forecast demand for our products with any degree of certainty. For example, our recent commercial launch of t:slim X2 with G5, the FDA approval and launch of new products by our competitors, and the announcement by Johnson &amp; Johnson that it is discontinuing the operations of Animas and exiting the insulin pump business, combine to make it more difficult for us to predict our operating results.</w:t>
      </w:r>
    </w:p>
    <w:p>
      <w:pPr>
        <w:spacing w:after="0" w:line="104"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In addition, our operating expenses will continue to increase as we expand our business. Accordingly, we may experience substantial variability in our operating results from quarter to quarter.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indebtedness, which currently consists of our Term Loan Agreement with Capital Royalty Partners.</w:t>
      </w:r>
    </w:p>
    <w:p>
      <w:pPr>
        <w:spacing w:after="0" w:line="170"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As of December 31, 2017, we had $82.7 million aggregate borrowings outstanding under the Term Loan Agreement with Capital Royalty Partners. Our ability to make scheduled payments or to restructure or refinance our debt obligations depends on numerous factors, including the amount of our cash reserves at the time a scheduled payment becomes due and our actual and projected financial and operating performance. The amount of our cash reserves and our financial and operating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or interest on our existing or future indebtedness.</w:t>
      </w:r>
    </w:p>
    <w:p>
      <w:pPr>
        <w:spacing w:after="0" w:line="178"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If our cash balances or cash flows from operations are insufficient to fund our debt service obligations, we may be forced to reduce or delay capital expenditures, sell or license our assets, reduce our operations, seek additional capital on unfavorable terms, or restructure or refinance our indebtedness. We cannot assure you that we would be able to take any of these actions, or that these actions would permit us to meet our scheduled debt service obligations. Our recent and projected financial results, the volatility in our stock price over the past two years, and general concerns among potential investors and creditors about our financial stability may make taking such actions on commercially reasonable terms especially difficult. If we are unable to generate sufficient cash flow or are otherwise unable to obtain the funds necessary to meet scheduled debt service obligations, we could be in default under the terms of the Term Loan Agreement.</w:t>
      </w:r>
    </w:p>
    <w:p>
      <w:pPr>
        <w:spacing w:after="0" w:line="1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Term Loan Agreement contains restrictive and financial covenants that may limit our operating flexibility, and our potential inability to comply with such covenants puts us at risk of triggering an event of default under the Term Loan Agreement.*</w:t>
      </w:r>
    </w:p>
    <w:p>
      <w:pPr>
        <w:spacing w:after="0" w:line="170" w:lineRule="exact"/>
        <w:rPr>
          <w:sz w:val="20"/>
          <w:szCs w:val="20"/>
          <w:color w:val="auto"/>
        </w:rPr>
      </w:pPr>
    </w:p>
    <w:p>
      <w:pPr>
        <w:ind w:right="320" w:firstLine="571"/>
        <w:spacing w:after="0" w:line="279" w:lineRule="auto"/>
        <w:rPr>
          <w:sz w:val="20"/>
          <w:szCs w:val="20"/>
          <w:color w:val="auto"/>
        </w:rPr>
      </w:pPr>
      <w:r>
        <w:rPr>
          <w:rFonts w:ascii="Arial" w:cs="Arial" w:eastAsia="Arial" w:hAnsi="Arial"/>
          <w:sz w:val="17"/>
          <w:szCs w:val="17"/>
          <w:color w:val="auto"/>
        </w:rPr>
        <w:t>The Term Loan Agreement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We may not be able to engage in any of the foregoing transactions unless we obtain the consent of Capital Royalty Partners or terminate the Term Loan Agreement.</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Term Loan Agreement also contains certain financial covenants, including minimum revenue and cash balance requirements, and financial reporting requirements. There is no guarantee that we will be able to generate sufficient cash flow or sales to meet the financial covenants or pay the principal and interest under the Term Loan Agreement. Further, there is no guarantee that future working capital, borrowings or equity financing will be available to repay or refinance the amounts outstanding under the Term Loan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60" w:firstLine="571"/>
        <w:spacing w:after="0" w:line="272" w:lineRule="auto"/>
        <w:rPr>
          <w:sz w:val="20"/>
          <w:szCs w:val="20"/>
          <w:color w:val="auto"/>
        </w:rPr>
      </w:pPr>
      <w:r>
        <w:rPr>
          <w:rFonts w:ascii="Arial" w:cs="Arial" w:eastAsia="Arial" w:hAnsi="Arial"/>
          <w:sz w:val="17"/>
          <w:szCs w:val="17"/>
          <w:color w:val="auto"/>
        </w:rPr>
        <w:t>The terms of the Term Loan Agreement also require that we deliver audited financial statements that include an unqualified audit report to Capital Royalty Partners. If the audit report and opinion of our independent registered public accounting firm contained in our financial statements for the year ended December 31, 2017 had included an explanatory paragraph that described conditions that raised substantial doubt about our ability to continue as a going concern, it could have constituted a potential event of default under the Term Loan Agreement. Accordingly, prior to the completion of the February Financing, we entered into the Fifth Amendment, which included a limited advance waiver of such a potential event of default. The Fifth Amendment included a covenant requiring us to complete a financing in which our gross proceeds from the sale of equity securities is at least $20.0 million, no later than August 30, 2018. We satisfied this covenant with the completion of the February Financing.</w:t>
      </w:r>
    </w:p>
    <w:p>
      <w:pPr>
        <w:spacing w:after="0" w:line="178" w:lineRule="exact"/>
        <w:rPr>
          <w:sz w:val="20"/>
          <w:szCs w:val="20"/>
          <w:color w:val="auto"/>
        </w:rPr>
      </w:pPr>
    </w:p>
    <w:p>
      <w:pPr>
        <w:ind w:right="260" w:firstLine="571"/>
        <w:spacing w:after="0" w:line="286" w:lineRule="auto"/>
        <w:rPr>
          <w:sz w:val="20"/>
          <w:szCs w:val="20"/>
          <w:color w:val="auto"/>
        </w:rPr>
      </w:pPr>
      <w:r>
        <w:rPr>
          <w:rFonts w:ascii="Arial" w:cs="Arial" w:eastAsia="Arial" w:hAnsi="Arial"/>
          <w:sz w:val="17"/>
          <w:szCs w:val="17"/>
          <w:color w:val="auto"/>
        </w:rPr>
        <w:t>In the event of a future default triggered by any violations of the covenants in the Term Loan Agreement, we will need to obtain additional waivers from Capital Royalty Partners to avoid being in default. If we are unable to obtain a waiver of any events of default, or an amendment to the Term Loan Agreement that would allow us to be in compliance with the terms of the agreement, an event of default would result.</w:t>
      </w:r>
    </w:p>
    <w:p>
      <w:pPr>
        <w:spacing w:after="0" w:line="166"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In the event of our default under of the Term Loan Agreement, we may be required to repay any outstanding amounts earlier than anticipated and our capital resources may not be sufficient to meet those obligations. Further, if we are unable to repay our indebtedness and Capital Royalty Partners institutes foreclosure proceedings against our assets, we could be forced into bankruptcy or liquidation, and in such a scenario, the values that we receive for our assets could be significantly lower than the values reflected in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rely primarily on patent, trademark and trade secret laws, as well as confidentiality and non-disclosure agreements, to protect our proprietary technologies. As of March 31, 2018, our patent portfolio consisted of approximately 62 issued U.S. patents and 50 pending U.S. patent applications. Of these, our issued U.S. patents expire between approximately 2021 and 2036. We also have and are seeking patent protection for our proprietary technologies in other countries throughout the world. In addition, we have 10 U.S. trademark registrations and 13 foreign trademark registrations.</w:t>
      </w:r>
    </w:p>
    <w:p>
      <w:pPr>
        <w:spacing w:after="0" w:line="171"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7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Third parties also may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3"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ind w:right="80" w:firstLine="518"/>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8" w:lineRule="exact"/>
        <w:rPr>
          <w:sz w:val="20"/>
          <w:szCs w:val="20"/>
          <w:color w:val="auto"/>
        </w:rPr>
      </w:pPr>
    </w:p>
    <w:p>
      <w:pPr>
        <w:ind w:right="80" w:firstLine="571"/>
        <w:spacing w:after="0" w:line="277"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Any intellectual property dispute or litigation could force us to do one or more of the following:</w:t>
      </w:r>
    </w:p>
    <w:p>
      <w:pPr>
        <w:spacing w:after="0" w:line="170" w:lineRule="exact"/>
        <w:rPr>
          <w:sz w:val="20"/>
          <w:szCs w:val="20"/>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from third parties, which may not be available on reasonable terms or at all.</w:t>
      </w:r>
    </w:p>
    <w:p>
      <w:pPr>
        <w:spacing w:after="0" w:line="27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diabetes market increases, the possibility of intellectual property infringement claims against us increases.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could become the subject of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following our January 2014 voluntary recall of cartridges used with t:slim. In addition, the misuse of our products or the failure of customers to adhere to operating guidelines could cause significant harm to customers, including death, which could result in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66"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Product liability claims in excess of applicable insurance coverage could have a material adverse effect on our business, financial condition and operating results. In addition, any product liability claim brought against us, with or without merit, could result in an increase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ind w:right="20" w:firstLine="518"/>
        <w:spacing w:after="0" w:line="269" w:lineRule="auto"/>
        <w:rPr>
          <w:sz w:val="20"/>
          <w:szCs w:val="20"/>
          <w:color w:val="auto"/>
        </w:rPr>
      </w:pPr>
      <w:r>
        <w:rPr>
          <w:rFonts w:ascii="Arial" w:cs="Arial" w:eastAsia="Arial" w:hAnsi="Arial"/>
          <w:sz w:val="17"/>
          <w:szCs w:val="17"/>
          <w:color w:val="auto"/>
        </w:rPr>
        <w:t>Before we can market or sell a new regulated product or a significant modification to an existing product in the United States, we must obtain either clearance under Section 510(k) of the FDCA or approval of a Premarket Approval, or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and of our PMA supplement for t:slim X2 with G5 in August 2017. Products that are approved through a PMA application generally need FDA approval before they can be modified. Similarly, some modifications made to products cleared through a 510(k) may require a new 510(k). The process of obtaining regulatory clearances or approvals to market a medical device can be costly and time-consuming, and we may not be able to obtain these clearances or approvals on a timely basis or at all for our proposed products.</w:t>
      </w:r>
    </w:p>
    <w:p>
      <w:pPr>
        <w:spacing w:after="0" w:line="18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initially received pre-market clearance for t:slim under Section 510(k) of the FDCA in November 2011. We obtained 510(k) clearances for t:connect and t:flex in February 2013 and January 2015, respectively. From time to time, we may make modifications to these products that may require a new 510(k). We have received 510(k) clearance for various modifications to t:slim and its associated cartridge. For instance, in July 2016, we received 510(k) clearance to reduce the age in our indications for use of t:slim to age six. We may pursue 510(k) clearance for additional products or product modifications in the future.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We anticipate that our products currently under development will require the more costly, lengthy and uncertain PMA approval process.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340" w:hanging="387"/>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5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81" w:lineRule="exact"/>
        <w:rPr>
          <w:sz w:val="20"/>
          <w:szCs w:val="20"/>
          <w:color w:val="auto"/>
        </w:rPr>
      </w:pPr>
    </w:p>
    <w:p>
      <w:pPr>
        <w:ind w:right="180" w:firstLine="518"/>
        <w:spacing w:after="0" w:line="254"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2" w:lineRule="exact"/>
        <w:rPr>
          <w:sz w:val="20"/>
          <w:szCs w:val="20"/>
          <w:color w:val="auto"/>
        </w:rPr>
      </w:pPr>
    </w:p>
    <w:p>
      <w:pPr>
        <w:ind w:right="100" w:firstLine="518"/>
        <w:spacing w:after="0" w:line="292" w:lineRule="auto"/>
        <w:rPr>
          <w:sz w:val="20"/>
          <w:szCs w:val="20"/>
          <w:color w:val="auto"/>
        </w:rPr>
      </w:pPr>
      <w:r>
        <w:rPr>
          <w:rFonts w:ascii="Arial" w:cs="Arial" w:eastAsia="Arial" w:hAnsi="Arial"/>
          <w:sz w:val="16"/>
          <w:szCs w:val="16"/>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63"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Further, we are evaluating international expansion opportunities for a potential launch in 2018. If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1" w:name="page52"/>
    <w:bookmarkEnd w:id="51"/>
    <w:p>
      <w:pPr>
        <w:ind w:right="30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9"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fail to comply with the FDA’s good manufacturing practice regulations, this could impair our ability to market our products in a cost-effective and timely manner.</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and our third-party suppliers are required to comply with the FDA’s Quality System Regulation, or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we or our suppliers have significant non-compliance issues or if any corrective action plan that we or our suppliers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225"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The FDA has the authority to require the recall of commercialized products in the event of material deficiencies or defects in design or manufacture or in the event that a product poses an unacceptable risk to health. The FDA has broad discretion to require the recall of a product or to require that manufacturers alert customers of safety risks, and may do so even in circumstances where we do not believe our product poses an unacceptable risk to health. In addition, manufacturers may, under their own initiative, recall a product if any material deficiency in a product is found or alert customers of unanticipated safety risks.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or notices relating to any products that we distribute would divert managerial and financial resources, and have an adverse effect on our reputation, financial condition and operating results.</w:t>
      </w:r>
    </w:p>
    <w:p>
      <w:pPr>
        <w:spacing w:after="0" w:line="19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Further, under the FDA’s Medical Device Reporting, or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right="240" w:firstLine="518"/>
        <w:spacing w:after="0" w:line="277" w:lineRule="auto"/>
        <w:rPr>
          <w:sz w:val="20"/>
          <w:szCs w:val="20"/>
          <w:color w:val="auto"/>
        </w:rPr>
      </w:pPr>
      <w:r>
        <w:rPr>
          <w:rFonts w:ascii="Arial" w:cs="Arial" w:eastAsia="Arial" w:hAnsi="Arial"/>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280" w:right="160" w:hanging="381"/>
        <w:spacing w:after="0" w:line="259" w:lineRule="auto"/>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6" w:lineRule="exact"/>
        <w:rPr>
          <w:rFonts w:ascii="Arial" w:cs="Arial" w:eastAsia="Arial" w:hAnsi="Arial"/>
          <w:sz w:val="18"/>
          <w:szCs w:val="18"/>
          <w:color w:val="auto"/>
        </w:rPr>
      </w:pPr>
    </w:p>
    <w:p>
      <w:pPr>
        <w:ind w:left="1280" w:right="120" w:hanging="381"/>
        <w:spacing w:after="0" w:line="277" w:lineRule="auto"/>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70" w:lineRule="exact"/>
        <w:rPr>
          <w:rFonts w:ascii="Arial" w:cs="Arial" w:eastAsia="Arial" w:hAnsi="Arial"/>
          <w:sz w:val="18"/>
          <w:szCs w:val="18"/>
          <w:color w:val="auto"/>
        </w:rPr>
      </w:pPr>
    </w:p>
    <w:p>
      <w:pPr>
        <w:ind w:left="1280" w:right="120" w:hanging="381"/>
        <w:spacing w:after="0" w:line="264" w:lineRule="auto"/>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physician referral laws, such as the federal “Stark Law,” that prohibit a physician from referring Medicare or Medicaid patients to an entity providing “designated health services,” including a company that furnishes durable medical equipment, with which the physician has a financial relationship;</w:t>
      </w:r>
    </w:p>
    <w:p>
      <w:pPr>
        <w:spacing w:after="0" w:line="181" w:lineRule="exact"/>
        <w:rPr>
          <w:rFonts w:ascii="Arial" w:cs="Arial" w:eastAsia="Arial" w:hAnsi="Arial"/>
          <w:sz w:val="18"/>
          <w:szCs w:val="18"/>
          <w:color w:val="auto"/>
        </w:rPr>
      </w:pPr>
    </w:p>
    <w:p>
      <w:pPr>
        <w:ind w:left="1280" w:right="120" w:hanging="381"/>
        <w:spacing w:after="0" w:line="277" w:lineRule="auto"/>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1280" w:right="520" w:hanging="381"/>
        <w:spacing w:after="0" w:line="342" w:lineRule="auto"/>
        <w:tabs>
          <w:tab w:leader="none" w:pos="1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23" w:lineRule="exact"/>
        <w:rPr>
          <w:rFonts w:ascii="Arial" w:cs="Arial" w:eastAsia="Arial" w:hAnsi="Arial"/>
          <w:sz w:val="16"/>
          <w:szCs w:val="16"/>
          <w:color w:val="auto"/>
        </w:rPr>
      </w:pPr>
    </w:p>
    <w:p>
      <w:pPr>
        <w:ind w:left="1280" w:hanging="381"/>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280" w:right="300" w:hanging="381"/>
        <w:spacing w:after="0" w:line="277" w:lineRule="auto"/>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 and</w:t>
      </w:r>
    </w:p>
    <w:p>
      <w:pPr>
        <w:spacing w:after="0" w:line="170" w:lineRule="exact"/>
        <w:rPr>
          <w:rFonts w:ascii="Arial" w:cs="Arial" w:eastAsia="Arial" w:hAnsi="Arial"/>
          <w:sz w:val="18"/>
          <w:szCs w:val="18"/>
          <w:color w:val="auto"/>
        </w:rPr>
      </w:pPr>
    </w:p>
    <w:p>
      <w:pPr>
        <w:ind w:left="1280" w:hanging="381"/>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protected health information, such as HIPAA and HITECH.</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An individual or entity can now be found guilty under the PPACA without actual knowledge of the statute or specific intent to violate it. In addition, the PPACA provides that claims submitted in violation of the Anti-Kickback Statute automatically constitute false claims for purposes of the False Claims Act. Possible sanctions for violation of these laws include monetary fines, civil and criminal penalties, exclusion from Medicare, Medicaid and other federal healthcare programs, and forfeiture of amounts collected in violation of those prohibitions. Any violation of these laws, or any action against us for violation of these laws, even if we successfully defend against it, could result in a material adverse effect on our reputation, business, financial condition and operating results.</w:t>
      </w:r>
    </w:p>
    <w:p>
      <w:pPr>
        <w:spacing w:after="0" w:line="16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or DOJ, has recently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93"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6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89"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The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recently been proposed that could modify or repeal the PPACA. The uncertainties regarding the future of the PPACA, and other healthcare reform initiatives, may have an adverse effect on our customers’ purchasing decisions regarding our products.</w:t>
      </w:r>
    </w:p>
    <w:p>
      <w:pPr>
        <w:spacing w:after="0" w:line="154"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firstLine="577"/>
        <w:spacing w:after="0" w:line="271" w:lineRule="auto"/>
        <w:rPr>
          <w:sz w:val="20"/>
          <w:szCs w:val="20"/>
          <w:color w:val="auto"/>
        </w:rPr>
      </w:pPr>
      <w:r>
        <w:rPr>
          <w:rFonts w:ascii="Arial" w:cs="Arial" w:eastAsia="Arial" w:hAnsi="Arial"/>
          <w:sz w:val="17"/>
          <w:szCs w:val="17"/>
          <w:color w:val="auto"/>
        </w:rPr>
        <w:t>The PPACA imposes, among other things, an excise tax of 2.3% on any entity that manufactures or imports medical devices offered for sale in the United States, although this tax has been suspended for calendar years 2016, 2017, 2018 and 2019. It is unclear at this time if the moratorium will be further extended. We do not believe that our products are subject to this tax based on the retail exemption under applicable Treasury Regulations. However, the availability of this exemption is subject to interpretation by the IRS, and the IRS may disagree with our analysis. Absent further legislative action, the medical device excise tax applies to sales of taxable medical devices beginning on January 1, 2020, and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 Additionally, Congress could terminate the moratorium or further change the law related to the medical device tax in a manner that could adversely affect us.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229" w:lineRule="exact"/>
        <w:rPr>
          <w:sz w:val="20"/>
          <w:szCs w:val="20"/>
          <w:color w:val="auto"/>
        </w:rPr>
      </w:pPr>
    </w:p>
    <w:p>
      <w:pPr>
        <w:jc w:val="both"/>
        <w:ind w:right="40"/>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01"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340" w:hanging="387"/>
        <w:spacing w:after="0" w:line="277"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340" w:right="420" w:hanging="387"/>
        <w:spacing w:after="0" w:line="277"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for the removal of a director only with cause and then by the affirmative vote of the holders of a majority of the outstanding shares;</w:t>
      </w:r>
    </w:p>
    <w:p>
      <w:pPr>
        <w:spacing w:after="0" w:line="248" w:lineRule="exact"/>
        <w:rPr>
          <w:rFonts w:ascii="Arial" w:cs="Arial" w:eastAsia="Arial" w:hAnsi="Arial"/>
          <w:sz w:val="16"/>
          <w:szCs w:val="16"/>
          <w:color w:val="auto"/>
        </w:rPr>
      </w:pPr>
    </w:p>
    <w:p>
      <w:pPr>
        <w:ind w:left="1340" w:hanging="38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require the vote of at least two-thirds of the outstanding shares to approve amendments to the certificate of incorporation or bylaws; and</w:t>
      </w:r>
    </w:p>
    <w:p>
      <w:pPr>
        <w:spacing w:after="0" w:line="248" w:lineRule="exact"/>
        <w:rPr>
          <w:rFonts w:ascii="Arial" w:cs="Arial" w:eastAsia="Arial" w:hAnsi="Arial"/>
          <w:sz w:val="16"/>
          <w:szCs w:val="16"/>
          <w:color w:val="auto"/>
        </w:rPr>
      </w:pPr>
    </w:p>
    <w:p>
      <w:pPr>
        <w:ind w:left="1340" w:hanging="387"/>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23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U.S. federal income tax reform could adversely affect us and our stockholders.</w:t>
      </w:r>
    </w:p>
    <w:p>
      <w:pPr>
        <w:spacing w:after="0" w:line="225"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On December 22, 2017, President Trump signed into law the Tax Cuts and Jobs Act, or the TCJA, which significantly reforms the Internal Revenue Code of 1986, as amended, or the Code. The TCJA, among other things, includes changes to U.S. federal tax rates, imposes significant additional limitations on the deductibility of interest, allows for the expensing of capital expenditures, and puts into effect the migration from a “worldwide” system of taxation to a territorial system. We do not expect tax reform to have a material impact on our projection of minimal cash taxes. Our net deferred tax assets and liabilities were revalued at the newly-enacted U.S. corporate rate, and the impact was recognized in our tax expense, offset by a full valuation allowance, in the year of enactment. We continue to examine the impact that this tax reform legislation may have on our business. The impact of this tax reform on holders of our common stock is uncertain and could be adverse.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As of December 31, 2017, we had federal net operating loss, or NOL, carryforwards of approximately $335.3 million, not considering the limitation discussed below. The federal tax loss carryforwards begin to expire in 2026, unless previously utilized. In general, if there is an “ownership change” with respect to our company, as defined under Section 382 of the Internal Revenue Code of 1986, as amended, or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7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Although we have not completed an update of our Section 382 analysis subsequent to December 31, 2017, the recent offerings of our securities, may have caused or could cause an ownership change or could increase the likelihood that we undergo an ownership change for purposes of Section 382 of the Code in the future. Limitations imposed on our ability to utilize NOL carryforwards could cause U.S. federal income taxes to be paid earlier than would be paid if such limitations were not in effect and could cause such NOL carryforwards to expire unused, in each case reducing or eliminating the benefit of such NOL carryforwards.</w:t>
      </w:r>
    </w:p>
    <w:p>
      <w:pPr>
        <w:spacing w:after="0" w:line="18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With respect to our NOLs generated in 2018 and thereafter, the TCJA may reduce the tax benefit of our NOLs. Under the TCJA, our ability to carry back NOLs incurred after December 31, 2017 to previous tax years is eliminated. Under prior law, we could carry back NOLs for two years and carry forward NOLs for 20 years. Under the TCJA, NOL carryforwards may be carried forward indefinitely. However, for NOLs arising after December 31, 2017, NOL carryforwards will be limited to 80% of our taxable income. Our NOLs generated in 2017 and in prior years will not be subject to the limitations under the TCJA.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In addition, pursuant to our Term Loan Agreement with Capital Royalty Partners, we are precluded from paying any cash dividends. Accordingly, investors may have to sell some or all of their shares of our common stock in order to generate cash flow from their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have increased our costs and will continue to strain our resources and divert management’s attention.</w:t>
      </w:r>
    </w:p>
    <w:p>
      <w:pPr>
        <w:spacing w:after="0" w:line="24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Dodd-Frank Wall Street Reform and Consumer Protection Act, or the Dodd-Frank Act, the listing requirements of NASDAQ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The Sarbanes-Oxley Act of 2002, or the Sarbanes-Oxley Act, requires, among other things, that we maintain effective disclosure controls and procedures and internal control over financial reporting. Recent legislation permits “emerging growth companies” to implement many of these requirements over a period of up to five years after becoming subject to the requirements. We intend to take advantage of this new legislation but cannot guarantee that we will not be required to implement these requirements sooner than budgeted or planned and thereby incur unexpected expenses.</w:t>
      </w:r>
    </w:p>
    <w:p>
      <w:pPr>
        <w:spacing w:after="0" w:line="154"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which could increase our expenses.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right="5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do not know whether the reduced disclosure requirements and relief from certain other significant obligations that are applicable to emerging growth companies will make our common stock less attractive to investors.</w:t>
      </w:r>
    </w:p>
    <w:p>
      <w:pPr>
        <w:spacing w:after="0" w:line="124" w:lineRule="exact"/>
        <w:rPr>
          <w:sz w:val="20"/>
          <w:szCs w:val="20"/>
          <w:color w:val="auto"/>
        </w:rPr>
      </w:pPr>
    </w:p>
    <w:p>
      <w:pPr>
        <w:ind w:right="200" w:firstLine="571"/>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have taken advantage of, and intend to continue to take advantage of certain exemptions from various reporting and compliance requirements that apply to other public companies that are not “emerging growth companies.” These exemptions include the following:</w:t>
      </w:r>
    </w:p>
    <w:p>
      <w:pPr>
        <w:spacing w:after="0" w:line="181" w:lineRule="exact"/>
        <w:rPr>
          <w:sz w:val="20"/>
          <w:szCs w:val="20"/>
          <w:color w:val="auto"/>
        </w:rPr>
      </w:pPr>
    </w:p>
    <w:p>
      <w:pPr>
        <w:ind w:left="1340" w:hanging="387"/>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404(b) of the Sarbanes-Oxley Act;</w:t>
      </w:r>
    </w:p>
    <w:p>
      <w:pPr>
        <w:spacing w:after="0" w:line="225" w:lineRule="exact"/>
        <w:rPr>
          <w:rFonts w:ascii="Arial" w:cs="Arial" w:eastAsia="Arial" w:hAnsi="Arial"/>
          <w:sz w:val="18"/>
          <w:szCs w:val="18"/>
          <w:color w:val="auto"/>
        </w:rPr>
      </w:pPr>
    </w:p>
    <w:p>
      <w:pPr>
        <w:ind w:left="1340" w:right="820" w:hanging="387"/>
        <w:spacing w:after="0" w:line="277"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less extensive disclosure obligations regarding executive compensation in our registration statements, periodic reports and proxy statements; and</w:t>
      </w:r>
    </w:p>
    <w:p>
      <w:pPr>
        <w:spacing w:after="0" w:line="170" w:lineRule="exact"/>
        <w:rPr>
          <w:rFonts w:ascii="Arial" w:cs="Arial" w:eastAsia="Arial" w:hAnsi="Arial"/>
          <w:sz w:val="18"/>
          <w:szCs w:val="18"/>
          <w:color w:val="auto"/>
        </w:rPr>
      </w:pPr>
    </w:p>
    <w:p>
      <w:pPr>
        <w:ind w:left="1340" w:right="160" w:hanging="387"/>
        <w:spacing w:after="0" w:line="277"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exemptions from the requirements to hold a nonbinding advisory vote on executive compensation and stockholder approval of any golden parachute payments not previously approved.</w:t>
      </w:r>
    </w:p>
    <w:p>
      <w:pPr>
        <w:spacing w:after="0" w:line="170"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intend to continue to take advantage of these exemptions but cannot guarantee that we will not be required to implement these requirements sooner than budgeted or planned and thereby incur unexpected expenses. We cannot predict if investors will find our common stock less attractive because of our reliance on these exemptions. If some investors find our common stock less attractive as a result, there may be a less active trading market for our common stock, which could result in a reduction in the price of our common stock or cause our stock price to be more volatile.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as a result of the reduced disclosure and governance requirements applicable to smaller reporting companies, our common stock may be less attractive to investors.</w:t>
      </w:r>
    </w:p>
    <w:p>
      <w:pPr>
        <w:spacing w:after="0" w:line="170"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are a “smaller reporting company” under applicable SEC rules and regulations. Similar to an “emerging growth company”, a “smaller reporting company” is subject to scaled reporting and compliance obligations as compared to other public companies. Specifically, “smaller reporting companies” are able to provide simplified executive compensation disclosures in their filings, are exempt from the auditor attestation requirements of Section 404(b) of the Sarbanes-Oxley Act, and have certain other reduced disclosure obligations in their SEC filings. Reduced disclosures in our SEC filings due to our status as a “smaller reporting company” may make it harder for investors to analyze our financial condition, operating results and prospects. If investors find our common stock less attractive as a result of our reduced disclosures, there may be a less active trading market for our common stock and our stock price may decline or be more volatile.</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100" w:firstLine="571"/>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conducted in connection with Section 404(b) of the Sarbanes-Oxley Act after we no longer qualify as an “emerging growth company” or a “smaller reporting company,”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9"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However, for as long as we are an “emerging growth company” or a “smaller reporting company” under applicable SEC rules and regulations, our independent registered public accounting firm will not be required to attest to the effectiveness of our internal control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w:t>
      </w:r>
    </w:p>
    <w:p>
      <w:pPr>
        <w:spacing w:after="0" w:line="225" w:lineRule="exact"/>
        <w:rPr>
          <w:sz w:val="20"/>
          <w:szCs w:val="20"/>
          <w:color w:val="auto"/>
        </w:rPr>
      </w:pPr>
    </w:p>
    <w:p>
      <w:pPr>
        <w:ind w:right="20" w:firstLine="571"/>
        <w:spacing w:after="0" w:line="277" w:lineRule="auto"/>
        <w:rPr>
          <w:sz w:val="20"/>
          <w:szCs w:val="20"/>
          <w:color w:val="auto"/>
        </w:rPr>
      </w:pPr>
      <w:r>
        <w:rPr>
          <w:rFonts w:ascii="Arial" w:cs="Arial" w:eastAsia="Arial" w:hAnsi="Arial"/>
          <w:sz w:val="18"/>
          <w:szCs w:val="18"/>
          <w:color w:val="auto"/>
        </w:rPr>
        <w:t>Our common stock is listed for trading on NASDAQ under the symbol “TNDM.” Our stock price could be subject to wide fluctuations in response to a variety of factors, including the following:</w:t>
      </w:r>
    </w:p>
    <w:p>
      <w:pPr>
        <w:spacing w:after="0" w:line="170" w:lineRule="exact"/>
        <w:rPr>
          <w:sz w:val="20"/>
          <w:szCs w:val="20"/>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225" w:lineRule="exact"/>
        <w:rPr>
          <w:rFonts w:ascii="Arial" w:cs="Arial" w:eastAsia="Arial" w:hAnsi="Arial"/>
          <w:sz w:val="18"/>
          <w:szCs w:val="18"/>
          <w:color w:val="auto"/>
        </w:rPr>
      </w:pPr>
    </w:p>
    <w:p>
      <w:pPr>
        <w:ind w:left="1340" w:right="80" w:hanging="387"/>
        <w:spacing w:after="0" w:line="277"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 and perceptions about the dilutive impact of our recent financing transactions;</w:t>
      </w:r>
    </w:p>
    <w:p>
      <w:pPr>
        <w:spacing w:after="0" w:line="170" w:lineRule="exact"/>
        <w:rPr>
          <w:rFonts w:ascii="Arial" w:cs="Arial" w:eastAsia="Arial" w:hAnsi="Arial"/>
          <w:sz w:val="18"/>
          <w:szCs w:val="18"/>
          <w:color w:val="auto"/>
        </w:rPr>
      </w:pPr>
    </w:p>
    <w:p>
      <w:pPr>
        <w:ind w:left="1340" w:right="220" w:hanging="387"/>
        <w:spacing w:after="0" w:line="277"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perceptions about our financial stability generally, and relative to our competitors, and our ability to sustain our business operations long term;</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perceptions about the market acceptance of our products and the recognition of our brand;</w:t>
      </w:r>
    </w:p>
    <w:p>
      <w:pPr>
        <w:spacing w:after="0" w:line="225" w:lineRule="exact"/>
        <w:rPr>
          <w:rFonts w:ascii="Arial" w:cs="Arial" w:eastAsia="Arial" w:hAnsi="Arial"/>
          <w:sz w:val="18"/>
          <w:szCs w:val="18"/>
          <w:color w:val="auto"/>
        </w:rPr>
      </w:pPr>
    </w:p>
    <w:p>
      <w:pPr>
        <w:ind w:left="1340" w:right="420" w:hanging="387"/>
        <w:spacing w:after="0" w:line="277"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introduction of proposed products or technologies, or announcements of significant contracts, acquisitions or divestitures by us or our competitors;</w:t>
      </w:r>
    </w:p>
    <w:p>
      <w:pPr>
        <w:spacing w:after="0" w:line="170" w:lineRule="exact"/>
        <w:rPr>
          <w:rFonts w:ascii="Arial" w:cs="Arial" w:eastAsia="Arial" w:hAnsi="Arial"/>
          <w:sz w:val="18"/>
          <w:szCs w:val="18"/>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 of shares of our common stock by us or members of our management; and</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firstLine="571"/>
        <w:spacing w:after="0" w:line="276" w:lineRule="auto"/>
        <w:rPr>
          <w:sz w:val="20"/>
          <w:szCs w:val="20"/>
          <w:color w:val="auto"/>
        </w:rPr>
      </w:pPr>
      <w:r>
        <w:rPr>
          <w:rFonts w:ascii="Arial" w:cs="Arial" w:eastAsia="Arial" w:hAnsi="Arial"/>
          <w:sz w:val="17"/>
          <w:szCs w:val="17"/>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73" w:lineRule="exact"/>
        <w:rPr>
          <w:sz w:val="20"/>
          <w:szCs w:val="20"/>
          <w:color w:val="auto"/>
        </w:rPr>
      </w:pPr>
    </w:p>
    <w:p>
      <w:pPr>
        <w:ind w:right="80" w:firstLine="571"/>
        <w:spacing w:after="0" w:line="264"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unable to comply with certain continued listing requirements of NASDAQ, our common stock would be delisted from NASDAQ, which could adversely affect the market price of our common stock.</w:t>
      </w:r>
    </w:p>
    <w:p>
      <w:pPr>
        <w:spacing w:after="0" w:line="170"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common stock is currently listed on NASDAQ. In order to maintain this listing, we must satisfy minimum continued listing requirements and standards, including a minimum closing bid price requirement for our common stock. We have previously received a notice from NASDAQ indicating that we had failed to meet the minimum closing bid price requirement of $1.00 per share for 30 consecutive business days, which subjected our common stock to potential delisting. While we regained compliance under the NASDAQ minimum continued listing requirements, due to the recent volatility of our stock price we cannot assure you that we will continue to satisfy the NASDAQ continued listing requirements. If we cannot satisfy the continued listing standards going forward, NASDAQ may commence delisting procedures against us, which could result in our common stock being removed from listing on NASDAQ. If our common stock were to be delisted, the liquidity of our common stock could be adversely affected and the market price of our common stock could decrease.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are at risk of securities class action litigation.</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the past, securities class action litigation has been brought against companies following a decline in the market price of their securities. This risk is particularly relevant to medical device companies, which have experienced significant stock price volatility in recent years. If we face such litigation, it could result in substantial costs and a diversion of management’s attention and resources, which could harm our business, financial condition and results of operations.</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Exhibit Number</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3.2</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3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32.2*</w:t>
      </w:r>
    </w:p>
    <w:p>
      <w:pPr>
        <w:spacing w:after="0" w:line="34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101.INS</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101.SCH</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101.CAL</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101.DEF</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101.LAB</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Description</w:t>
      </w:r>
    </w:p>
    <w:p>
      <w:pPr>
        <w:spacing w:after="0" w:line="135" w:lineRule="exact"/>
        <w:rPr>
          <w:sz w:val="20"/>
          <w:szCs w:val="20"/>
          <w:color w:val="auto"/>
        </w:rPr>
      </w:pPr>
    </w:p>
    <w:p>
      <w:pPr>
        <w:ind w:right="180"/>
        <w:spacing w:after="0" w:line="258" w:lineRule="auto"/>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Amended and Restated Certificate of Incorporation as</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currently in effect.</w:t>
        </w:r>
      </w:hyperlink>
    </w:p>
    <w:p>
      <w:pPr>
        <w:spacing w:after="0" w:line="1" w:lineRule="exact"/>
        <w:rPr>
          <w:sz w:val="20"/>
          <w:szCs w:val="20"/>
          <w:color w:val="auto"/>
        </w:rPr>
      </w:pPr>
    </w:p>
    <w:p>
      <w:pPr>
        <w:ind w:right="100"/>
        <w:spacing w:after="0" w:line="258" w:lineRule="auto"/>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Amended and Restated Bylaws as currently in effect.</w:t>
        </w:r>
      </w:hyperlink>
      <w:r>
        <w:rPr>
          <w:rFonts w:ascii="Arial" w:cs="Arial" w:eastAsia="Arial" w:hAnsi="Arial"/>
          <w:sz w:val="18"/>
          <w:szCs w:val="18"/>
          <w:u w:val="single" w:color="auto"/>
          <w:color w:val="0000EE"/>
        </w:rPr>
        <w:t xml:space="preserve"> </w:t>
      </w:r>
      <w:hyperlink w:anchor="page62">
        <w:r>
          <w:rPr>
            <w:rFonts w:ascii="Arial" w:cs="Arial" w:eastAsia="Arial" w:hAnsi="Arial"/>
            <w:sz w:val="18"/>
            <w:szCs w:val="18"/>
            <w:u w:val="single" w:color="auto"/>
            <w:color w:val="0000EE"/>
          </w:rPr>
          <w:t>Certification of Kim D. Blickenstaff, Chief Executive</w:t>
        </w:r>
      </w:hyperlink>
      <w:r>
        <w:rPr>
          <w:rFonts w:ascii="Arial" w:cs="Arial" w:eastAsia="Arial" w:hAnsi="Arial"/>
          <w:sz w:val="18"/>
          <w:szCs w:val="18"/>
          <w:u w:val="single" w:color="auto"/>
          <w:color w:val="0000EE"/>
        </w:rPr>
        <w:t xml:space="preserve"> </w:t>
      </w:r>
      <w:hyperlink w:anchor="page62">
        <w:r>
          <w:rPr>
            <w:rFonts w:ascii="Arial" w:cs="Arial" w:eastAsia="Arial" w:hAnsi="Arial"/>
            <w:sz w:val="18"/>
            <w:szCs w:val="18"/>
            <w:u w:val="single" w:color="auto"/>
            <w:color w:val="0000EE"/>
          </w:rPr>
          <w:t>Officer, pursuant to Section 302 of the Sarbanes-Oxley</w:t>
        </w:r>
      </w:hyperlink>
      <w:r>
        <w:rPr>
          <w:rFonts w:ascii="Arial" w:cs="Arial" w:eastAsia="Arial" w:hAnsi="Arial"/>
          <w:sz w:val="18"/>
          <w:szCs w:val="18"/>
          <w:u w:val="single" w:color="auto"/>
          <w:color w:val="0000EE"/>
        </w:rPr>
        <w:t xml:space="preserve"> </w:t>
      </w:r>
      <w:hyperlink w:anchor="page62">
        <w:r>
          <w:rPr>
            <w:rFonts w:ascii="Arial" w:cs="Arial" w:eastAsia="Arial" w:hAnsi="Arial"/>
            <w:sz w:val="18"/>
            <w:szCs w:val="18"/>
            <w:u w:val="single" w:color="auto"/>
            <w:color w:val="0000EE"/>
          </w:rPr>
          <w:t>Act of 2002.</w:t>
        </w:r>
      </w:hyperlink>
    </w:p>
    <w:p>
      <w:pPr>
        <w:spacing w:after="0" w:line="1" w:lineRule="exact"/>
        <w:rPr>
          <w:rFonts w:ascii="Arial" w:cs="Arial" w:eastAsia="Arial" w:hAnsi="Arial"/>
          <w:sz w:val="18"/>
          <w:szCs w:val="18"/>
          <w:u w:val="single" w:color="auto"/>
          <w:color w:val="0000EE"/>
        </w:rPr>
      </w:pPr>
    </w:p>
    <w:p>
      <w:pPr>
        <w:ind w:right="100"/>
        <w:spacing w:after="0" w:line="255" w:lineRule="auto"/>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Certification of Leigh A. Vosseller, Chief Financial</w:t>
        </w:r>
      </w:hyperlink>
      <w:r>
        <w:rPr>
          <w:rFonts w:ascii="Arial" w:cs="Arial" w:eastAsia="Arial" w:hAnsi="Arial"/>
          <w:sz w:val="18"/>
          <w:szCs w:val="18"/>
          <w:u w:val="single" w:color="auto"/>
          <w:color w:val="0000EE"/>
        </w:rPr>
        <w:t xml:space="preserve"> </w:t>
      </w:r>
      <w:hyperlink w:anchor="page63">
        <w:r>
          <w:rPr>
            <w:rFonts w:ascii="Arial" w:cs="Arial" w:eastAsia="Arial" w:hAnsi="Arial"/>
            <w:sz w:val="18"/>
            <w:szCs w:val="18"/>
            <w:u w:val="single" w:color="auto"/>
            <w:color w:val="0000EE"/>
          </w:rPr>
          <w:t>Officer, pursuant to Section 302 of the Sarbanes-Oxley</w:t>
        </w:r>
      </w:hyperlink>
      <w:r>
        <w:rPr>
          <w:rFonts w:ascii="Arial" w:cs="Arial" w:eastAsia="Arial" w:hAnsi="Arial"/>
          <w:sz w:val="18"/>
          <w:szCs w:val="18"/>
          <w:u w:val="single" w:color="auto"/>
          <w:color w:val="0000EE"/>
        </w:rPr>
        <w:t xml:space="preserve"> </w:t>
      </w:r>
      <w:hyperlink w:anchor="page63">
        <w:r>
          <w:rPr>
            <w:rFonts w:ascii="Arial" w:cs="Arial" w:eastAsia="Arial" w:hAnsi="Arial"/>
            <w:sz w:val="18"/>
            <w:szCs w:val="18"/>
            <w:u w:val="single" w:color="auto"/>
            <w:color w:val="0000EE"/>
          </w:rPr>
          <w:t>Act of 2002.</w:t>
        </w:r>
      </w:hyperlink>
    </w:p>
    <w:p>
      <w:pPr>
        <w:spacing w:after="0" w:line="2" w:lineRule="exact"/>
        <w:rPr>
          <w:rFonts w:ascii="Arial" w:cs="Arial" w:eastAsia="Arial" w:hAnsi="Arial"/>
          <w:sz w:val="18"/>
          <w:szCs w:val="18"/>
          <w:u w:val="single" w:color="auto"/>
          <w:color w:val="0000EE"/>
        </w:rPr>
      </w:pPr>
    </w:p>
    <w:p>
      <w:pPr>
        <w:jc w:val="both"/>
        <w:ind w:right="200"/>
        <w:spacing w:after="0" w:line="254" w:lineRule="auto"/>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Certification of Kim D. Blickenstaff, Chief Executive</w:t>
        </w:r>
      </w:hyperlink>
      <w:r>
        <w:rPr>
          <w:rFonts w:ascii="Arial" w:cs="Arial" w:eastAsia="Arial" w:hAnsi="Arial"/>
          <w:sz w:val="18"/>
          <w:szCs w:val="18"/>
          <w:u w:val="single" w:color="auto"/>
          <w:color w:val="0000EE"/>
        </w:rPr>
        <w:t xml:space="preserve"> </w:t>
      </w:r>
      <w:hyperlink w:anchor="page64">
        <w:r>
          <w:rPr>
            <w:rFonts w:ascii="Arial" w:cs="Arial" w:eastAsia="Arial" w:hAnsi="Arial"/>
            <w:sz w:val="18"/>
            <w:szCs w:val="18"/>
            <w:u w:val="single" w:color="auto"/>
            <w:color w:val="0000EE"/>
          </w:rPr>
          <w:t>Officer, pursuant to U.S.C. Section 1350, as adopted</w:t>
        </w:r>
      </w:hyperlink>
      <w:r>
        <w:rPr>
          <w:rFonts w:ascii="Arial" w:cs="Arial" w:eastAsia="Arial" w:hAnsi="Arial"/>
          <w:sz w:val="18"/>
          <w:szCs w:val="18"/>
          <w:u w:val="single" w:color="auto"/>
          <w:color w:val="0000EE"/>
        </w:rPr>
        <w:t xml:space="preserve"> </w:t>
      </w:r>
      <w:hyperlink w:anchor="page64">
        <w:r>
          <w:rPr>
            <w:rFonts w:ascii="Arial" w:cs="Arial" w:eastAsia="Arial" w:hAnsi="Arial"/>
            <w:sz w:val="18"/>
            <w:szCs w:val="18"/>
            <w:u w:val="single" w:color="auto"/>
            <w:color w:val="0000EE"/>
          </w:rPr>
          <w:t>pursuant to Section 906 of the Sarbanes-Oxley Act of</w:t>
        </w:r>
      </w:hyperlink>
      <w:r>
        <w:rPr>
          <w:rFonts w:ascii="Arial" w:cs="Arial" w:eastAsia="Arial" w:hAnsi="Arial"/>
          <w:sz w:val="18"/>
          <w:szCs w:val="18"/>
          <w:u w:val="single" w:color="auto"/>
          <w:color w:val="0000EE"/>
        </w:rPr>
        <w:t xml:space="preserve"> </w:t>
      </w:r>
      <w:hyperlink w:anchor="page64">
        <w:r>
          <w:rPr>
            <w:rFonts w:ascii="Arial" w:cs="Arial" w:eastAsia="Arial" w:hAnsi="Arial"/>
            <w:sz w:val="18"/>
            <w:szCs w:val="18"/>
            <w:u w:val="single" w:color="auto"/>
            <w:color w:val="0000EE"/>
          </w:rPr>
          <w:t>2002.</w:t>
        </w:r>
      </w:hyperlink>
    </w:p>
    <w:p>
      <w:pPr>
        <w:spacing w:after="0" w:line="2" w:lineRule="exact"/>
        <w:rPr>
          <w:rFonts w:ascii="Arial" w:cs="Arial" w:eastAsia="Arial" w:hAnsi="Arial"/>
          <w:sz w:val="18"/>
          <w:szCs w:val="18"/>
          <w:u w:val="single" w:color="auto"/>
          <w:color w:val="0000EE"/>
        </w:rPr>
      </w:pPr>
    </w:p>
    <w:p>
      <w:pPr>
        <w:jc w:val="both"/>
        <w:ind w:right="200"/>
        <w:spacing w:after="0" w:line="254" w:lineRule="auto"/>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Certification of Leigh A. Vosseller, Chief Financial</w:t>
        </w:r>
      </w:hyperlink>
      <w:r>
        <w:rPr>
          <w:rFonts w:ascii="Arial" w:cs="Arial" w:eastAsia="Arial" w:hAnsi="Arial"/>
          <w:sz w:val="18"/>
          <w:szCs w:val="18"/>
          <w:u w:val="single" w:color="auto"/>
          <w:color w:val="0000EE"/>
        </w:rPr>
        <w:t xml:space="preserve"> </w:t>
      </w:r>
      <w:hyperlink w:anchor="page65">
        <w:r>
          <w:rPr>
            <w:rFonts w:ascii="Arial" w:cs="Arial" w:eastAsia="Arial" w:hAnsi="Arial"/>
            <w:sz w:val="18"/>
            <w:szCs w:val="18"/>
            <w:u w:val="single" w:color="auto"/>
            <w:color w:val="0000EE"/>
          </w:rPr>
          <w:t>Officer, pursuant to U.S.C. Section 1350, as adopted</w:t>
        </w:r>
      </w:hyperlink>
      <w:r>
        <w:rPr>
          <w:rFonts w:ascii="Arial" w:cs="Arial" w:eastAsia="Arial" w:hAnsi="Arial"/>
          <w:sz w:val="18"/>
          <w:szCs w:val="18"/>
          <w:u w:val="single" w:color="auto"/>
          <w:color w:val="0000EE"/>
        </w:rPr>
        <w:t xml:space="preserve"> </w:t>
      </w:r>
      <w:hyperlink w:anchor="page65">
        <w:r>
          <w:rPr>
            <w:rFonts w:ascii="Arial" w:cs="Arial" w:eastAsia="Arial" w:hAnsi="Arial"/>
            <w:sz w:val="18"/>
            <w:szCs w:val="18"/>
            <w:u w:val="single" w:color="auto"/>
            <w:color w:val="0000EE"/>
          </w:rPr>
          <w:t>pursuant to Section 906 of the Sarbanes-Oxley Act of</w:t>
        </w:r>
      </w:hyperlink>
      <w:r>
        <w:rPr>
          <w:rFonts w:ascii="Arial" w:cs="Arial" w:eastAsia="Arial" w:hAnsi="Arial"/>
          <w:sz w:val="18"/>
          <w:szCs w:val="18"/>
          <w:u w:val="single" w:color="auto"/>
          <w:color w:val="0000EE"/>
        </w:rPr>
        <w:t xml:space="preserve"> </w:t>
      </w:r>
      <w:hyperlink w:anchor="page65">
        <w:r>
          <w:rPr>
            <w:rFonts w:ascii="Arial" w:cs="Arial" w:eastAsia="Arial" w:hAnsi="Arial"/>
            <w:sz w:val="18"/>
            <w:szCs w:val="18"/>
            <w:u w:val="single" w:color="auto"/>
            <w:color w:val="0000EE"/>
          </w:rPr>
          <w:t>2002.</w:t>
        </w:r>
      </w:hyperlink>
    </w:p>
    <w:p>
      <w:pPr>
        <w:spacing w:after="0" w:line="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XBRL Instance Document.</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Document.</w:t>
      </w:r>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XBRL Taxonomy Extension Definition Linkbase</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Document.</w:t>
      </w:r>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4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Document.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26"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9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Arial" w:cs="Arial" w:eastAsia="Arial" w:hAnsi="Arial"/>
                <w:sz w:val="18"/>
                <w:szCs w:val="18"/>
                <w:b w:val="1"/>
                <w:bCs w:val="1"/>
                <w:color w:val="auto"/>
              </w:rPr>
              <w:t>Provided</w:t>
            </w:r>
          </w:p>
        </w:tc>
        <w:tc>
          <w:tcPr>
            <w:tcW w:w="0" w:type="dxa"/>
            <w:vAlign w:val="bottom"/>
          </w:tcPr>
          <w:p>
            <w:pPr>
              <w:spacing w:after="0"/>
              <w:rPr>
                <w:sz w:val="1"/>
                <w:szCs w:val="1"/>
                <w:color w:val="auto"/>
              </w:rPr>
            </w:pPr>
          </w:p>
        </w:tc>
      </w:tr>
      <w:tr>
        <w:trPr>
          <w:trHeight w:val="126"/>
        </w:trPr>
        <w:tc>
          <w:tcPr>
            <w:tcW w:w="820" w:type="dxa"/>
            <w:vAlign w:val="bottom"/>
          </w:tcPr>
          <w:p>
            <w:pPr>
              <w:spacing w:after="0"/>
              <w:rPr>
                <w:sz w:val="10"/>
                <w:szCs w:val="10"/>
                <w:color w:val="auto"/>
              </w:rPr>
            </w:pPr>
          </w:p>
        </w:tc>
        <w:tc>
          <w:tcPr>
            <w:tcW w:w="29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108"/>
        </w:trPr>
        <w:tc>
          <w:tcPr>
            <w:tcW w:w="8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4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Date of First</w:t>
            </w:r>
          </w:p>
        </w:tc>
        <w:tc>
          <w:tcPr>
            <w:tcW w:w="102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20" w:type="dxa"/>
            <w:vAlign w:val="bottom"/>
          </w:tcPr>
          <w:p>
            <w:pPr>
              <w:ind w:left="340"/>
              <w:spacing w:after="0"/>
              <w:rPr>
                <w:sz w:val="20"/>
                <w:szCs w:val="20"/>
                <w:color w:val="auto"/>
              </w:rPr>
            </w:pPr>
            <w:r>
              <w:rPr>
                <w:rFonts w:ascii="Arial" w:cs="Arial" w:eastAsia="Arial" w:hAnsi="Arial"/>
                <w:sz w:val="18"/>
                <w:szCs w:val="18"/>
                <w:b w:val="1"/>
                <w:bCs w:val="1"/>
                <w:color w:val="auto"/>
              </w:rPr>
              <w:t>Form</w:t>
            </w:r>
          </w:p>
        </w:tc>
        <w:tc>
          <w:tcPr>
            <w:tcW w:w="162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File No.</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2420" w:type="dxa"/>
            <w:vAlign w:val="bottom"/>
            <w:gridSpan w:val="2"/>
          </w:tcPr>
          <w:p>
            <w:pPr>
              <w:jc w:val="center"/>
              <w:ind w:right="133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338"/>
        </w:trPr>
        <w:tc>
          <w:tcPr>
            <w:tcW w:w="820" w:type="dxa"/>
            <w:vAlign w:val="bottom"/>
          </w:tcPr>
          <w:p>
            <w:pPr>
              <w:ind w:left="340"/>
              <w:spacing w:after="0"/>
              <w:rPr>
                <w:sz w:val="20"/>
                <w:szCs w:val="20"/>
                <w:color w:val="auto"/>
              </w:rPr>
            </w:pPr>
            <w:r>
              <w:rPr>
                <w:rFonts w:ascii="Arial" w:cs="Arial" w:eastAsia="Arial" w:hAnsi="Arial"/>
                <w:sz w:val="18"/>
                <w:szCs w:val="18"/>
                <w:color w:val="auto"/>
              </w:rPr>
              <w:t>S-1/A</w:t>
            </w:r>
          </w:p>
        </w:tc>
        <w:tc>
          <w:tcPr>
            <w:tcW w:w="1620" w:type="dxa"/>
            <w:vAlign w:val="bottom"/>
          </w:tcPr>
          <w:p>
            <w:pPr>
              <w:jc w:val="center"/>
              <w:ind w:left="250"/>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340"/>
              <w:spacing w:after="0"/>
              <w:rPr>
                <w:sz w:val="20"/>
                <w:szCs w:val="20"/>
                <w:color w:val="auto"/>
              </w:rPr>
            </w:pPr>
            <w:r>
              <w:rPr>
                <w:rFonts w:ascii="Arial" w:cs="Arial" w:eastAsia="Arial" w:hAnsi="Arial"/>
                <w:sz w:val="18"/>
                <w:szCs w:val="18"/>
                <w:color w:val="auto"/>
              </w:rPr>
              <w:t>S-1/A</w:t>
            </w:r>
          </w:p>
        </w:tc>
        <w:tc>
          <w:tcPr>
            <w:tcW w:w="1620" w:type="dxa"/>
            <w:vAlign w:val="bottom"/>
          </w:tcPr>
          <w:p>
            <w:pPr>
              <w:jc w:val="center"/>
              <w:ind w:left="250"/>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EE"/>
        </w:rPr>
      </w:pPr>
    </w:p>
    <w:p>
      <w:pPr>
        <w:spacing w:after="0" w:line="255"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EE"/>
        </w:rPr>
      </w:pPr>
    </w:p>
    <w:p>
      <w:pPr>
        <w:spacing w:after="0" w:line="363"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1"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347"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130"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239"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131"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131" w:lineRule="exact"/>
        <w:rPr>
          <w:rFonts w:ascii="Arial" w:cs="Arial" w:eastAsia="Arial" w:hAnsi="Arial"/>
          <w:sz w:val="18"/>
          <w:szCs w:val="18"/>
          <w:u w:val="single" w:color="auto"/>
          <w:color w:val="0000EE"/>
        </w:rPr>
      </w:pPr>
    </w:p>
    <w:p>
      <w:pPr>
        <w:ind w:left="5460"/>
        <w:spacing w:after="0"/>
        <w:rPr>
          <w:sz w:val="20"/>
          <w:szCs w:val="20"/>
          <w:color w:val="auto"/>
        </w:rPr>
      </w:pPr>
      <w:r>
        <w:rPr>
          <w:rFonts w:ascii="Arial" w:cs="Arial" w:eastAsia="Arial" w:hAnsi="Arial"/>
          <w:sz w:val="18"/>
          <w:szCs w:val="18"/>
          <w:color w:val="auto"/>
        </w:rPr>
        <w:t>X</w:t>
      </w:r>
    </w:p>
    <w:p>
      <w:pPr>
        <w:spacing w:after="0" w:line="322" w:lineRule="exact"/>
        <w:rPr>
          <w:rFonts w:ascii="Arial" w:cs="Arial" w:eastAsia="Arial" w:hAnsi="Arial"/>
          <w:sz w:val="18"/>
          <w:szCs w:val="18"/>
          <w:u w:val="single" w:color="auto"/>
          <w:color w:val="0000EE"/>
        </w:rPr>
      </w:pPr>
    </w:p>
    <w:p>
      <w:pPr>
        <w:sectPr>
          <w:pgSz w:w="11900" w:h="16838" w:orient="portrait"/>
          <w:cols w:equalWidth="0" w:num="3">
            <w:col w:w="780" w:space="220"/>
            <w:col w:w="4060" w:space="140"/>
            <w:col w:w="6220"/>
          </w:cols>
          <w:pgMar w:left="240" w:top="121" w:right="239" w:bottom="1440" w:gutter="0" w:footer="0" w:header="0"/>
        </w:sectPr>
      </w:pPr>
    </w:p>
    <w:p>
      <w:pPr>
        <w:spacing w:after="0" w:line="200" w:lineRule="exact"/>
        <w:rPr>
          <w:rFonts w:ascii="Arial" w:cs="Arial" w:eastAsia="Arial" w:hAnsi="Arial"/>
          <w:sz w:val="18"/>
          <w:szCs w:val="18"/>
          <w:u w:val="single" w:color="auto"/>
          <w:color w:val="0000EE"/>
        </w:rPr>
      </w:pPr>
    </w:p>
    <w:p>
      <w:pPr>
        <w:spacing w:after="0" w:line="270" w:lineRule="exact"/>
        <w:rPr>
          <w:rFonts w:ascii="Arial" w:cs="Arial" w:eastAsia="Arial" w:hAnsi="Arial"/>
          <w:sz w:val="18"/>
          <w:szCs w:val="18"/>
          <w:u w:val="single" w:color="auto"/>
          <w:color w:val="0000EE"/>
        </w:rPr>
      </w:pPr>
    </w:p>
    <w:p>
      <w:pPr>
        <w:ind w:left="520" w:right="180" w:hanging="512"/>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39"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7540" w:type="dxa"/>
            <w:vAlign w:val="bottom"/>
            <w:gridSpan w:val="2"/>
          </w:tcPr>
          <w:p>
            <w:pPr>
              <w:ind w:left="2280"/>
              <w:spacing w:after="0"/>
              <w:rPr>
                <w:sz w:val="20"/>
                <w:szCs w:val="20"/>
                <w:color w:val="auto"/>
              </w:rPr>
            </w:pPr>
            <w:r>
              <w:rPr>
                <w:rFonts w:ascii="Arial" w:cs="Arial" w:eastAsia="Arial" w:hAnsi="Arial"/>
                <w:sz w:val="18"/>
                <w:szCs w:val="18"/>
                <w:color w:val="auto"/>
              </w:rPr>
              <w:t>Tandem Diabetes Care, Inc.</w:t>
            </w: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Dated: April 26, 2018</w:t>
            </w:r>
          </w:p>
        </w:tc>
        <w:tc>
          <w:tcPr>
            <w:tcW w:w="2740" w:type="dxa"/>
            <w:vAlign w:val="bottom"/>
          </w:tcPr>
          <w:p>
            <w:pPr>
              <w:ind w:left="22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D. Blickenstaff</w:t>
            </w:r>
          </w:p>
        </w:tc>
      </w:tr>
      <w:tr>
        <w:trPr>
          <w:trHeight w:val="195"/>
        </w:trPr>
        <w:tc>
          <w:tcPr>
            <w:tcW w:w="38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Kim D. Blickenstaff</w:t>
            </w:r>
          </w:p>
        </w:tc>
      </w:tr>
      <w:tr>
        <w:trPr>
          <w:trHeight w:val="216"/>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(on behalf of the registrant and as the registrant’s</w:t>
            </w:r>
          </w:p>
        </w:tc>
      </w:tr>
      <w:tr>
        <w:trPr>
          <w:trHeight w:val="230"/>
        </w:trPr>
        <w:tc>
          <w:tcPr>
            <w:tcW w:w="3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73"/>
        </w:trPr>
        <w:tc>
          <w:tcPr>
            <w:tcW w:w="3880" w:type="dxa"/>
            <w:vAlign w:val="bottom"/>
          </w:tcPr>
          <w:p>
            <w:pPr>
              <w:spacing w:after="0"/>
              <w:rPr>
                <w:sz w:val="24"/>
                <w:szCs w:val="24"/>
                <w:color w:val="auto"/>
              </w:rPr>
            </w:pPr>
          </w:p>
        </w:tc>
        <w:tc>
          <w:tcPr>
            <w:tcW w:w="2740" w:type="dxa"/>
            <w:vAlign w:val="bottom"/>
          </w:tcPr>
          <w:p>
            <w:pPr>
              <w:ind w:left="22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Leigh A. Vosseller</w:t>
            </w:r>
          </w:p>
        </w:tc>
      </w:tr>
      <w:tr>
        <w:trPr>
          <w:trHeight w:val="195"/>
        </w:trPr>
        <w:tc>
          <w:tcPr>
            <w:tcW w:w="38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Leigh A. Vosseller</w:t>
            </w:r>
          </w:p>
        </w:tc>
      </w:tr>
      <w:tr>
        <w:trPr>
          <w:trHeight w:val="230"/>
        </w:trPr>
        <w:tc>
          <w:tcPr>
            <w:tcW w:w="3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9"/>
              </w:rPr>
              <w:t>Senior Vice President, Chief Financial Officer and Treasurer</w:t>
            </w:r>
          </w:p>
        </w:tc>
      </w:tr>
    </w:tbl>
    <w:p>
      <w:pPr>
        <w:ind w:left="6620"/>
        <w:spacing w:after="0"/>
        <w:rPr>
          <w:sz w:val="20"/>
          <w:szCs w:val="20"/>
          <w:color w:val="auto"/>
        </w:rPr>
      </w:pPr>
      <w:r>
        <w:rPr>
          <w:rFonts w:ascii="Arial" w:cs="Arial" w:eastAsia="Arial" w:hAnsi="Arial"/>
          <w:sz w:val="18"/>
          <w:szCs w:val="18"/>
          <w:color w:val="auto"/>
        </w:rPr>
        <w:t>(on behalf of the registrant and as the registrant’s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Kim D. Blickenstaff, certify that:</w:t>
      </w:r>
    </w:p>
    <w:p>
      <w:pPr>
        <w:spacing w:after="0" w:line="225"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40" w:hanging="372"/>
        <w:spacing w:after="0" w:line="264"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376"/>
        <w:spacing w:after="0" w:line="264"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376"/>
        <w:spacing w:after="0" w:line="264"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376"/>
        <w:spacing w:after="0" w:line="342" w:lineRule="auto"/>
        <w:tabs>
          <w:tab w:leader="none" w:pos="11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376"/>
        <w:spacing w:after="0" w:line="264"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800" w:hanging="376"/>
        <w:spacing w:after="0" w:line="342" w:lineRule="auto"/>
        <w:tabs>
          <w:tab w:leader="none" w:pos="11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376"/>
        <w:spacing w:after="0" w:line="277"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Kim D. Blickenstaff</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2018</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225"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40" w:hanging="372"/>
        <w:spacing w:after="0" w:line="264"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376"/>
        <w:spacing w:after="0" w:line="264"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376"/>
        <w:spacing w:after="0" w:line="264"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376"/>
        <w:spacing w:after="0" w:line="342" w:lineRule="auto"/>
        <w:tabs>
          <w:tab w:leader="none" w:pos="11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376"/>
        <w:spacing w:after="0" w:line="264"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800" w:hanging="376"/>
        <w:spacing w:after="0" w:line="342" w:lineRule="auto"/>
        <w:tabs>
          <w:tab w:leader="none" w:pos="11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376"/>
        <w:spacing w:after="0" w:line="277"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Leigh A. Vosseller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Senior Vice President, Chief Financial Officer and</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2018</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March 31, 2018, as filed with the Securities and Exchange Commission on the date hereof (the “Report”), I, Kim D. Blickenstaff, President and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700" w:hanging="174"/>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26, 2018</w:t>
      </w:r>
      <w:r>
        <w:rPr>
          <w:sz w:val="20"/>
          <w:szCs w:val="20"/>
          <w:color w:val="auto"/>
        </w:rPr>
        <w:tab/>
      </w:r>
      <w:r>
        <w:rPr>
          <w:rFonts w:ascii="Arial" w:cs="Arial" w:eastAsia="Arial" w:hAnsi="Arial"/>
          <w:sz w:val="17"/>
          <w:szCs w:val="17"/>
          <w:color w:val="auto"/>
        </w:rPr>
        <w:t>/s/ Kim D. Blickenstaff</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March 31, 2018, as filed with the Securities and Exchange Commission on the date hereof (the “Report”), I, Leigh A. Vosseller, Senior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700" w:hanging="174"/>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26, 2018</w:t>
      </w:r>
      <w:r>
        <w:rPr>
          <w:sz w:val="20"/>
          <w:szCs w:val="20"/>
          <w:color w:val="auto"/>
        </w:rPr>
        <w:tab/>
      </w:r>
      <w:r>
        <w:rPr>
          <w:rFonts w:ascii="Arial" w:cs="Arial" w:eastAsia="Arial" w:hAnsi="Arial"/>
          <w:sz w:val="16"/>
          <w:szCs w:val="16"/>
          <w:color w:val="auto"/>
        </w:rPr>
        <w:t>/s/ Leigh A. Vosseller</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38"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0" Type="http://schemas.openxmlformats.org/officeDocument/2006/relationships/hyperlink" Target="http://www.sec.gov/Archives/edgar/data/1438133/000119312513423605/d576419dex34.htm" TargetMode="External"/><Relationship Id="rId81" Type="http://schemas.openxmlformats.org/officeDocument/2006/relationships/hyperlink" Target="http://www.sec.gov/Archives/edgar/data/1438133/000119312513423605/d576419dex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2019-12-28T22:54:13Z</dcterms:created>
  <dcterms:modified xsi:type="dcterms:W3CDTF">2019-12-28T22:54:13Z</dcterms:modified>
</cp:coreProperties>
</file>