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p>
      <w:pPr>
        <w:ind w:left="600" w:hanging="430"/>
        <w:spacing w:after="0"/>
        <w:tabs>
          <w:tab w:leader="none" w:pos="6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64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00" w:hanging="457"/>
        <w:spacing w:after="0"/>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6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52"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620" w:type="dxa"/>
            <w:vAlign w:val="bottom"/>
            <w:gridSpan w:val="2"/>
          </w:tcPr>
          <w:p>
            <w:pPr>
              <w:jc w:val="center"/>
              <w:ind w:right="539"/>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60" w:type="dxa"/>
            <w:vAlign w:val="bottom"/>
          </w:tcPr>
          <w:p>
            <w:pPr>
              <w:jc w:val="right"/>
              <w:ind w:right="340"/>
              <w:spacing w:after="0"/>
              <w:rPr>
                <w:sz w:val="20"/>
                <w:szCs w:val="20"/>
                <w:color w:val="auto"/>
              </w:rPr>
            </w:pPr>
            <w:r>
              <w:rPr>
                <w:rFonts w:ascii="Arial" w:cs="Arial" w:eastAsia="Arial" w:hAnsi="Arial"/>
                <w:sz w:val="18"/>
                <w:szCs w:val="18"/>
                <w:b w:val="1"/>
                <w:bCs w:val="1"/>
                <w:color w:val="auto"/>
              </w:rPr>
              <w:t>20-4327508</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620" w:type="dxa"/>
            <w:vAlign w:val="bottom"/>
            <w:gridSpan w:val="2"/>
          </w:tcPr>
          <w:p>
            <w:pPr>
              <w:jc w:val="center"/>
              <w:ind w:right="539"/>
              <w:spacing w:after="0"/>
              <w:rPr>
                <w:sz w:val="20"/>
                <w:szCs w:val="20"/>
                <w:color w:val="auto"/>
              </w:rPr>
            </w:pPr>
            <w:r>
              <w:rPr>
                <w:rFonts w:ascii="Arial" w:cs="Arial" w:eastAsia="Arial" w:hAnsi="Arial"/>
                <w:sz w:val="14"/>
                <w:szCs w:val="14"/>
                <w:b w:val="1"/>
                <w:bCs w:val="1"/>
                <w:color w:val="auto"/>
                <w:w w:val="93"/>
              </w:rPr>
              <w:t>(State or other jurisdiction of</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jc w:val="center"/>
              <w:ind w:left="660"/>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620" w:type="dxa"/>
            <w:vAlign w:val="bottom"/>
            <w:gridSpan w:val="2"/>
          </w:tcPr>
          <w:p>
            <w:pPr>
              <w:jc w:val="center"/>
              <w:ind w:right="539"/>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1080" w:type="dxa"/>
            <w:vAlign w:val="bottom"/>
          </w:tcPr>
          <w:p>
            <w:pPr>
              <w:spacing w:after="0"/>
              <w:rPr>
                <w:sz w:val="22"/>
                <w:szCs w:val="22"/>
                <w:color w:val="auto"/>
              </w:rPr>
            </w:pPr>
          </w:p>
        </w:tc>
        <w:tc>
          <w:tcPr>
            <w:tcW w:w="2620" w:type="dxa"/>
            <w:vAlign w:val="bottom"/>
            <w:gridSpan w:val="2"/>
          </w:tcPr>
          <w:p>
            <w:pPr>
              <w:jc w:val="center"/>
              <w:ind w:right="519"/>
              <w:spacing w:after="0"/>
              <w:rPr>
                <w:sz w:val="20"/>
                <w:szCs w:val="20"/>
                <w:color w:val="auto"/>
              </w:rPr>
            </w:pPr>
            <w:r>
              <w:rPr>
                <w:rFonts w:ascii="Arial" w:cs="Arial" w:eastAsia="Arial" w:hAnsi="Arial"/>
                <w:sz w:val="18"/>
                <w:szCs w:val="18"/>
                <w:b w:val="1"/>
                <w:bCs w:val="1"/>
                <w:color w:val="auto"/>
                <w:w w:val="87"/>
              </w:rPr>
              <w:t>11075 Roselle Street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60" w:type="dxa"/>
            <w:vAlign w:val="bottom"/>
          </w:tcPr>
          <w:p>
            <w:pPr>
              <w:jc w:val="right"/>
              <w:ind w:right="540"/>
              <w:spacing w:after="0"/>
              <w:rPr>
                <w:sz w:val="20"/>
                <w:szCs w:val="20"/>
                <w:color w:val="auto"/>
              </w:rPr>
            </w:pPr>
            <w:r>
              <w:rPr>
                <w:rFonts w:ascii="Arial" w:cs="Arial" w:eastAsia="Arial" w:hAnsi="Arial"/>
                <w:sz w:val="18"/>
                <w:szCs w:val="18"/>
                <w:b w:val="1"/>
                <w:bCs w:val="1"/>
                <w:color w:val="auto"/>
              </w:rPr>
              <w:t>92121</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620" w:type="dxa"/>
            <w:vAlign w:val="bottom"/>
            <w:gridSpan w:val="2"/>
          </w:tcPr>
          <w:p>
            <w:pPr>
              <w:ind w:left="260"/>
              <w:spacing w:after="0"/>
              <w:rPr>
                <w:sz w:val="20"/>
                <w:szCs w:val="20"/>
                <w:color w:val="auto"/>
              </w:rPr>
            </w:pPr>
            <w:r>
              <w:rPr>
                <w:rFonts w:ascii="Arial" w:cs="Arial" w:eastAsia="Arial" w:hAnsi="Arial"/>
                <w:sz w:val="18"/>
                <w:szCs w:val="18"/>
                <w:b w:val="1"/>
                <w:bCs w:val="1"/>
                <w:color w:val="auto"/>
              </w:rPr>
              <w:t>San Diego, California</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5"/>
        </w:trPr>
        <w:tc>
          <w:tcPr>
            <w:tcW w:w="370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gridSpan w:val="3"/>
            <w:vMerge w:val="restart"/>
          </w:tcPr>
          <w:p>
            <w:pPr>
              <w:jc w:val="center"/>
              <w:ind w:right="920"/>
              <w:spacing w:after="0"/>
              <w:rPr>
                <w:sz w:val="20"/>
                <w:szCs w:val="20"/>
                <w:color w:val="auto"/>
              </w:rPr>
            </w:pPr>
            <w:r>
              <w:rPr>
                <w:rFonts w:ascii="Arial" w:cs="Arial" w:eastAsia="Arial" w:hAnsi="Arial"/>
                <w:sz w:val="18"/>
                <w:szCs w:val="18"/>
                <w:b w:val="1"/>
                <w:bCs w:val="1"/>
                <w:color w:val="auto"/>
                <w:w w:val="90"/>
              </w:rPr>
              <w:t>(858) 366-6900</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3"/>
            <w:vMerge w:val="continue"/>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7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2620" w:type="dxa"/>
            <w:vAlign w:val="bottom"/>
            <w:gridSpan w:val="2"/>
          </w:tcPr>
          <w:p>
            <w:pPr>
              <w:jc w:val="center"/>
              <w:ind w:right="1399"/>
              <w:spacing w:after="0"/>
              <w:rPr>
                <w:sz w:val="20"/>
                <w:szCs w:val="20"/>
                <w:color w:val="auto"/>
              </w:rPr>
            </w:pPr>
            <w:r>
              <w:rPr>
                <w:rFonts w:ascii="Arial" w:cs="Arial" w:eastAsia="Arial" w:hAnsi="Arial"/>
                <w:sz w:val="14"/>
                <w:szCs w:val="14"/>
                <w:b w:val="1"/>
                <w:bCs w:val="1"/>
                <w:color w:val="auto"/>
                <w:w w:val="91"/>
              </w:rPr>
              <w:t>Title of Each Class</w:t>
            </w:r>
          </w:p>
        </w:tc>
        <w:tc>
          <w:tcPr>
            <w:tcW w:w="28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0"/>
              </w:rPr>
              <w:t>Symbol</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gridSpan w:val="3"/>
          </w:tcPr>
          <w:p>
            <w:pPr>
              <w:jc w:val="center"/>
              <w:ind w:right="319"/>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84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TNDM</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80" w:type="dxa"/>
            <w:vAlign w:val="bottom"/>
          </w:tcPr>
          <w:p>
            <w:pPr>
              <w:ind w:left="1320"/>
              <w:spacing w:after="0"/>
              <w:rPr>
                <w:sz w:val="20"/>
                <w:szCs w:val="20"/>
                <w:color w:val="auto"/>
              </w:rPr>
            </w:pPr>
            <w:r>
              <w:rPr>
                <w:rFonts w:ascii="Arial" w:cs="Arial" w:eastAsia="Arial" w:hAnsi="Arial"/>
                <w:sz w:val="14"/>
                <w:szCs w:val="14"/>
                <w:color w:val="auto"/>
              </w:rPr>
              <w:t>x</w:t>
            </w:r>
          </w:p>
        </w:tc>
        <w:tc>
          <w:tcPr>
            <w:tcW w:w="404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680" w:type="dxa"/>
            <w:vAlign w:val="bottom"/>
          </w:tcPr>
          <w:p>
            <w:pPr>
              <w:ind w:left="13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9"/>
        </w:trPr>
        <w:tc>
          <w:tcPr>
            <w:tcW w:w="26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040" w:type="dxa"/>
            <w:vAlign w:val="bottom"/>
          </w:tcPr>
          <w:p>
            <w:pPr>
              <w:ind w:left="122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54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820" w:right="3560" w:hanging="809"/>
        <w:spacing w:after="0" w:line="206"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21, 2020, there were 60,102,978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74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80" w:type="dxa"/>
            <w:vAlign w:val="bottom"/>
          </w:tcPr>
          <w:p>
            <w:pPr>
              <w:spacing w:after="0"/>
              <w:rPr>
                <w:sz w:val="20"/>
                <w:szCs w:val="20"/>
                <w:color w:val="auto"/>
              </w:rPr>
            </w:pPr>
          </w:p>
        </w:tc>
      </w:tr>
      <w:tr>
        <w:trPr>
          <w:trHeight w:val="648"/>
        </w:trPr>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40" w:type="dxa"/>
            <w:vAlign w:val="bottom"/>
            <w:gridSpan w:val="2"/>
          </w:tcPr>
          <w:p>
            <w:pPr>
              <w:ind w:left="28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378"/>
        </w:trPr>
        <w:tc>
          <w:tcPr>
            <w:tcW w:w="940" w:type="dxa"/>
            <w:vAlign w:val="bottom"/>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940" w:type="dxa"/>
            <w:vAlign w:val="bottom"/>
          </w:tcPr>
          <w:p>
            <w:pPr>
              <w:spacing w:after="0"/>
              <w:rPr>
                <w:sz w:val="23"/>
                <w:szCs w:val="23"/>
                <w:color w:val="auto"/>
              </w:rPr>
            </w:pPr>
          </w:p>
        </w:tc>
        <w:tc>
          <w:tcPr>
            <w:tcW w:w="98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31, 2020 (Unaudited) and December 31, 2019</w:t>
              </w:r>
            </w:hyperlink>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29"/>
        </w:trPr>
        <w:tc>
          <w:tcPr>
            <w:tcW w:w="940" w:type="dxa"/>
            <w:vAlign w:val="bottom"/>
          </w:tcPr>
          <w:p>
            <w:pPr>
              <w:spacing w:after="0"/>
              <w:rPr>
                <w:sz w:val="19"/>
                <w:szCs w:val="19"/>
                <w:color w:val="auto"/>
              </w:rPr>
            </w:pPr>
          </w:p>
        </w:tc>
        <w:tc>
          <w:tcPr>
            <w:tcW w:w="9800" w:type="dxa"/>
            <w:vAlign w:val="bottom"/>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Months Ended March 31, 2020 and 2019</w:t>
              </w:r>
            </w:hyperlink>
          </w:p>
        </w:tc>
        <w:tc>
          <w:tcPr>
            <w:tcW w:w="480" w:type="dxa"/>
            <w:vAlign w:val="bottom"/>
          </w:tcPr>
          <w:p>
            <w:pPr>
              <w:spacing w:after="0"/>
              <w:rPr>
                <w:sz w:val="19"/>
                <w:szCs w:val="19"/>
                <w:color w:val="auto"/>
              </w:rPr>
            </w:pPr>
          </w:p>
        </w:tc>
      </w:tr>
      <w:tr>
        <w:trPr>
          <w:trHeight w:val="196"/>
        </w:trPr>
        <w:tc>
          <w:tcPr>
            <w:tcW w:w="940" w:type="dxa"/>
            <w:vAlign w:val="bottom"/>
          </w:tcPr>
          <w:p>
            <w:pPr>
              <w:spacing w:after="0"/>
              <w:rPr>
                <w:sz w:val="17"/>
                <w:szCs w:val="17"/>
                <w:color w:val="auto"/>
              </w:rPr>
            </w:pPr>
          </w:p>
        </w:tc>
        <w:tc>
          <w:tcPr>
            <w:tcW w:w="95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300" w:type="dxa"/>
            <w:vAlign w:val="bottom"/>
          </w:tcPr>
          <w:p>
            <w:pPr>
              <w:spacing w:after="0"/>
              <w:rPr>
                <w:sz w:val="17"/>
                <w:szCs w:val="17"/>
                <w:color w:val="auto"/>
              </w:rPr>
            </w:pPr>
          </w:p>
        </w:tc>
        <w:tc>
          <w:tcPr>
            <w:tcW w:w="48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9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9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1"/>
        </w:trPr>
        <w:tc>
          <w:tcPr>
            <w:tcW w:w="940" w:type="dxa"/>
            <w:vAlign w:val="bottom"/>
          </w:tcPr>
          <w:p>
            <w:pPr>
              <w:spacing w:after="0"/>
              <w:rPr>
                <w:sz w:val="24"/>
                <w:szCs w:val="24"/>
                <w:color w:val="auto"/>
              </w:rPr>
            </w:pPr>
          </w:p>
        </w:tc>
        <w:tc>
          <w:tcPr>
            <w:tcW w:w="9800" w:type="dxa"/>
            <w:vAlign w:val="bottom"/>
            <w:gridSpan w:val="3"/>
          </w:tcPr>
          <w:p>
            <w:pPr>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Condensed Consolidated Statements of Stockholders’ Equity for the Three Months Ended March 31, 2020 and 2019 (Unaudited)</w:t>
              </w:r>
            </w:hyperlink>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70"/>
        </w:trPr>
        <w:tc>
          <w:tcPr>
            <w:tcW w:w="940" w:type="dxa"/>
            <w:vAlign w:val="bottom"/>
          </w:tcPr>
          <w:p>
            <w:pPr>
              <w:spacing w:after="0"/>
              <w:rPr>
                <w:sz w:val="23"/>
                <w:szCs w:val="23"/>
                <w:color w:val="auto"/>
              </w:rPr>
            </w:pPr>
          </w:p>
        </w:tc>
        <w:tc>
          <w:tcPr>
            <w:tcW w:w="980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Three Months Ended March 31, 2020 and 2019 (Unaudited)</w:t>
              </w:r>
            </w:hyperlink>
          </w:p>
        </w:tc>
        <w:tc>
          <w:tcPr>
            <w:tcW w:w="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70"/>
        </w:trPr>
        <w:tc>
          <w:tcPr>
            <w:tcW w:w="940" w:type="dxa"/>
            <w:vAlign w:val="bottom"/>
          </w:tcPr>
          <w:p>
            <w:pPr>
              <w:spacing w:after="0"/>
              <w:rPr>
                <w:sz w:val="23"/>
                <w:szCs w:val="23"/>
                <w:color w:val="auto"/>
              </w:rPr>
            </w:pPr>
          </w:p>
        </w:tc>
        <w:tc>
          <w:tcPr>
            <w:tcW w:w="980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499"/>
        </w:trPr>
        <w:tc>
          <w:tcPr>
            <w:tcW w:w="940" w:type="dxa"/>
            <w:vAlign w:val="bottom"/>
          </w:tcPr>
          <w:p>
            <w:pPr>
              <w:ind w:left="40"/>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Part II</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36">
              <w:r>
                <w:rPr>
                  <w:rFonts w:ascii="Arial" w:cs="Arial" w:eastAsia="Arial" w:hAnsi="Arial"/>
                  <w:sz w:val="18"/>
                  <w:szCs w:val="18"/>
                  <w:color w:val="auto"/>
                </w:rPr>
                <w:t>Item 1</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4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68">
              <w:r>
                <w:rPr>
                  <w:rFonts w:ascii="Arial" w:cs="Arial" w:eastAsia="Arial" w:hAnsi="Arial"/>
                  <w:sz w:val="18"/>
                  <w:szCs w:val="18"/>
                  <w:color w:val="auto"/>
                </w:rPr>
                <w:t>Item 6</w:t>
              </w:r>
            </w:hyperlink>
          </w:p>
        </w:tc>
        <w:tc>
          <w:tcPr>
            <w:tcW w:w="980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48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tc>
      </w:tr>
    </w:tbl>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6"/>
                <w:szCs w:val="16"/>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74,485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51,175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125,283</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53,962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46,585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49,073</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4,025</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280,873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276,141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37,626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32,923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15,561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1,485</w:t>
            </w:r>
          </w:p>
        </w:tc>
      </w:tr>
      <w:tr>
        <w:trPr>
          <w:trHeight w:val="297"/>
        </w:trPr>
        <w:tc>
          <w:tcPr>
            <w:tcW w:w="844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343,327</w:t>
            </w:r>
          </w:p>
        </w:tc>
        <w:tc>
          <w:tcPr>
            <w:tcW w:w="100" w:type="dxa"/>
            <w:vAlign w:val="bottom"/>
            <w:tcBorders>
              <w:bottom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326,110</w:t>
            </w:r>
          </w:p>
        </w:tc>
      </w:tr>
      <w:tr>
        <w:trPr>
          <w:trHeight w:val="237"/>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21,783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17,745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8,014</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Employee-related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28,320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3,869</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Common stock warrants</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25,290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23,509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6,320</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11,922</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11,619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99,647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99,396</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Operating lease liabilities - long-term</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19,547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14,063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17,672</w:t>
            </w:r>
          </w:p>
        </w:tc>
      </w:tr>
      <w:tr>
        <w:trPr>
          <w:trHeight w:val="27"/>
        </w:trPr>
        <w:tc>
          <w:tcPr>
            <w:tcW w:w="84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136,151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131,131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w w:val="90"/>
              </w:rPr>
              <w:t>Common stock, $0.001 par value; 200,000 shares authorized, 60,071 and 59,396 shares issued and outstanding</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at March 31, 2020 (unaudited) and December 31, 2019, respectively.</w:t>
            </w: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847,056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819,626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(639,695)</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(624,828)</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207,176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194,979</w:t>
            </w:r>
          </w:p>
        </w:tc>
      </w:tr>
      <w:tr>
        <w:trPr>
          <w:trHeight w:val="27"/>
        </w:trPr>
        <w:tc>
          <w:tcPr>
            <w:tcW w:w="84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343,327</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326,110</w:t>
            </w: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3"/>
        </w:trPr>
        <w:tc>
          <w:tcPr>
            <w:tcW w:w="86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97,926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65,995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47,665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32,642</w:t>
            </w:r>
          </w:p>
        </w:tc>
      </w:tr>
      <w:tr>
        <w:trPr>
          <w:trHeight w:val="27"/>
        </w:trPr>
        <w:tc>
          <w:tcPr>
            <w:tcW w:w="86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50,261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33,353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49,717</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34,961</w:t>
            </w:r>
          </w:p>
        </w:tc>
      </w:tr>
      <w:tr>
        <w:trPr>
          <w:trHeight w:val="243"/>
        </w:trPr>
        <w:tc>
          <w:tcPr>
            <w:tcW w:w="86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9,389</w:t>
            </w:r>
          </w:p>
        </w:tc>
      </w:tr>
      <w:tr>
        <w:trPr>
          <w:trHeight w:val="27"/>
        </w:trPr>
        <w:tc>
          <w:tcPr>
            <w:tcW w:w="86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63,834</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44,350</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(10,997)</w:t>
            </w: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3"/>
        </w:trPr>
        <w:tc>
          <w:tcPr>
            <w:tcW w:w="8660" w:type="dxa"/>
            <w:vAlign w:val="bottom"/>
          </w:tcPr>
          <w:p>
            <w:pPr>
              <w:ind w:left="280"/>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757</w:t>
            </w: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and other expense</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660" w:type="dxa"/>
            <w:vAlign w:val="bottom"/>
          </w:tcPr>
          <w:p>
            <w:pPr>
              <w:ind w:left="280"/>
              <w:spacing w:after="0"/>
              <w:rPr>
                <w:sz w:val="20"/>
                <w:szCs w:val="20"/>
                <w:color w:val="auto"/>
              </w:rPr>
            </w:pPr>
            <w:r>
              <w:rPr>
                <w:rFonts w:ascii="Arial" w:cs="Arial" w:eastAsia="Arial" w:hAnsi="Arial"/>
                <w:sz w:val="18"/>
                <w:szCs w:val="18"/>
                <w:color w:val="auto"/>
              </w:rPr>
              <w:t>Change in fair value of common stock warrants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(12,746)</w:t>
            </w:r>
          </w:p>
        </w:tc>
      </w:tr>
      <w:tr>
        <w:trPr>
          <w:trHeight w:val="27"/>
        </w:trPr>
        <w:tc>
          <w:tcPr>
            <w:tcW w:w="86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(11,995)</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(22,992)</w:t>
            </w: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6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(14,867)</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(22,992)</w:t>
            </w:r>
          </w:p>
        </w:tc>
      </w:tr>
      <w:tr>
        <w:trPr>
          <w:trHeight w:val="237"/>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r>
      <w:tr>
        <w:trPr>
          <w:trHeight w:val="243"/>
        </w:trPr>
        <w:tc>
          <w:tcPr>
            <w:tcW w:w="8660" w:type="dxa"/>
            <w:vAlign w:val="bottom"/>
          </w:tcPr>
          <w:p>
            <w:pPr>
              <w:ind w:left="280"/>
              <w:spacing w:after="0"/>
              <w:rPr>
                <w:sz w:val="20"/>
                <w:szCs w:val="20"/>
                <w:color w:val="auto"/>
              </w:rPr>
            </w:pPr>
            <w:r>
              <w:rPr>
                <w:rFonts w:ascii="Arial" w:cs="Arial" w:eastAsia="Arial" w:hAnsi="Arial"/>
                <w:sz w:val="18"/>
                <w:szCs w:val="18"/>
                <w:color w:val="auto"/>
              </w:rPr>
              <w:t>Unrealized gain on short-term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w:t>
            </w:r>
          </w:p>
        </w:tc>
      </w:tr>
      <w:tr>
        <w:trPr>
          <w:trHeight w:val="297"/>
        </w:trPr>
        <w:tc>
          <w:tcPr>
            <w:tcW w:w="86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(15,234)</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(22,938)</w:t>
            </w:r>
          </w:p>
        </w:tc>
      </w:tr>
      <w:tr>
        <w:trPr>
          <w:trHeight w:val="311"/>
        </w:trPr>
        <w:tc>
          <w:tcPr>
            <w:tcW w:w="86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04"/>
        </w:trPr>
        <w:tc>
          <w:tcPr>
            <w:tcW w:w="86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50"/>
        </w:trPr>
        <w:tc>
          <w:tcPr>
            <w:tcW w:w="8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59,740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57,771</w:t>
            </w: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gridSpan w:val="4"/>
            <w:vMerge w:val="restart"/>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18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80" w:type="dxa"/>
            <w:vAlign w:val="bottom"/>
            <w:tcBorders>
              <w:top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10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59,396</w:t>
            </w:r>
          </w:p>
        </w:tc>
        <w:tc>
          <w:tcPr>
            <w:tcW w:w="12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819,626</w:t>
            </w:r>
          </w:p>
        </w:tc>
        <w:tc>
          <w:tcPr>
            <w:tcW w:w="12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11,474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11,475</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5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w w:val="95"/>
              </w:rPr>
              <w:t>Fair value of common stock warrants at time of exercise</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5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15,808</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15,808</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580" w:type="dxa"/>
            <w:vAlign w:val="bottom"/>
            <w:gridSpan w:val="2"/>
          </w:tcPr>
          <w:p>
            <w:pPr>
              <w:ind w:left="260"/>
              <w:spacing w:after="0" w:line="157" w:lineRule="exact"/>
              <w:rPr>
                <w:sz w:val="20"/>
                <w:szCs w:val="20"/>
                <w:color w:val="auto"/>
              </w:rPr>
            </w:pPr>
            <w:r>
              <w:rPr>
                <w:rFonts w:ascii="Arial" w:cs="Arial" w:eastAsia="Arial" w:hAnsi="Arial"/>
                <w:sz w:val="14"/>
                <w:szCs w:val="14"/>
                <w:color w:val="auto"/>
              </w:rPr>
              <w:t>Unrealized gain on short-term investments, net of</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rPr>
              <w:t>deferred tax</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5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8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March 31, 2020</w:t>
            </w:r>
          </w:p>
        </w:tc>
        <w:tc>
          <w:tcPr>
            <w:tcW w:w="10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60,071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847,056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(639,695)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207,176</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2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180" w:type="dxa"/>
            <w:vAlign w:val="bottom"/>
            <w:vMerge w:val="restart"/>
          </w:tcPr>
          <w:p>
            <w:pPr>
              <w:jc w:val="center"/>
              <w:ind w:right="88"/>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580" w:type="dxa"/>
            <w:vAlign w:val="bottom"/>
            <w:tcBorders>
              <w:top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December 31, 2018</w:t>
            </w:r>
          </w:p>
        </w:tc>
        <w:tc>
          <w:tcPr>
            <w:tcW w:w="10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57,554</w:t>
            </w:r>
          </w:p>
        </w:tc>
        <w:tc>
          <w:tcPr>
            <w:tcW w:w="12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731,306</w:t>
            </w:r>
          </w:p>
        </w:tc>
        <w:tc>
          <w:tcPr>
            <w:tcW w:w="12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5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w w:val="95"/>
              </w:rPr>
              <w:t>Fair value of common stock warrants at time of exercise</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5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9,752</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9,752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5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2"/>
          </w:tcPr>
          <w:p>
            <w:pPr>
              <w:ind w:left="26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8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March 31, 2019</w:t>
            </w:r>
          </w:p>
        </w:tc>
        <w:tc>
          <w:tcPr>
            <w:tcW w:w="10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57,982</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743,930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(623,067)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120,962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(22,992)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expected credit losses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Provision (benefit) for inventory obsolescence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common stock warrants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Amortization of discount on short-term investments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1,821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4,376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Employee-related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(42,914)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43,700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Proceeds from sales of short-term investments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1,400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Proceeds from exercise of common stock warrants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Company stock plans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74,485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40,445</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 paid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8,805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3,053</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included in accounts payable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-98425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right="320" w:firstLine="810"/>
        <w:spacing w:after="0" w:line="311" w:lineRule="auto"/>
        <w:rPr>
          <w:sz w:val="20"/>
          <w:szCs w:val="20"/>
          <w:color w:val="auto"/>
        </w:rPr>
      </w:pPr>
      <w:r>
        <w:rPr>
          <w:rFonts w:ascii="Arial" w:cs="Arial" w:eastAsia="Arial" w:hAnsi="Arial"/>
          <w:sz w:val="16"/>
          <w:szCs w:val="16"/>
          <w:color w:val="auto"/>
        </w:rPr>
        <w:t>Tandem Diabetes Care, Inc. is a medical device company with an innovative approach to the design, development and commercialization of products for people with insulin-dependent diabetes. The Company is incorporated in the state of Delaware. Unless the context requires otherwise, the terms the “Company” or “Tandem” refer to Tandem Diabetes Care, Inc., together with its wholly-owned subsidiary in Canada.</w:t>
      </w:r>
    </w:p>
    <w:p>
      <w:pPr>
        <w:spacing w:after="0" w:line="14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feature updates and is designed to display continuous glucose monitoring (CGM) sensor information directly on the pump home screen. The Company’s insulin pump products are compatible with the t:connect cloud-based data management application (t:connect) and the Tandem Device Updater, a Mac and PC-compatible tool for the remote update of the Company’s insulin pump software.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65"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The Company has commercially launched seven insulin pumps in the United States since 2012 and two pumps outside the United States since 2018. Four of the insulin pumps have featured integration with CGM technology, of which two have also featured an automated insulin delivery (AID) algorithm. In June 2018, the t:slim X2 was the first insulin pump designated as compatible with integrated CGM (iCGM) devices; in February 2019, the t:slim X2 was the first insulin pump in a new device category called Alternate Controller Enabled Infusion Pumps (ACE pumps); and in December 2019, Control-IQ technology for the t:slim X2 insulin pump was the first automated insulin dosing software in a new interoperable automated glycemic controller category. The Company believes that the three new classifications by the United States Food and Drug Administration (FDA) for the interoperability of devices for AID will help support continued rapid innovation by streamlining the regulatory pathway for integrated products.</w:t>
      </w:r>
    </w:p>
    <w:p>
      <w:pPr>
        <w:spacing w:after="0" w:line="166" w:lineRule="exact"/>
        <w:rPr>
          <w:sz w:val="20"/>
          <w:szCs w:val="20"/>
          <w:color w:val="auto"/>
        </w:rPr>
      </w:pPr>
    </w:p>
    <w:p>
      <w:pPr>
        <w:ind w:right="180" w:firstLine="810"/>
        <w:spacing w:after="0" w:line="279" w:lineRule="auto"/>
        <w:rPr>
          <w:sz w:val="20"/>
          <w:szCs w:val="20"/>
          <w:color w:val="auto"/>
        </w:rPr>
      </w:pPr>
      <w:r>
        <w:rPr>
          <w:rFonts w:ascii="Arial" w:cs="Arial" w:eastAsia="Arial" w:hAnsi="Arial"/>
          <w:sz w:val="17"/>
          <w:szCs w:val="17"/>
          <w:color w:val="auto"/>
        </w:rPr>
        <w:t>As of March 31, 2020, the Company had $160.2 million in cash and cash equivalents and short-term investments. The Company has incurred operating losses since its inception and had an accumulated deficit of $639.7 million as of March 31, 2020, which included a net loss of $14.9 million for the three months ended March 31, 2020. Management believes that the cash, cash equivalents and short-term investments on hand will be sufficient to satisfy the Company’s liquidity requirements for at least the next 12 months from the date of this filing.</w:t>
      </w:r>
    </w:p>
    <w:p>
      <w:pPr>
        <w:spacing w:after="0" w:line="171"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expand the commercialization of products into new international markets, maximize manufacturing efficiencies, satisfy increasing production requirements, leverage the investments made in its sales, clinical, marketing and customer support organizations, and operate its business and manufacture and sell products without infringing on third-party intellectual property rights.</w:t>
      </w:r>
    </w:p>
    <w:p>
      <w:pPr>
        <w:spacing w:after="0" w:line="192"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The Company has funded its operations primarily through cash collected from product sales, private and public offerings of equity securities, and through debt financing which has since been fully repaid. The Company may in the future seek additional capital from public or private offerings of equity or debt securities, or it may elect to borrow capital under new credit arrangements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equity or debt financing will be available on acceptable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2019 (Annual Report), from which the balance sheet information herein was derived.</w:t>
      </w:r>
    </w:p>
    <w:p>
      <w:pPr>
        <w:spacing w:after="0" w:line="187" w:lineRule="exact"/>
        <w:rPr>
          <w:sz w:val="20"/>
          <w:szCs w:val="20"/>
          <w:color w:val="auto"/>
        </w:rPr>
      </w:pPr>
    </w:p>
    <w:p>
      <w:pPr>
        <w:ind w:right="560" w:firstLine="8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 owned subsidiary in Canada. All significant intercompany balances and transactions have been eliminated in consolidation.</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functional currency of our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comprehensive loss and in accumulated other comprehensive income (loss) in the equity section of the Company’s condensed consolidated balance sheets. Foreign exchange gains or losses resulting from balances denominated in a currency other than the functional currency are recognized in interest and other income or interest and other expense in the Company’s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66" w:lineRule="exact"/>
        <w:rPr>
          <w:sz w:val="20"/>
          <w:szCs w:val="20"/>
          <w:color w:val="auto"/>
        </w:rPr>
      </w:pPr>
    </w:p>
    <w:p>
      <w:pPr>
        <w:ind w:right="320" w:firstLine="810"/>
        <w:spacing w:after="0" w:line="277" w:lineRule="auto"/>
        <w:rPr>
          <w:sz w:val="20"/>
          <w:szCs w:val="20"/>
          <w:color w:val="auto"/>
        </w:rPr>
      </w:pPr>
      <w:r>
        <w:rPr>
          <w:rFonts w:ascii="Arial" w:cs="Arial" w:eastAsia="Arial" w:hAnsi="Arial"/>
          <w:sz w:val="18"/>
          <w:szCs w:val="18"/>
          <w:color w:val="auto"/>
        </w:rPr>
        <w:t>Prior year amounts related to the presentation of proceeds from maturities and sales of short-term investments on the Company’s condensed consolidated statement of cash flows, have been reclassified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480" w:firstLine="810"/>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during the three months ended March 31, 2020, as compared to those disclosed in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because key operating decisions and resource allocations are made by the CODM using consolidated financial data.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The Company grants credit to various customers in the ordinary course of business and is paid directly by customers who use the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810"/>
        <w:spacing w:after="0" w:line="296"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believes the fair value of its operating lease liabilities at March 31, 2020 approximated their carrying value, based on the borrowing rates that were available for loans with similar terms as of that date. The estimated fair value of certain of the Company’s common stock warrants was determined using the Black-Scholes pricing model as of March 31, 2020 and December 31, 2019 (see Note 5,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Operating Lease Right-of-Use Assets and Liabilities</w:t>
      </w:r>
    </w:p>
    <w:p>
      <w:pPr>
        <w:spacing w:after="0" w:line="225" w:lineRule="exact"/>
        <w:rPr>
          <w:sz w:val="20"/>
          <w:szCs w:val="20"/>
          <w:color w:val="auto"/>
        </w:rPr>
      </w:pPr>
    </w:p>
    <w:p>
      <w:pPr>
        <w:ind w:right="120" w:firstLine="810"/>
        <w:spacing w:after="0" w:line="290"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their obligation to make lease payments arising from the lease. Operating lease right-of-use assets and liabilities are recognized when the Company takes possession of the leased property (the Commencement Date) based on the present value of lease payments over the lease term.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 (see Note 6, “Leases”).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auto"/>
        </w:rPr>
        <w:t>Revenue is generated primarily from sales of insulin pumps, disposable cartridges and infusion sets to individual customers and third-party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120" w:firstLine="810"/>
        <w:spacing w:after="0" w:line="287"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There is no standalone value for these complementary products. Therefore,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March 31, 2020 and December 31, 2019 (in thousands):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2019</w:t>
            </w: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5,656</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Sales Returns</w:t>
      </w:r>
    </w:p>
    <w:p>
      <w:pPr>
        <w:spacing w:after="0" w:line="22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The Company offers a 30-day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sales returns is recorded as a reduction of revenue and an increase in deferred revenue in the period in which the related sale is recorded. The amount recorded in deferred revenue on the Company’s consolidated balance sheets for allowances for sales returns was $0.5 million and $0.4 million at March 31, 2020 and December 31, 2019, respectively. Actual product returns have not differed materially from estimated amounts recorded in the accompanying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Company generally provides a four-year warranty on its insulin pumps to end-user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We evaluate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length of time the pump version has been in the field and future expectations of performance based on new features and capabilities that may become available through Tandem Device Updater.</w:t>
      </w:r>
    </w:p>
    <w:p>
      <w:pPr>
        <w:spacing w:after="0" w:line="178"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product warranty liabilities from December 31, 2019 through March 31, 2020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16,724</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Provision for warranties issued during the period</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4,814</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Decreases in warranty estimates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7"/>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As of March 31, 2020 and December 31, 2019, total product warranty reserves of $16.8 million and $16.7 million, respectively, were included in the following consolidated balance sheet accounts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10,334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warranty reserves</w:t>
            </w:r>
          </w:p>
        </w:tc>
        <w:tc>
          <w:tcPr>
            <w:tcW w:w="4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16,724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810"/>
        <w:spacing w:after="0" w:line="291"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7, “Stockholders’ Equity”). For awards that vest based on the achievement of service conditions, the Company recognizes expense using the straight-line method less estimated forfeitures based on historical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right="120" w:firstLine="810"/>
        <w:spacing w:after="0" w:line="287"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Dilutive common share equivalents are comprised of warrants, potential awards granted pursuant to the ESPP, and stock options outstanding under the Company’s equity incentive plans.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the three months ended March 31, 2020 and 2019, there is no difference in the number of shares used to calculate basic and diluted shares outstanding due to the Company’s net loss position.</w:t>
      </w:r>
    </w:p>
    <w:p>
      <w:pPr>
        <w:spacing w:after="0" w:line="168"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324"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13335</wp:posOffset>
            </wp:positionV>
            <wp:extent cx="135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5,475</w:t>
            </w:r>
          </w:p>
        </w:tc>
      </w:tr>
      <w:tr>
        <w:trPr>
          <w:trHeight w:val="27"/>
        </w:trPr>
        <w:tc>
          <w:tcPr>
            <w:tcW w:w="9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granted under the ESPP</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r>
      <w:tr>
        <w:trPr>
          <w:trHeight w:val="237"/>
        </w:trPr>
        <w:tc>
          <w:tcPr>
            <w:tcW w:w="9100" w:type="dxa"/>
            <w:vAlign w:val="bottom"/>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6,517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6,303</w:t>
            </w:r>
          </w:p>
        </w:tc>
      </w:tr>
      <w:tr>
        <w:trPr>
          <w:trHeight w:val="27"/>
        </w:trPr>
        <w:tc>
          <w:tcPr>
            <w:tcW w:w="9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Measurement of Credit Losses on Financial Instruments, </w:t>
      </w:r>
      <w:r>
        <w:rPr>
          <w:rFonts w:ascii="Arial" w:cs="Arial" w:eastAsia="Arial" w:hAnsi="Arial"/>
          <w:sz w:val="17"/>
          <w:szCs w:val="17"/>
          <w:color w:val="auto"/>
        </w:rPr>
        <w:t>which modifies the measurement and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prior, other-than-temporary-impairment model. The new standard must be adopted using the modified retrospective approach and was effective for the Company starting in the first quarter of fiscal 2020. The Company determined there was no cumulative-effect transition adjustment to the opening balance of accumulated deficit for recognition of additional credit losses upon adoption of this standard as of January 1, 2020 based on its outstanding accounts receivable, the composition and credit quality of its short-term investments, and current economic conditions as of that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adds and modifies certain disclosure requirements for fair value measurements.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was effective for the Company starting in the first quarter of fiscal 2020. As a result, the Company modified certain fair value measurement disclosures primarily related to its Level 3 liabilities (see Note 5, “Fair Value Measurements”).</w:t>
      </w:r>
    </w:p>
    <w:p>
      <w:pPr>
        <w:spacing w:after="0" w:line="166" w:lineRule="exact"/>
        <w:rPr>
          <w:sz w:val="20"/>
          <w:szCs w:val="20"/>
          <w:color w:val="auto"/>
        </w:rPr>
      </w:pPr>
    </w:p>
    <w:p>
      <w:pPr>
        <w:ind w:right="100" w:firstLine="810"/>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is in the process of assessing the impact of the adoption of the standard on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Company invests in marketable securities consisting of debt instruments of the U.S. Government, and financial institutions and corporations with strong credit ratings. The following represents a summary of the estimated fair value of short-term investments as of March 31, 2020 and December 31, 2019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March 31, 2020</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20" w:type="dxa"/>
            <w:vAlign w:val="bottom"/>
            <w:gridSpan w:val="3"/>
            <w:vMerge w:val="continue"/>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1140" w:type="dxa"/>
            <w:vAlign w:val="bottom"/>
            <w:tcBorders>
              <w:top w:val="single" w:sz="8" w:color="auto"/>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68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17,352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17,363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Government-sponsored enterprise</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20,255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U.S. Treasury securities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12,814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35,251</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35,228</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0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85,579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85,723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2019</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20" w:type="dxa"/>
            <w:vAlign w:val="bottom"/>
            <w:gridSpan w:val="3"/>
            <w:vMerge w:val="continue"/>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40" w:type="dxa"/>
            <w:vAlign w:val="bottom"/>
            <w:tcBorders>
              <w:bottom w:val="single" w:sz="8" w:color="CFF0FC"/>
            </w:tcBorders>
          </w:tcPr>
          <w:p>
            <w:pPr>
              <w:spacing w:after="0" w:line="20" w:lineRule="exact"/>
              <w:rPr>
                <w:sz w:val="1"/>
                <w:szCs w:val="1"/>
                <w:color w:val="auto"/>
              </w:rPr>
            </w:pPr>
          </w:p>
        </w:tc>
        <w:tc>
          <w:tcPr>
            <w:tcW w:w="1140" w:type="dxa"/>
            <w:vAlign w:val="bottom"/>
            <w:tcBorders>
              <w:top w:val="single" w:sz="8" w:color="auto"/>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CFF0FC"/>
            </w:tcBorders>
          </w:tcPr>
          <w:p>
            <w:pPr>
              <w:spacing w:after="0" w:line="20" w:lineRule="exact"/>
              <w:rPr>
                <w:sz w:val="1"/>
                <w:szCs w:val="1"/>
                <w:color w:val="auto"/>
              </w:rPr>
            </w:pPr>
          </w:p>
        </w:tc>
        <w:tc>
          <w:tcPr>
            <w:tcW w:w="268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24,147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Government-sponsored enterprise</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33,073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33,099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U.S. Treasury securities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17,963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50,011</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125,194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125,283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70" w:lineRule="exact"/>
        <w:rPr>
          <w:sz w:val="20"/>
          <w:szCs w:val="20"/>
          <w:color w:val="auto"/>
        </w:rPr>
      </w:pPr>
    </w:p>
    <w:p>
      <w:pPr>
        <w:ind w:right="140" w:firstLine="810"/>
        <w:spacing w:after="0" w:line="271"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impaired due to changes in credit risk or other potential valuation concerns. Unrealized losses on available-for-sale debt securities at March 31, 2020 were not significant and were due to changes in interest rates, including credit spreads from perceived increased credit risks as a result of the novel coronavirus (COVID-19) global pandemic.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that are in an unrealized loss position, and the Company’s estimates of future cash flows to be collected from those securities, the Company believes the unrealized losses are not credit losses. Accordingly, at March 31, 2020, the Company has not recorded an allowance for credit losses related to its available-for-sale debt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w w:val="94"/>
              </w:rPr>
              <w:t>December 31,</w:t>
            </w:r>
          </w:p>
        </w:tc>
      </w:tr>
      <w:tr>
        <w:trPr>
          <w:trHeight w:val="46"/>
        </w:trPr>
        <w:tc>
          <w:tcPr>
            <w:tcW w:w="84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31"/>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49,889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Accounts receivable,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46,585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the estimated allowance for expected accounts receivable credit losses for the three months ended March 31, 2020 and 2019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March 31, 2020</w:t>
            </w:r>
          </w:p>
        </w:tc>
        <w:tc>
          <w:tcPr>
            <w:tcW w:w="140" w:type="dxa"/>
            <w:vAlign w:val="bottom"/>
          </w:tcPr>
          <w:p>
            <w:pPr>
              <w:spacing w:after="0"/>
              <w:rPr>
                <w:sz w:val="20"/>
                <w:szCs w:val="20"/>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Provision for expected credit losses</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and adjustments, net of recoveries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tcPr>
          <w:p>
            <w:pPr>
              <w:ind w:left="820"/>
              <w:spacing w:after="0"/>
              <w:rPr>
                <w:sz w:val="20"/>
                <w:szCs w:val="20"/>
                <w:color w:val="auto"/>
              </w:rPr>
            </w:pPr>
            <w:r>
              <w:rPr>
                <w:rFonts w:ascii="Arial" w:cs="Arial" w:eastAsia="Arial" w:hAnsi="Arial"/>
                <w:sz w:val="18"/>
                <w:szCs w:val="18"/>
                <w:color w:val="auto"/>
                <w:w w:val="96"/>
              </w:rPr>
              <w:t>Inventories consisted of the following as of March 31, 2020 and December 31, 2019 (in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24"/>
                <w:szCs w:val="2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31,795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14,131</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36"/>
        </w:trPr>
        <w:tc>
          <w:tcPr>
            <w:tcW w:w="8440" w:type="dxa"/>
            <w:vAlign w:val="bottom"/>
          </w:tcPr>
          <w:p>
            <w:pPr>
              <w:ind w:left="28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60,469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49,073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2" w:lineRule="exact"/>
        <w:rPr>
          <w:sz w:val="20"/>
          <w:szCs w:val="20"/>
          <w:color w:val="auto"/>
        </w:rPr>
      </w:pPr>
    </w:p>
    <w:p>
      <w:pPr>
        <w:ind w:left="820" w:right="440" w:hanging="809"/>
        <w:spacing w:after="0" w:line="277" w:lineRule="auto"/>
        <w:tabs>
          <w:tab w:leader="none" w:pos="800" w:val="left"/>
        </w:tabs>
        <w:rPr>
          <w:sz w:val="20"/>
          <w:szCs w:val="20"/>
          <w:color w:val="auto"/>
        </w:rPr>
      </w:pPr>
      <w:r>
        <w:rPr>
          <w:rFonts w:ascii="Arial" w:cs="Arial" w:eastAsia="Arial" w:hAnsi="Arial"/>
          <w:sz w:val="18"/>
          <w:szCs w:val="18"/>
          <w:color w:val="auto"/>
        </w:rPr>
        <w:t>Level 1:</w:t>
        <w:tab/>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820" w:right="260" w:hanging="809"/>
        <w:spacing w:after="0" w:line="277" w:lineRule="auto"/>
        <w:tabs>
          <w:tab w:leader="none" w:pos="800" w:val="left"/>
        </w:tabs>
        <w:rPr>
          <w:sz w:val="20"/>
          <w:szCs w:val="20"/>
          <w:color w:val="auto"/>
        </w:rPr>
      </w:pPr>
      <w:r>
        <w:rPr>
          <w:rFonts w:ascii="Arial" w:cs="Arial" w:eastAsia="Arial" w:hAnsi="Arial"/>
          <w:sz w:val="18"/>
          <w:szCs w:val="18"/>
          <w:color w:val="auto"/>
        </w:rPr>
        <w:t>Level 2:</w:t>
        <w:tab/>
        <w:t>Inputs, other than quoted prices in active markets, that are observable either directly or indirectly for substantially the full term of the asset or liability.</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right="220" w:hanging="809"/>
        <w:spacing w:after="0" w:line="277" w:lineRule="auto"/>
        <w:tabs>
          <w:tab w:leader="none" w:pos="800" w:val="left"/>
        </w:tabs>
        <w:rPr>
          <w:sz w:val="20"/>
          <w:szCs w:val="20"/>
          <w:color w:val="auto"/>
        </w:rPr>
      </w:pPr>
      <w:r>
        <w:rPr>
          <w:rFonts w:ascii="Arial" w:cs="Arial" w:eastAsia="Arial" w:hAnsi="Arial"/>
          <w:sz w:val="18"/>
          <w:szCs w:val="18"/>
          <w:color w:val="auto"/>
        </w:rPr>
        <w:t>Level 3:</w:t>
        <w:tab/>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March 31, 2020 and December 31, 2019, and indicates the fair value hierarchy of the valuation techniques utilized by the Company to determine such fair value (in thousands):</w:t>
      </w:r>
    </w:p>
    <w:p>
      <w:pPr>
        <w:spacing w:after="0" w:line="337"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13335</wp:posOffset>
            </wp:positionV>
            <wp:extent cx="2914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69,346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69,346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20,318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35,228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82,160</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72,909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25,290</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84"/>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2"/>
        </w:trPr>
        <w:tc>
          <w:tcPr>
            <w:tcW w:w="5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5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22"/>
                <w:szCs w:val="22"/>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49,077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33,099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33,099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67,056</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23,509</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7" w:lineRule="exact"/>
        <w:rPr>
          <w:sz w:val="20"/>
          <w:szCs w:val="20"/>
          <w:color w:val="auto"/>
        </w:rPr>
      </w:pPr>
    </w:p>
    <w:p>
      <w:pPr>
        <w:ind w:right="160" w:firstLine="810"/>
        <w:spacing w:after="0" w:line="279" w:lineRule="auto"/>
        <w:rPr>
          <w:sz w:val="20"/>
          <w:szCs w:val="20"/>
          <w:color w:val="auto"/>
        </w:rPr>
      </w:pPr>
      <w:r>
        <w:rPr>
          <w:rFonts w:ascii="Arial" w:cs="Arial" w:eastAsia="Arial" w:hAnsi="Arial"/>
          <w:sz w:val="17"/>
          <w:szCs w:val="17"/>
          <w:color w:val="auto"/>
        </w:rPr>
        <w:t>The Company’s Level 3 liabilities at March 31, 2020 and December 31, 2019 include the Series A warrants issued by the Company in connection with the public offering of common stock in October 2017. The Series A warrants have a term of five years and initially provided holders the right to purchase 4,630,000 shares of the Company’s common stock at an exercise price of $3.50 per share. The Series A warrants were initially valued in the aggregate amount of $5.2 million on the date of issuance utilizing a Black-Scholes pricing model.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85"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expected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March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2020 and December 31, 2019 are presented below:</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2020</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7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740" w:type="dxa"/>
            <w:vAlign w:val="bottom"/>
          </w:tcPr>
          <w:p>
            <w:pPr>
              <w:jc w:val="right"/>
              <w:ind w:right="1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4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263"/>
        </w:trPr>
        <w:tc>
          <w:tcPr>
            <w:tcW w:w="7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23,509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17,926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Loss recognized from the change in fair value of common stock warrants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12,746</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fair value from warrants exercised during the period</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36"/>
        </w:trPr>
        <w:tc>
          <w:tcPr>
            <w:tcW w:w="776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25,290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29,762</w:t>
            </w: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810"/>
        <w:spacing w:after="0" w:line="342" w:lineRule="auto"/>
        <w:rPr>
          <w:sz w:val="20"/>
          <w:szCs w:val="20"/>
          <w:color w:val="auto"/>
        </w:rPr>
      </w:pPr>
      <w:r>
        <w:rPr>
          <w:rFonts w:ascii="Arial" w:cs="Arial" w:eastAsia="Arial" w:hAnsi="Arial"/>
          <w:sz w:val="16"/>
          <w:szCs w:val="16"/>
          <w:color w:val="auto"/>
        </w:rPr>
        <w:t>Of the loss recognized from the change in fair value of common stock warrants for the three months ended March 31, 2020 and 2019, $1.9 million and $12.5 million, respectively, was attributable to the change in the unrealized loss related to warrants outstanding as of March 31, 2020 and 2019.</w:t>
      </w:r>
    </w:p>
    <w:p>
      <w:pPr>
        <w:spacing w:after="0" w:line="124" w:lineRule="exact"/>
        <w:rPr>
          <w:sz w:val="20"/>
          <w:szCs w:val="20"/>
          <w:color w:val="auto"/>
        </w:rPr>
      </w:pPr>
    </w:p>
    <w:p>
      <w:pPr>
        <w:ind w:right="180" w:firstLine="810"/>
        <w:spacing w:after="0" w:line="286" w:lineRule="auto"/>
        <w:rPr>
          <w:sz w:val="20"/>
          <w:szCs w:val="20"/>
          <w:color w:val="auto"/>
        </w:rPr>
      </w:pPr>
      <w:r>
        <w:rPr>
          <w:rFonts w:ascii="Arial" w:cs="Arial" w:eastAsia="Arial" w:hAnsi="Arial"/>
          <w:sz w:val="17"/>
          <w:szCs w:val="17"/>
          <w:color w:val="auto"/>
        </w:rPr>
        <w:t>During the three months ended March 31, 2020 and 2019, the Company issued 2,115 shares and 18,285 shares of common stock, respectively, upon the exercise of Series A warrants issued in October 2017. As of March 31, 2020 and 2019, there were Series A warrants outstanding to purchase 415,200 shares and 492,500 shares, respectively, of the Company’s common stock (see Note 7,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and its related amendments (collectively referred to as ASC</w:t>
      </w:r>
    </w:p>
    <w:p>
      <w:pPr>
        <w:spacing w:after="0" w:line="46" w:lineRule="exact"/>
        <w:rPr>
          <w:sz w:val="20"/>
          <w:szCs w:val="20"/>
          <w:color w:val="auto"/>
        </w:rPr>
      </w:pPr>
    </w:p>
    <w:p>
      <w:pPr>
        <w:ind w:right="40" w:firstLine="8"/>
        <w:spacing w:after="0" w:line="252"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requires lessees to recognize right-of-use assets and corresponding lease liabilities for all leases with lease terms of greater than 12 months. The new standard was effective for the Company starting in the first quarter of fiscal 2019. The Company adopted the new standard using the modified retrospective approach and recognized right-of-use leased assets and corresponding operating lease liabilities of $12.4 million on the consolidated balance sheet as of January 1, 2019. The Company did not restate prior periods. Deferred rent of $1.0 million and $3.8 million as of January 1, 2019 was reclassified from other current liabilities and deferred rent long-term, respectively, to a reduction of the right-of-use leased assets in connection with the adoption of the standard.</w:t>
      </w:r>
    </w:p>
    <w:p>
      <w:pPr>
        <w:spacing w:after="0" w:line="194"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The Company’s leases consist primarily of operating leases for general office space, laboratory, manufacturing and warehouse facilities, and equipment.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 For lease agreements entered into or reassessed after the adoption of ASC 842, the Company combines lease and non-lease components.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84"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In January 2019, the Company entered into a lease agreement for approximately 25,332 square feet of additional general administrative office space (Initial Premises) located on Vista Sorrento Parkway, in San Diego, California (Vista Sorrento Lease). The lease term for the Initial Premises commenced in March 2019 and expires in September 2022. In May 2019, the Company entered into a First Amendment to the Vista Sorrento Lease (First Amendment) to expand the leased premises by adding approximately 33,681 square feet of additional general administrative office space (Expansion Space), and to extend the lease term for the Initial Premises through January 2023. The lease term for the Expansion Space commenced in May 2019 and expires in January 2023. The Company has a one-time option to extend the term of the Vista Sorrento Lease, covering both the Initial Premises and the Expansion Space, for a period of four years. The Company recognized right-of-use leased assets and corresponding operating lease liabilities of $3.1 million on the consolidated balance sheet in the first quarter of 2019 related to the Initial Premises, and $4.7 million related to the First Amendment.</w:t>
      </w:r>
    </w:p>
    <w:p>
      <w:pPr>
        <w:spacing w:after="0" w:line="165"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In November 2019, the Company entered into a lease agreement for approximately 94,562 square feet of additional general office space located on Shoreline Drive, in Boise, Idaho (Shoreline Lease). Subject to limited exceptions, the initial lease term is expected to begin on the earlier of (i) the date on which the Company substantially completes certain specified work related to tenant improvements, (ii) the date on which the Company begins use of the premises for their intended purpose, or (iii) July 1, 2020, and will expire 84 months from the first day of the first full month following the start of the lease term. The Company has a one-time option to extend the term of the Shoreline Lease for a period of three years. The Company recognized right-of-use leased assets and corresponding operating lease liabilities of approximately $6.5 million on the consolidated balance sheet on the Commencement Date in the first quarter of 2020. Future minimum payments due under the Shoreline Lease are approximately $8.2 million as of March 31, 2020.</w:t>
      </w:r>
    </w:p>
    <w:p>
      <w:pPr>
        <w:spacing w:after="0" w:line="166" w:lineRule="exact"/>
        <w:rPr>
          <w:sz w:val="20"/>
          <w:szCs w:val="20"/>
          <w:color w:val="auto"/>
        </w:rPr>
      </w:pPr>
    </w:p>
    <w:p>
      <w:pPr>
        <w:ind w:right="100" w:firstLine="810"/>
        <w:spacing w:after="0" w:line="301" w:lineRule="auto"/>
        <w:rPr>
          <w:sz w:val="20"/>
          <w:szCs w:val="20"/>
          <w:color w:val="auto"/>
        </w:rPr>
      </w:pPr>
      <w:r>
        <w:rPr>
          <w:rFonts w:ascii="Arial" w:cs="Arial" w:eastAsia="Arial" w:hAnsi="Arial"/>
          <w:sz w:val="16"/>
          <w:szCs w:val="16"/>
          <w:color w:val="auto"/>
        </w:rPr>
        <w:t>In January 2020, the Company entered into a sub-lease agreement for approximately 30,703 square feet of general office space located on High Bluff Drive, in San Diego, California (High Bluff Lease). The lease term begins in April 2020 and expires in March 2022. The Company recognized right-of-use leased assets and corresponding operating lease liabilities of approximately $2.3 million on the consolidated balance sheet on the Commencement Date in the first quarter of 2020. Future minimum payments due under the High Bluff Lease are approximately $2.4 million as of March 31, 2020.</w:t>
      </w:r>
    </w:p>
    <w:p>
      <w:pPr>
        <w:spacing w:after="0" w:line="238"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The Company’s total lease cost recorded in the condensed consolidated statements of operations was $1.8 million and $0.7 million, respectively, for the three months ended March 31, 2020 and 2019, which included $1.7 million and $0.7 million, respectively, of operating lease cost and $0.1 million of short-term lease cost in 2020. Cash paid for amounts included in the measurement of lease liabilities, representing operating cash flows from operating leases, was $1.6 million and $0.9 million for the three months ended March 31, 2020 and 2019, respectively.</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Maturities of operating lease liabilities at March 31, 2020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4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4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FF0FC"/>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2021</w:t>
            </w:r>
          </w:p>
        </w:tc>
        <w:tc>
          <w:tcPr>
            <w:tcW w:w="4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2023</w:t>
            </w:r>
          </w:p>
        </w:tc>
        <w:tc>
          <w:tcPr>
            <w:tcW w:w="4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undiscounted lease payments</w:t>
            </w:r>
          </w:p>
        </w:tc>
        <w:tc>
          <w:tcPr>
            <w:tcW w:w="4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31,974</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4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4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4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488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880" w:type="dxa"/>
            <w:vAlign w:val="bottom"/>
            <w:vMerge w:val="restart"/>
          </w:tcPr>
          <w:p>
            <w:pPr>
              <w:jc w:val="right"/>
              <w:ind w:right="3630"/>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810"/>
        <w:spacing w:after="0" w:line="286" w:lineRule="auto"/>
        <w:rPr>
          <w:sz w:val="20"/>
          <w:szCs w:val="20"/>
          <w:color w:val="auto"/>
        </w:rPr>
      </w:pPr>
      <w:r>
        <w:rPr>
          <w:rFonts w:ascii="Arial" w:cs="Arial" w:eastAsia="Arial" w:hAnsi="Arial"/>
          <w:sz w:val="17"/>
          <w:szCs w:val="17"/>
          <w:color w:val="auto"/>
        </w:rPr>
        <w:t>As of March 31, 2020, the weighted average remaining lease term for operating leases was 4.1 years and the weighted-average discount rate used to determine the operating lease liabilities was 6.3%. As of December 31, 2019, the weighted average remaining lease term for operating leases was 3.6 years and the weighted-average discount rate used to determine the operating lease liabilities was 6.6%.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gridSpan w:val="2"/>
          </w:tcPr>
          <w:p>
            <w:pPr>
              <w:ind w:left="820"/>
              <w:spacing w:after="0"/>
              <w:rPr>
                <w:sz w:val="20"/>
                <w:szCs w:val="20"/>
                <w:color w:val="auto"/>
              </w:rPr>
            </w:pPr>
            <w:r>
              <w:rPr>
                <w:rFonts w:ascii="Arial" w:cs="Arial" w:eastAsia="Arial" w:hAnsi="Arial"/>
                <w:sz w:val="18"/>
                <w:szCs w:val="18"/>
                <w:color w:val="auto"/>
                <w:w w:val="94"/>
              </w:rPr>
              <w:t>The following shares of the Company’s common stock were reserved for future issuance as of March 31, 2020 (in thousands):</w:t>
            </w:r>
          </w:p>
        </w:tc>
        <w:tc>
          <w:tcPr>
            <w:tcW w:w="980" w:type="dxa"/>
            <w:vAlign w:val="bottom"/>
          </w:tcPr>
          <w:p>
            <w:pPr>
              <w:spacing w:after="0"/>
              <w:rPr>
                <w:sz w:val="20"/>
                <w:szCs w:val="20"/>
                <w:color w:val="auto"/>
              </w:rPr>
            </w:pPr>
          </w:p>
        </w:tc>
      </w:tr>
      <w:tr>
        <w:trPr>
          <w:trHeight w:val="351"/>
        </w:trPr>
        <w:tc>
          <w:tcPr>
            <w:tcW w:w="9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1026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Shares underlying outstanding warrants</w:t>
            </w:r>
          </w:p>
        </w:tc>
        <w:tc>
          <w:tcPr>
            <w:tcW w:w="9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10260" w:type="dxa"/>
            <w:vAlign w:val="bottom"/>
            <w:gridSpan w:val="2"/>
          </w:tcPr>
          <w:p>
            <w:pPr>
              <w:ind w:left="40"/>
              <w:spacing w:after="0"/>
              <w:rPr>
                <w:sz w:val="20"/>
                <w:szCs w:val="20"/>
                <w:color w:val="auto"/>
              </w:rPr>
            </w:pPr>
            <w:r>
              <w:rPr>
                <w:rFonts w:ascii="Arial" w:cs="Arial" w:eastAsia="Arial" w:hAnsi="Arial"/>
                <w:sz w:val="18"/>
                <w:szCs w:val="18"/>
                <w:color w:val="auto"/>
              </w:rPr>
              <w:t>Shares underlying outstanding stock options</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6,684</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6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Shares authorized for future equity award grants</w:t>
            </w:r>
          </w:p>
        </w:tc>
        <w:tc>
          <w:tcPr>
            <w:tcW w:w="9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2,961</w:t>
            </w:r>
          </w:p>
        </w:tc>
      </w:tr>
      <w:tr>
        <w:trPr>
          <w:trHeight w:val="243"/>
        </w:trPr>
        <w:tc>
          <w:tcPr>
            <w:tcW w:w="10260" w:type="dxa"/>
            <w:vAlign w:val="bottom"/>
            <w:gridSpan w:val="2"/>
          </w:tcPr>
          <w:p>
            <w:pPr>
              <w:ind w:left="4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978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97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12,042</w:t>
            </w:r>
          </w:p>
        </w:tc>
      </w:tr>
      <w:tr>
        <w:trPr>
          <w:trHeight w:val="20"/>
        </w:trPr>
        <w:tc>
          <w:tcPr>
            <w:tcW w:w="97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100" w:firstLine="810"/>
        <w:spacing w:after="0" w:line="272" w:lineRule="auto"/>
        <w:rPr>
          <w:sz w:val="20"/>
          <w:szCs w:val="20"/>
          <w:color w:val="auto"/>
        </w:rPr>
      </w:pPr>
      <w:r>
        <w:rPr>
          <w:rFonts w:ascii="Arial" w:cs="Arial" w:eastAsia="Arial" w:hAnsi="Arial"/>
          <w:sz w:val="17"/>
          <w:szCs w:val="17"/>
          <w:color w:val="auto"/>
        </w:rPr>
        <w:t>As of March 31, 2020, there were Series A warrants outstanding to purchase 415,200 shares of the Company’s common stock at an exercise price of $3.50 per share, which were issued in connection with a financing in October 2017, and which expire in October 2022. Also outstanding as of March 31, 2020, were warrants to purchase 193,788 shares of the Company’s common stock at an exercise price of $23.50 per share, which were issued in March 2017, and which expire in March 2027, and warrants to purchase 95,781 shares of the Company’s common stock at an exercise price of $73.73 per share, which were issued between August 2011 and August 2012, and which expire between August 2021 and August 2022. The Company issued 2,320 shares of its common stock upon the exercise of warrants during the three months ended March 31, 2020, and 18,285 shares of its common stock upon the exercise of warrants during the three months ended March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The Company issued 672,442 and 408,964 shares, respectively, of its common stock upon the exercise of stock options during the three months ended March 31, 2020 and 2019.</w:t>
      </w:r>
    </w:p>
    <w:p>
      <w:pPr>
        <w:spacing w:after="0" w:line="170" w:lineRule="exact"/>
        <w:rPr>
          <w:sz w:val="20"/>
          <w:szCs w:val="20"/>
          <w:color w:val="auto"/>
        </w:rPr>
      </w:pPr>
    </w:p>
    <w:p>
      <w:pPr>
        <w:ind w:right="40" w:firstLine="810"/>
        <w:spacing w:after="0" w:line="311" w:lineRule="auto"/>
        <w:rPr>
          <w:sz w:val="20"/>
          <w:szCs w:val="20"/>
          <w:color w:val="auto"/>
        </w:rPr>
      </w:pPr>
      <w:r>
        <w:rPr>
          <w:rFonts w:ascii="Arial" w:cs="Arial" w:eastAsia="Arial" w:hAnsi="Arial"/>
          <w:sz w:val="16"/>
          <w:szCs w:val="16"/>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 There were no shares of common stock purchased under the ESPP in the three months ended March 31, 2020 and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The Company granted options to purchase 229,911 shares and 1,294,053 shares of common stock, respectively, under the 2013 Plan during the three months ended March 31, 2020 and 2019.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187"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addition, during the three months ended March 31, 2019, the Company awarded stock options to purchase 1,035,000 shares of common stock, which were subject to and conditioned upon the approval by its stockholders of an increase in the number of shares of common stock reserved for issuance under our 2013 Plan prior to December 31, 2019. No stock-based compensation expense was recognized for these contingent stock option grants during the three months ended March 31, 2019, because the approval by our stockholders of the increase in the number of shares of common stock reserved for issuance under our 2013 Plan did not occur until June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379"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23495</wp:posOffset>
            </wp:positionV>
            <wp:extent cx="1868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13335</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49"/>
        </w:trPr>
        <w:tc>
          <w:tcPr>
            <w:tcW w:w="918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$43.40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$32.51</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8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72.5%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8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91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6.1</w:t>
            </w:r>
          </w:p>
        </w:tc>
      </w:tr>
      <w:tr>
        <w:trPr>
          <w:trHeight w:val="27"/>
        </w:trPr>
        <w:tc>
          <w:tcPr>
            <w:tcW w:w="83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810"/>
        <w:spacing w:after="0" w:line="308" w:lineRule="auto"/>
        <w:rPr>
          <w:sz w:val="20"/>
          <w:szCs w:val="20"/>
          <w:color w:val="auto"/>
        </w:rPr>
      </w:pPr>
      <w:r>
        <w:rPr>
          <w:rFonts w:ascii="Arial" w:cs="Arial" w:eastAsia="Arial" w:hAnsi="Arial"/>
          <w:sz w:val="17"/>
          <w:szCs w:val="17"/>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w:t>
      </w:r>
    </w:p>
    <w:p>
      <w:pPr>
        <w:spacing w:after="0" w:line="146"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 of operations (in thousands):</w:t>
      </w:r>
    </w:p>
    <w:p>
      <w:pPr>
        <w:spacing w:after="0" w:line="32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1,139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7,000</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1,695</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9,834</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$1.3 million and $1.3 million as of March 31, 2020 and December 31, 2019, respectively.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color w:val="auto"/>
        </w:rPr>
        <w:t>For the three months ended March 31, 2020, the Company’s income tax expense is primarily attributable to state and foreign income tax expense as a result of current taxable income in those jurisdictions. The Company used the year-to-date effective tax rate method to determine its interim income tax expense for federal and state jurisdictions where a reliable estimate of the annual effective tax rate could not be made.</w:t>
      </w:r>
    </w:p>
    <w:p>
      <w:pPr>
        <w:spacing w:after="0" w:line="165"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 Company maintains a full valuation allowance against its net deferred tax assets as of March 31, 2020 based on the current assessment that it is not more likely than not these future benefits will be realized before expiration.</w:t>
      </w:r>
    </w:p>
    <w:p>
      <w:pPr>
        <w:spacing w:after="0" w:line="170" w:lineRule="exact"/>
        <w:rPr>
          <w:sz w:val="20"/>
          <w:szCs w:val="20"/>
          <w:color w:val="auto"/>
        </w:rPr>
      </w:pPr>
    </w:p>
    <w:p>
      <w:pPr>
        <w:ind w:right="240" w:firstLine="810"/>
        <w:spacing w:after="0" w:line="254"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some of the more significant provisions which are expected to impact the Company’s financial statements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Due to the recent enactment of the CARES Act, the Company is unable to quantify the impact, if any, that the CARES Act will have on its financial position, results of operations or cash flows but it is not anticipated to be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From time to time, the Company may be subject to legal proceedings or regulatory matters arising in the ordinary course of business, including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As of March 31, 2020 and December 31, 2019,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March 31, 2020 (Quarterly Report).</w:t>
      </w:r>
    </w:p>
    <w:p>
      <w:pPr>
        <w:spacing w:after="0" w:line="17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financing plans and objectives, product launches, distribution plans, clinical trials, regulatory approvals and competitive environment. We caution you that the foregoing list may not include all of the forward-looking statements made in this Quarterly Report.</w:t>
      </w:r>
    </w:p>
    <w:p>
      <w:pPr>
        <w:spacing w:after="0" w:line="185"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In particular, as discussed in greater detail below, our financial condition and results could be materially adversely affected by the impacts and disruptions caused by the novel coronavirus (COVID-19) global pandemic. You should read this Quarterly Report with the understanding that our actual future financial condition and results may be materially different from and worse than what we expect.</w:t>
      </w:r>
    </w:p>
    <w:p>
      <w:pPr>
        <w:spacing w:after="0" w:line="181" w:lineRule="exact"/>
        <w:rPr>
          <w:sz w:val="20"/>
          <w:szCs w:val="20"/>
          <w:color w:val="auto"/>
        </w:rPr>
      </w:pPr>
    </w:p>
    <w:p>
      <w:pPr>
        <w:ind w:right="24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5"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810"/>
        <w:spacing w:after="0" w:line="290" w:lineRule="auto"/>
        <w:rPr>
          <w:sz w:val="20"/>
          <w:szCs w:val="20"/>
          <w:color w:val="auto"/>
        </w:rPr>
      </w:pPr>
      <w:r>
        <w:rPr>
          <w:rFonts w:ascii="Arial" w:cs="Arial" w:eastAsia="Arial" w:hAnsi="Arial"/>
          <w:sz w:val="16"/>
          <w:szCs w:val="16"/>
          <w:color w:val="auto"/>
        </w:rPr>
        <w:t>We are a medical device company with an innovative approach to the design, development and commercialization of products for people with insulin-dependent diabetes.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which is capable of remote feature updates and is designed to display continuous glucose monitoring (CGM) sensor information directly on the pump home screen, as well as our complementary product offerings, such as our t:connect data management application (t:connect) and the Tandem Device Updater. We aim to improve and simplify the lives of people with diabetes and those of their healthcare providers, by delivering innovative hardware and software solutions, as well as best-in-class customer support.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810"/>
        <w:spacing w:after="0" w:line="270"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pumps in the United States since 2012, two of which we also launched outside the United States since 2018. Four of our insulin pumps have featured integration with CGM technology, of which two have also featured an automated insulin delivery (AID) algorithm. The United States Food and Drug Administration (FDA) has defined requirements for the interoperability of devices as a complete AID system, which we believe will help support continued rapid innovation by streamlining the regulatory pathway for integrated products. This interoperability designation is comprised of three categories: alternate controller enabled (ACE) infusion pumps, integrated continuous glucose monitor (iCGM) devices, and interoperable automated glycemic controller (iAGC) technology. In June 2018, the t:slim X2 was the first insulin pump designated as compatible with iCGM devices; in February 2019 the t:slim X2 was the first insulin pump to receive ACE pump designation, and in December 2019 our Control-IQ technology for the t:slim X2 was cleared as the first iAGC.</w:t>
      </w:r>
    </w:p>
    <w:p>
      <w:pPr>
        <w:spacing w:after="0" w:line="181"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In the four-year period ended March 31, 2020, we shipped approximately 155,000 insulin pumps, which is representative of our estimated global installed customer base, assuming the typical four-year reimbursement cycle. Approximately 127,000 of these pumps were shipped to customers in the United States and approximately 28,000 were shipped to international markets.</w:t>
      </w:r>
    </w:p>
    <w:p>
      <w:pPr>
        <w:spacing w:after="0" w:line="184"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Today, our t:slim X2 hardware platform represents 100% of our new pump shipments. The simple-to-use t:slim X2 is the smallest durable insulin pump available, and the only commercial insulin pump that allows users to update their pumps’ software quickly and easily from a personal computer using our revolutionary Tandem Device Updater tool. This unique offering positions us to bring future innovations, including our next generation AID algorithms, to our in-warranty t:slim X2 customers faster than the industry has been able to in the past and independent of the typical four-year insurance pump reimbursement cycle. We have offered in-warranty t:slim customers in the United States four different software updates for no-cost since the Tandem Device Updater was approved in July 2016, including our two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to deliver automatic correction boluses in addition to adjusting insulin to help prevent high and low blood sugar. Outside the United States we began selling efforts with t:slim X2 with Dexcom G5 CGM integration in the third quarter of 2018, offering no-cost software updates for Basal-IQ technology in the third quarter of 2019, and intend to begin offering Control-IQ technology updates in select geographies in the second half of 2020, subject to required regulatory and reimbursement approvals.</w:t>
      </w:r>
    </w:p>
    <w:p>
      <w:pPr>
        <w:spacing w:after="0" w:line="168"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84"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For the three months ended March 31, 2020 and 2019, our consolidated sales were $97.9 million and $66.0 million, respectively. For the three months ended March 31, 2020 and 2019, our net loss was $14.9 million and $23.0 million, respectively. Worldwide pump sales accounted for 61% and 70% of our total sales, respectively, for the three months ended March 31, 2020 and 2019, while pump-related supplies and accessories accounted for the remainder in each year. Our accumulated deficit as of March 31, 2020 and December 31, 2019 was $639.7 million and $624.8 million, respectively. These amounts included $234.4 million and $216.6 million of accumulated non-cash stock-based compensation charges and non-cash charges from the change in fair value of common stock warrants as of March 31, 2020 and December 31, 2019, respectively.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810"/>
        <w:spacing w:after="0" w:line="268" w:lineRule="auto"/>
        <w:rPr>
          <w:sz w:val="20"/>
          <w:szCs w:val="20"/>
          <w:color w:val="auto"/>
        </w:rPr>
      </w:pPr>
      <w:r>
        <w:rPr>
          <w:rFonts w:ascii="Arial" w:cs="Arial" w:eastAsia="Arial" w:hAnsi="Arial"/>
          <w:sz w:val="17"/>
          <w:szCs w:val="17"/>
          <w:color w:val="auto"/>
        </w:rPr>
        <w:t xml:space="preserve">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geographies outside of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the study using Control-IQ technology that was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in October 2019,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the Tandem Device Updater,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and Considerations</w:t>
      </w:r>
    </w:p>
    <w:p>
      <w:pPr>
        <w:spacing w:after="0" w:line="22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are deemed an essential healthcare business under applicable governmental orders based on the critical nature of the products we offer and the community we serve. During the first quarter of 2020, we experienced a modest impact from the COVID-19 global pandemic. However we anticipate that our sales and operating results will be adversely impacted in the coming months. We currently anticipate our sales outside the United States may experience a greater proportional impact due to differences in the sales process in domestic versus international markets. Additionally, the initiation of certain programs planned for the second quarter, such as human factors studies associated with our product development efforts, will likely be delayed. The full extent of the impact of COVID-19 on our business and operations is currently not estimable and will depend on a number of factors including the scope and duration of the global pandemic.</w:t>
      </w:r>
    </w:p>
    <w:p>
      <w:pPr>
        <w:spacing w:after="0" w:line="195"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We have taken steps to prioritize the health and safety of our employees and customers during this pandemic, while working to maintain a continuous supply of products, training and customer support. To that end, we have increased the frequency of our communications to employees, suppliers, customers, and healthcare providers. In March 2020, we restricted non-essential employee travel, banned visitors from all of our facilities, and transitioned those employees able to perform their job function outside of our facilities to a remote work environment. For our field-based sales and clinical employees, we have discontinued in-person activities and are utilizing technology to remotely engage healthcare providers and customers. For our employees in manufacturing and warehousing positions involved in production and fulfillment operations, we have implemented preventative measures to comply with social distancing requirements and have taken measures to help ensure safety, including requiring temperature checks for our employees before each shift.</w:t>
      </w:r>
    </w:p>
    <w:p>
      <w:pPr>
        <w:spacing w:after="0" w:line="192"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response to developments surrounding the COVID-19 global pandemic, we initiated discussions with our key suppliers in early 2020 regarding their abilities to fulfill existing orders, and we have continued to regularly assess their capacity. At this time, we believe many of our suppliers are deemed essential businesses under applicable governmental orders, and we do not anticipate disruption in our ability to manufacture insulin pumps and cartridges due to component procurement limitations. Our finished goods and raw material inventory for insulin pumps, as well as available manufacturing capacity, meet or exceed our target levels and position us well to respond to unforeseen disruptions in the near term.</w:t>
      </w:r>
    </w:p>
    <w:p>
      <w:pPr>
        <w:spacing w:after="0" w:line="176"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More recently, we observed customers purchasing cartridges and infusion sets at a higher rate than anticipated. Currently, our inventory for finished cartridges and infusion sets is below our targeted level. Near the end of the first quarter, our third-party cartridge manufacturer completed validation and commenced commercial-scale manufacturing to supplement our existing cartridge manufacturing capacity, which we believe will assist us in meeting product demand and allow us to build inventory levels in line with our targets. In addition, our primary infusion set manufacturer is currently working through inventory constraints and we have asked some customers to accept substitutions of similar products to prevent delays in order fulfillment. We are carefully managing our pump supplies inventory while we work to overcome these temporary challenges.</w:t>
      </w:r>
    </w:p>
    <w:p>
      <w:pPr>
        <w:spacing w:after="0" w:line="178"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Commercially, we have been communicating with our customers and healthcare providers through social media, direct email outreach and our website, in addition to the regular communications from the supporting sales and clinical employees. We are leveraging the availability of our technology platforms, such as our t:connect diabetes management application, to support healthcare providers as many of them are expanding telehealth capabilities in their practices. By the end of the first quarter, we also expanded our remote new pump training offering to 100% of customers who purchase a t:slim X2 insulin pump.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are prudently managing our use of cash and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recruitment of key employees, advancement of the R&amp;D pipeline and implementation of technology solutions. We will continue to evaluate our business operations based on new information as it becomes available and we intend to make changes that we consider necessary in light of this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40" w:firstLine="810"/>
        <w:spacing w:after="0" w:line="301" w:lineRule="auto"/>
        <w:rPr>
          <w:sz w:val="20"/>
          <w:szCs w:val="20"/>
          <w:color w:val="auto"/>
        </w:rPr>
      </w:pPr>
      <w:r>
        <w:rPr>
          <w:rFonts w:ascii="Arial" w:cs="Arial" w:eastAsia="Arial" w:hAnsi="Arial"/>
          <w:sz w:val="16"/>
          <w:szCs w:val="16"/>
          <w:color w:val="auto"/>
        </w:rPr>
        <w:t>Our products under development support our strategy of focusing on both consumer and clinical needs, and include AID system enhancements, a connected (mobile) health offering and a next-generation hardware platform, which we refer to as the t:sport Insulin Delivery System (t:sport).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57" w:lineRule="exact"/>
        <w:rPr>
          <w:sz w:val="20"/>
          <w:szCs w:val="20"/>
          <w:color w:val="auto"/>
        </w:rPr>
      </w:pPr>
    </w:p>
    <w:p>
      <w:pPr>
        <w:ind w:left="1300" w:right="120" w:hanging="644"/>
        <w:spacing w:after="0" w:line="273"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t:sport Insulin Delivery System - </w:t>
      </w:r>
      <w:r>
        <w:rPr>
          <w:rFonts w:ascii="Arial" w:cs="Arial" w:eastAsia="Arial" w:hAnsi="Arial"/>
          <w:sz w:val="17"/>
          <w:szCs w:val="17"/>
          <w:color w:val="auto"/>
        </w:rPr>
        <w:t>Approximately half the size of our t:slim X2 pump, the t:sport pump is being designed for people who</w:t>
      </w:r>
      <w:r>
        <w:rPr>
          <w:rFonts w:ascii="Arial" w:cs="Arial" w:eastAsia="Arial" w:hAnsi="Arial"/>
          <w:sz w:val="17"/>
          <w:szCs w:val="17"/>
          <w:i w:val="1"/>
          <w:iCs w:val="1"/>
          <w:color w:val="auto"/>
        </w:rPr>
        <w:t xml:space="preserve"> </w:t>
      </w:r>
      <w:r>
        <w:rPr>
          <w:rFonts w:ascii="Arial" w:cs="Arial" w:eastAsia="Arial" w:hAnsi="Arial"/>
          <w:sz w:val="17"/>
          <w:szCs w:val="17"/>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or in advance of full mobile control availability.</w:t>
      </w:r>
    </w:p>
    <w:p>
      <w:pPr>
        <w:spacing w:after="0" w:line="177" w:lineRule="exact"/>
        <w:rPr>
          <w:rFonts w:ascii="Arial" w:cs="Arial" w:eastAsia="Arial" w:hAnsi="Arial"/>
          <w:sz w:val="17"/>
          <w:szCs w:val="17"/>
          <w:color w:val="auto"/>
        </w:rPr>
      </w:pPr>
    </w:p>
    <w:p>
      <w:pPr>
        <w:ind w:left="1300" w:right="60" w:hanging="644"/>
        <w:spacing w:after="0" w:line="296" w:lineRule="auto"/>
        <w:tabs>
          <w:tab w:leader="none" w:pos="13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Connected (Mobile) Health Offerings – </w:t>
      </w:r>
      <w:r>
        <w:rPr>
          <w:rFonts w:ascii="Arial" w:cs="Arial" w:eastAsia="Arial" w:hAnsi="Arial"/>
          <w:sz w:val="16"/>
          <w:szCs w:val="16"/>
          <w:color w:val="auto"/>
        </w:rPr>
        <w:t>We began a limited launch in the first quarter of 2020 and we are preparing for a full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launch in the second quarter of a mobile application that has been designed to utilize the Bluetooth radio integrated with the t:slim X2 to wirelessly upload pump data to the cloud-based t:connect diabetes management application, receive notification of pump alerts and alarms, and provide a discrete, secondary display of glucose and insulin data. Future updates of this app will integrate other health-related information from third-party sources and support future pump-control capabilities for our products under development.</w:t>
      </w:r>
    </w:p>
    <w:p>
      <w:pPr>
        <w:spacing w:after="0" w:line="161" w:lineRule="exact"/>
        <w:rPr>
          <w:rFonts w:ascii="Arial" w:cs="Arial" w:eastAsia="Arial" w:hAnsi="Arial"/>
          <w:sz w:val="16"/>
          <w:szCs w:val="16"/>
          <w:i w:val="1"/>
          <w:iCs w:val="1"/>
          <w:color w:val="auto"/>
        </w:rPr>
      </w:pPr>
    </w:p>
    <w:p>
      <w:pPr>
        <w:ind w:left="1960" w:right="260" w:hanging="656"/>
        <w:spacing w:after="0" w:line="263"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launch of the first generation of this app in the United States allows for the wireless upload of data to t:connect and is intended to reduce patient burden and increase healthcare provider office efficiency by reducing the manual steps historically required for data extraction.</w:t>
      </w:r>
    </w:p>
    <w:p>
      <w:pPr>
        <w:spacing w:after="0" w:line="183" w:lineRule="exact"/>
        <w:rPr>
          <w:rFonts w:ascii="Arial" w:cs="Arial" w:eastAsia="Arial" w:hAnsi="Arial"/>
          <w:sz w:val="18"/>
          <w:szCs w:val="18"/>
          <w:color w:val="auto"/>
        </w:rPr>
      </w:pPr>
    </w:p>
    <w:p>
      <w:pPr>
        <w:ind w:left="1960" w:right="480" w:hanging="656"/>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Over time, we also intend to offer additional features and enhancements to the mobile application, including partial or full control of pump features.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9"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In the four-year period ended March 31, 2020, we shipped approximately 155,000 insulin pumps, of which approximately 127,000 were shipped to customers in the United States and approximately 28,000 were shipped to international markets. In the first quarter of 2020, we shipped 17,378 insulin pumps worldwide compared to 14,732 insulin pumps shipped in the first quarter of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6660" w:type="dxa"/>
            <w:vAlign w:val="bottom"/>
            <w:tcBorders>
              <w:bottom w:val="single" w:sz="8" w:color="auto"/>
            </w:tcBorders>
            <w:gridSpan w:val="9"/>
          </w:tcPr>
          <w:p>
            <w:pPr>
              <w:ind w:left="1300"/>
              <w:spacing w:after="0"/>
              <w:rPr>
                <w:sz w:val="20"/>
                <w:szCs w:val="20"/>
                <w:color w:val="auto"/>
              </w:rPr>
            </w:pPr>
            <w:r>
              <w:rPr>
                <w:rFonts w:ascii="Arial" w:cs="Arial" w:eastAsia="Arial" w:hAnsi="Arial"/>
                <w:sz w:val="14"/>
                <w:szCs w:val="14"/>
                <w:b w:val="1"/>
                <w:bCs w:val="1"/>
                <w:color w:val="auto"/>
                <w:w w:val="95"/>
              </w:rPr>
              <w:t>Pump Units Shipped for Each of the Three Months Ended in Respective Years - U.S.</w:t>
            </w:r>
          </w:p>
        </w:tc>
        <w:tc>
          <w:tcPr>
            <w:tcW w:w="108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49"/>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2012</w:t>
            </w: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1,057</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2013</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6,472</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2014</w:t>
            </w:r>
          </w:p>
        </w:tc>
        <w:tc>
          <w:tcPr>
            <w:tcW w:w="14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10,822</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2015</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15,483</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2016</w:t>
            </w:r>
          </w:p>
        </w:tc>
        <w:tc>
          <w:tcPr>
            <w:tcW w:w="14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4,582</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3,896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16,938</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2017</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17,061</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2018</w:t>
            </w:r>
          </w:p>
        </w:tc>
        <w:tc>
          <w:tcPr>
            <w:tcW w:w="14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5,447</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12,935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30,205</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2019</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53,735</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3500" w:type="dxa"/>
            <w:vAlign w:val="bottom"/>
            <w:shd w:val="clear" w:color="auto" w:fill="CFF0FC"/>
          </w:tcPr>
          <w:p>
            <w:pPr>
              <w:jc w:val="right"/>
              <w:ind w:right="3010"/>
              <w:spacing w:after="0"/>
              <w:rPr>
                <w:sz w:val="20"/>
                <w:szCs w:val="20"/>
                <w:color w:val="auto"/>
              </w:rPr>
            </w:pPr>
            <w:r>
              <w:rPr>
                <w:rFonts w:ascii="Arial" w:cs="Arial" w:eastAsia="Arial" w:hAnsi="Arial"/>
                <w:sz w:val="18"/>
                <w:szCs w:val="18"/>
                <w:color w:val="auto"/>
                <w:w w:val="94"/>
              </w:rPr>
              <w:t>2020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N/A</w:t>
            </w:r>
          </w:p>
        </w:tc>
        <w:tc>
          <w:tcPr>
            <w:tcW w:w="1920" w:type="dxa"/>
            <w:vAlign w:val="bottom"/>
            <w:gridSpan w:val="3"/>
            <w:shd w:val="clear" w:color="auto" w:fill="CFF0FC"/>
          </w:tcPr>
          <w:p>
            <w:pPr>
              <w:ind w:left="10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13,158</w:t>
            </w:r>
          </w:p>
        </w:tc>
      </w:tr>
      <w:tr>
        <w:trPr>
          <w:trHeight w:val="27"/>
        </w:trPr>
        <w:tc>
          <w:tcPr>
            <w:tcW w:w="35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680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c>
          <w:tcPr>
            <w:tcW w:w="940" w:type="dxa"/>
            <w:vAlign w:val="bottom"/>
            <w:tcBorders>
              <w:bottom w:val="single" w:sz="8" w:color="auto"/>
            </w:tcBorders>
          </w:tcPr>
          <w:p>
            <w:pPr>
              <w:spacing w:after="0"/>
              <w:rPr>
                <w:sz w:val="16"/>
                <w:szCs w:val="16"/>
                <w:color w:val="auto"/>
              </w:rPr>
            </w:pPr>
          </w:p>
        </w:tc>
      </w:tr>
      <w:tr>
        <w:trPr>
          <w:trHeight w:val="263"/>
        </w:trPr>
        <w:tc>
          <w:tcPr>
            <w:tcW w:w="350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2018</w:t>
            </w: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4,288</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2019</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19,696</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500" w:type="dxa"/>
            <w:vAlign w:val="bottom"/>
            <w:shd w:val="clear" w:color="auto" w:fill="CFF0FC"/>
          </w:tcPr>
          <w:p>
            <w:pPr>
              <w:jc w:val="right"/>
              <w:ind w:right="3010"/>
              <w:spacing w:after="0"/>
              <w:rPr>
                <w:sz w:val="20"/>
                <w:szCs w:val="20"/>
                <w:color w:val="auto"/>
              </w:rPr>
            </w:pPr>
            <w:r>
              <w:rPr>
                <w:rFonts w:ascii="Arial" w:cs="Arial" w:eastAsia="Arial" w:hAnsi="Arial"/>
                <w:sz w:val="18"/>
                <w:szCs w:val="18"/>
                <w:color w:val="auto"/>
                <w:w w:val="94"/>
              </w:rPr>
              <w:t>2020</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206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4,220</w:t>
            </w:r>
          </w:p>
        </w:tc>
      </w:tr>
      <w:tr>
        <w:trPr>
          <w:trHeight w:val="27"/>
        </w:trPr>
        <w:tc>
          <w:tcPr>
            <w:tcW w:w="35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70" w:lineRule="exact"/>
        <w:rPr>
          <w:sz w:val="20"/>
          <w:szCs w:val="20"/>
          <w:color w:val="auto"/>
        </w:rPr>
      </w:pPr>
    </w:p>
    <w:p>
      <w:pPr>
        <w:ind w:left="1960" w:right="360" w:hanging="656"/>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960" w:right="120" w:hanging="656"/>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70"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incidence of disease or illness, including regional or global pandemics that may impact customer purchasing patterns or disrupt our supply chain;</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right="26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privacy breaches, which may subject us to legal and regulatory proceedings and substantial fines, penalties and expenses, as well as significant reputational harm;</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225" w:lineRule="exact"/>
        <w:rPr>
          <w:rFonts w:ascii="Arial" w:cs="Arial" w:eastAsia="Arial" w:hAnsi="Arial"/>
          <w:sz w:val="18"/>
          <w:szCs w:val="18"/>
          <w:color w:val="auto"/>
        </w:rPr>
      </w:pPr>
    </w:p>
    <w:p>
      <w:pPr>
        <w:ind w:left="1960" w:right="26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70"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70" w:lineRule="exact"/>
        <w:rPr>
          <w:sz w:val="20"/>
          <w:szCs w:val="20"/>
          <w:color w:val="auto"/>
        </w:rPr>
      </w:pPr>
    </w:p>
    <w:p>
      <w:pPr>
        <w:ind w:left="1960" w:right="66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70" w:lineRule="exact"/>
        <w:rPr>
          <w:rFonts w:ascii="Arial" w:cs="Arial" w:eastAsia="Arial" w:hAnsi="Arial"/>
          <w:sz w:val="18"/>
          <w:szCs w:val="18"/>
          <w:color w:val="auto"/>
        </w:rPr>
      </w:pPr>
    </w:p>
    <w:p>
      <w:pPr>
        <w:ind w:left="1960" w:right="54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and the demonstrated success of our Tandem Device Updater;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960" w:right="320" w:hanging="656"/>
        <w:spacing w:after="0" w:line="263"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opportunity to transition former customers of Animas Corporation (Animas) to our t:slim X2 insulin pump in 2018 and 2019 following the announcement by Johnson &amp; Johnson that it had discontinued the operations of Animas and discontinued the availability of Animas pump supplies in September 2019;</w:t>
      </w:r>
    </w:p>
    <w:p>
      <w:pPr>
        <w:spacing w:after="0" w:line="183"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expansion and new product launches in select international geographies, including initial orders to stock inventories; and</w:t>
      </w:r>
    </w:p>
    <w:p>
      <w:pPr>
        <w:spacing w:after="0" w:line="236" w:lineRule="exact"/>
        <w:rPr>
          <w:rFonts w:ascii="Arial" w:cs="Arial" w:eastAsia="Arial" w:hAnsi="Arial"/>
          <w:sz w:val="17"/>
          <w:szCs w:val="17"/>
          <w:color w:val="auto"/>
        </w:rPr>
      </w:pPr>
    </w:p>
    <w:p>
      <w:pPr>
        <w:ind w:left="1960" w:right="40" w:hanging="656"/>
        <w:spacing w:after="0" w:line="263"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In addition to working to achieve our sales growth expectations,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and again in the fourth quarter of 2019, though we may be unable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Commercial Launch of the t:slim X2 Insulin Pump with Control-IQ Technology in the United States</w:t>
      </w:r>
    </w:p>
    <w:p>
      <w:pPr>
        <w:spacing w:after="0" w:line="171"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In January 2020, we began shipping our t:slim X2 insulin pumps pre-loaded with Control-IQ technology, an advanced hybrid-closed loop feature designed to help increase time in range (70-180 mg/dL), to new customers in the United States. The t:slim X2 is the first and only system cleared to deliver automatic correction boluses in addition to adjusting insulin to help prevent high and low blood sugar. The system integrates with the Dexcom G6 CGM. In addition, we communicated the availability of Control-IQ technology to all of our in-warranty t:slim X2 customers in the United States, who have the option to add the new feature free of charge via the Tandem Device Updater. Customers interested in the remote software update are first required to obtain a prescription from their healthcare provider and complete a set of online training modules.</w:t>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FDA Designation of Basal-IQ Technology as an Interoperable Automated Glycemic Controller</w:t>
      </w:r>
    </w:p>
    <w:p>
      <w:pPr>
        <w:spacing w:after="0" w:line="171"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In February 2020, the FDA cleared our Basal-IQ technology as an iAGC. This is the second system to receive iAGC designation by the FDA, following the Company’s clearance of the t:slim X2 insulin pump with Control-IQ technology in December 2019.</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Cartridge Manufacturing Commences at Third-Party Contract Manufacturer</w:t>
      </w:r>
    </w:p>
    <w:p>
      <w:pPr>
        <w:spacing w:after="0" w:line="90"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In the first quarter of 2020, we outsourced a portion of our cartridge manufacturing demand to an experienced third-party contract manufacturer. We believe our relationship with this contract manufacturer provides us additional flexibility in scaling our business and also mitigates some risk of having only a single site for cartridge manufacturing. We anticipate that this new manufacturing model will enable us to significantly increase our cartridge manufacturing capacity in the long term, without meaningfully increasing the cost of overhead associated with our manufacturing facilities.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advanced software algorithms and remote software update capabilities, now represents 100% of our new pump shipments. Accordingly, in the third quarter of 2018 we discontinued new sales of all prior platform versions. Our products also include disposable cartridges and infusion sets, as well as our complementary t:connect and Tandem Device Updater products. In addition, we offer accessories including protective cases, belt clips, and power adapters, although sales of these products are not significant.</w:t>
      </w:r>
    </w:p>
    <w:p>
      <w:pPr>
        <w:spacing w:after="0" w:line="195"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may have a material adverse impact on our sales in future periods.</w:t>
      </w:r>
    </w:p>
    <w:p>
      <w:pPr>
        <w:spacing w:after="0" w:line="178"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the third quarter of 2018, we began the launch of our t:slim X2 with Dexcom G5 CGM integration through distribution partners outside the United States, including in select European countries, Australia, New Zealand, and South Africa. During the second quarter of 2019, we began selling our t:slim X2 with Basal-IQ technology in certain of these geographies. In the first quarter of 2020, we delivered initial orders to support launches in Germany and France that are expected to occur in the second quarter of 2020. Our independent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our historical seasonality, domestic pump shipments from the fourth quarter to the following first quarter decrease significantly. Internationally, we do not expect this same impact from seasonality associated with reimbursement, although the quarterly sales trends may be impacted by a number of factors, including summer vacations and launches into new geographies. While the opportunity to transition former Animas customers positively impacted our 2019 quarterly sales trends worldwide, we do not anticipate that this trend will continue to have a significant impact.</w:t>
      </w:r>
    </w:p>
    <w:p>
      <w:pPr>
        <w:spacing w:after="0" w:line="178"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In the first quarter of 2020, the COVID-19 global pandemic had a major impact on businesses around the world. Although we experienced only a modest impact on our first quarter financial results, in March 2020 we ceased in-person sales, marketing and training activities and adopted numerous other changes to our daily business operations. These changes remain in effect as of the date of this report and it remains uncertain when we may be able to resume our normal operations. Accordingly, we anticipate that our sales will not follow historical trends and will be adversely impacted in the coming months as customers delay their purchasing decisions or physicians pause their prescriptions of new products. Our sales outside the United States may experience a greater proportional impact due to differences in the sales process in domestic versus international markets. The full extent of the impact of COVID-19 on our business and operations will depend on a number of factors, including the depth and duration of the global pandemic.</w:t>
      </w:r>
    </w:p>
    <w:p>
      <w:pPr>
        <w:spacing w:after="0" w:line="166"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Separate of any impacts from COVID-19,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instance, we believe certain customers paused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color w:val="auto"/>
        </w:rPr>
        <w:t>Historically, we have manufactured our pumps and disposable cartridges at our manufacturing facility in San Diego, California. Near the end of the first quarter, our third-party cartridge manufacturer completed validation and commenced commercial-scale manufacturing to supplement our existing cartridge manufacturing capacity. Infusion sets and pump accessories are manufactured by third-party suppliers. Cost of sales includes raw materials, labor costs, manufacturing overhead expenses, product training costs, royalties, freight, reserves for expected warranty costs,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77" w:lineRule="exact"/>
        <w:rPr>
          <w:sz w:val="20"/>
          <w:szCs w:val="20"/>
          <w:color w:val="auto"/>
        </w:rPr>
      </w:pPr>
    </w:p>
    <w:p>
      <w:pPr>
        <w:ind w:right="20" w:firstLine="810"/>
        <w:spacing w:after="0" w:line="268" w:lineRule="auto"/>
        <w:rPr>
          <w:sz w:val="20"/>
          <w:szCs w:val="20"/>
          <w:color w:val="auto"/>
        </w:rPr>
      </w:pPr>
      <w:r>
        <w:rPr>
          <w:rFonts w:ascii="Arial" w:cs="Arial" w:eastAsia="Arial" w:hAnsi="Arial"/>
          <w:sz w:val="17"/>
          <w:szCs w:val="17"/>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as a result of COVID-19, or for other reasons, it is possible that we may experience a higher percentage of pump-related supply sales than anticipated, which in turn could adversely impact our overall gross margin percentage. We also expect our warranty cost per unit to decrease as we release additional product features and functionality utilizing the Tandem Device Updater. However, our overall gross margin percentage may fluctuate in future quarterly periods as a result of numerous factors aside from those associated with production volumes and product mix. For instance, as a result of COVID-19 we have implemented operational changes that may introduce unpredictable variability to our cost of sales, such as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in the near-term. Specifically, in 2020, we are investing in additional manufacturing equipment to meet anticipated long-term demand for our cartridges, which may initially place downward pressure on the gross margin percentage associated with our pump-related supplies.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option grants on non-cash stock-based compensation expense allocated to cost of sales, changes in warranty estimates, training costs, licensing and royalty costs, cost associated with excess and obsolete inventories, and changes in our manufacturing processes, capacity, costs or output.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firstLine="810"/>
        <w:spacing w:after="0" w:line="267" w:lineRule="auto"/>
        <w:rPr>
          <w:sz w:val="20"/>
          <w:szCs w:val="20"/>
          <w:color w:val="auto"/>
        </w:rPr>
      </w:pPr>
      <w:r>
        <w:rPr>
          <w:rFonts w:ascii="Arial" w:cs="Arial" w:eastAsia="Arial" w:hAnsi="Arial"/>
          <w:sz w:val="17"/>
          <w:szCs w:val="17"/>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for our products. We had approximately 90 sales territories as of March 31, 2020.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10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employee stock option grants and the impact on the valuation from the significant increase in our stock price over the previous year. We expect higher non-cash stock-based compensation expense will be sustained through the first half of 2020 and will begin to decline in future quarters.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firstLine="810"/>
        <w:spacing w:after="0" w:line="270" w:lineRule="auto"/>
        <w:rPr>
          <w:sz w:val="20"/>
          <w:szCs w:val="20"/>
          <w:color w:val="auto"/>
        </w:rPr>
      </w:pPr>
      <w:r>
        <w:rPr>
          <w:rFonts w:ascii="Arial" w:cs="Arial" w:eastAsia="Arial" w:hAnsi="Arial"/>
          <w:sz w:val="17"/>
          <w:szCs w:val="17"/>
          <w:color w:val="auto"/>
        </w:rPr>
        <w:t>Our research and development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partially offset by future expected declines in non-cash stock-based compensation.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color w:val="auto"/>
        </w:rPr>
        <w:t>Other income and expense primarily consists of changes in the fair value of certain warrants issued in our public offering of common stock in October 2017, and interest earned on our cash equivalents and short-term investments. We expect other income and expense to fluctuate from period to period primarily due to the revaluation of the outstanding Series A warrants, which expire in the fourth quarter of 2022.</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(in thousands, except percentages)</w:t>
            </w:r>
          </w:p>
        </w:tc>
        <w:tc>
          <w:tcPr>
            <w:tcW w:w="59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54"/>
        </w:trPr>
        <w:tc>
          <w:tcPr>
            <w:tcW w:w="40" w:type="dxa"/>
            <w:vAlign w:val="bottom"/>
            <w:tcBorders>
              <w:bottom w:val="single" w:sz="8" w:color="CFF0FC"/>
            </w:tcBorders>
          </w:tcPr>
          <w:p>
            <w:pPr>
              <w:spacing w:after="0"/>
              <w:rPr>
                <w:sz w:val="4"/>
                <w:szCs w:val="4"/>
                <w:color w:val="auto"/>
              </w:rPr>
            </w:pPr>
          </w:p>
        </w:tc>
        <w:tc>
          <w:tcPr>
            <w:tcW w:w="2100" w:type="dxa"/>
            <w:vAlign w:val="bottom"/>
            <w:tcBorders>
              <w:bottom w:val="single" w:sz="8" w:color="CFF0FC"/>
            </w:tcBorders>
          </w:tcPr>
          <w:p>
            <w:pPr>
              <w:spacing w:after="0"/>
              <w:rPr>
                <w:sz w:val="4"/>
                <w:szCs w:val="4"/>
                <w:color w:val="auto"/>
              </w:rPr>
            </w:pPr>
          </w:p>
        </w:tc>
        <w:tc>
          <w:tcPr>
            <w:tcW w:w="5920" w:type="dxa"/>
            <w:vAlign w:val="bottom"/>
            <w:tcBorders>
              <w:bottom w:val="single" w:sz="8" w:color="CFF0FC"/>
            </w:tcBorders>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79,546</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54,655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8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18,380</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97,926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65,995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32,642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50,261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33,353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49,717</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34,961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14,117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9,389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59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FF0FC"/>
            </w:tcBorders>
            <w:shd w:val="clear" w:color="auto" w:fill="CFF0FC"/>
          </w:tcPr>
          <w:p>
            <w:pPr>
              <w:spacing w:after="0"/>
              <w:rPr>
                <w:sz w:val="22"/>
                <w:szCs w:val="22"/>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63,834</w:t>
            </w:r>
          </w:p>
        </w:tc>
        <w:tc>
          <w:tcPr>
            <w:tcW w:w="1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44,350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(13,573)</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rPr>
              <w:t>Interest and other income</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8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Interest and other expense</w:t>
            </w:r>
          </w:p>
        </w:tc>
        <w:tc>
          <w:tcPr>
            <w:tcW w:w="3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common stock warrants</w:t>
            </w:r>
          </w:p>
        </w:tc>
        <w:tc>
          <w:tcPr>
            <w:tcW w:w="3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(12,746)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59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FF0FC"/>
            </w:tcBorders>
            <w:shd w:val="clear" w:color="auto" w:fill="CFF0FC"/>
          </w:tcPr>
          <w:p>
            <w:pPr>
              <w:spacing w:after="0"/>
              <w:rPr>
                <w:sz w:val="22"/>
                <w:szCs w:val="22"/>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(14,867)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229" w:lineRule="exact"/>
        <w:rPr>
          <w:sz w:val="20"/>
          <w:szCs w:val="20"/>
          <w:color w:val="auto"/>
        </w:rPr>
      </w:pPr>
    </w:p>
    <w:p>
      <w:pPr>
        <w:ind w:right="32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March 31, 2020, sales were $97.9 million, which included $18.4 million of international sales.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$66.0 million for the same period in 2019, which included $11.3 million of international sales.</w:t>
      </w:r>
    </w:p>
    <w:p>
      <w:pPr>
        <w:spacing w:after="0" w:line="170"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The increase in total sales of $31.9 million was primarily driven by an 18% increase in worldwide pump shipments to 17,378 in the first quarter of 2020 compared to 14,732 in the first quarter of 2019, and a 93% increase in pump-related supply sales. Sales of pump-related supplies increased primarily due to a 61% increase in our estimated installed base of customers, as well as a more recent trend of customers purchasing cartridges and infusion sets at a higher rate than anticipated, which we believe may be associated with COVID-19.</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Borders>
              <w:bottom w:val="single" w:sz="8" w:color="CFF0FC"/>
            </w:tcBorders>
          </w:tcPr>
          <w:p>
            <w:pPr>
              <w:spacing w:after="0"/>
              <w:rPr>
                <w:sz w:val="16"/>
                <w:szCs w:val="16"/>
                <w:color w:val="auto"/>
              </w:rPr>
            </w:pPr>
          </w:p>
        </w:tc>
        <w:tc>
          <w:tcPr>
            <w:tcW w:w="41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522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49,719</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36,903</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4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20,214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4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9,455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w:t>
            </w:r>
          </w:p>
        </w:tc>
        <w:tc>
          <w:tcPr>
            <w:tcW w:w="4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FF0FC"/>
            </w:tcBorders>
          </w:tcPr>
          <w:p>
            <w:pPr>
              <w:spacing w:after="0"/>
              <w:rPr>
                <w:sz w:val="2"/>
                <w:szCs w:val="2"/>
                <w:color w:val="auto"/>
              </w:rPr>
            </w:pPr>
          </w:p>
        </w:tc>
        <w:tc>
          <w:tcPr>
            <w:tcW w:w="41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522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79,546</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54,655</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4180" w:type="dxa"/>
            <w:vAlign w:val="bottom"/>
            <w:tcBorders>
              <w:top w:val="single" w:sz="8" w:color="CFF0FC"/>
              <w:bottom w:val="single" w:sz="8" w:color="CFF0FC"/>
            </w:tcBorders>
            <w:vMerge w:val="restart"/>
          </w:tcPr>
          <w:p>
            <w:pPr>
              <w:jc w:val="right"/>
              <w:ind w:right="1950"/>
              <w:spacing w:after="0"/>
              <w:rPr>
                <w:sz w:val="20"/>
                <w:szCs w:val="20"/>
                <w:color w:val="auto"/>
              </w:rPr>
            </w:pPr>
            <w:r>
              <w:rPr>
                <w:rFonts w:ascii="Arial" w:cs="Arial" w:eastAsia="Arial" w:hAnsi="Arial"/>
                <w:sz w:val="18"/>
                <w:szCs w:val="18"/>
                <w:color w:val="auto"/>
              </w:rPr>
              <w:t>27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Domestic pump shipments were positively impacted by continued strong demand for our products following the January 2020 domestic launch of our t:slim X2 insulin pump with Control-IQ technology. Sales to distributors accounted for 69% and 74% of our total domestic sales for the three months ended March 31,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9,816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9,207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1,297</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822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77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18,380</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11,340</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International pump shipments for the three months ended March 31, 2020 benefited from initial orders shipped to independent distributors in new geographies. Pump shipments in 2019 were positively impacted by the transition of former Animas customers to our products, and the fulfillment of certain international pump demand from backlog that existed at the end of 2018 due to supply constraints. Sales to distributors accounted for 93% and 98% of our total international sales for the three months ended March 31, 2020 and 2019, respectively.</w:t>
      </w:r>
    </w:p>
    <w:p>
      <w:pPr>
        <w:spacing w:after="0" w:line="171"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March 31, 2020 was $47.7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 $50.3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$32.6 million of cost of sales for the same period in 2019 resulting in gross profit of $33.4 million. The gross margin percentage for the three months ended March 31, 2020 was 51%, consistent with the same period in 2019.</w:t>
      </w:r>
    </w:p>
    <w:p>
      <w:pPr>
        <w:spacing w:after="0" w:line="184"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The increase in our gross profit for the three months ended March 31, 2020 was primarily the result of an 18% increase in pump shipments. Per unit manufacturing cost improvements from higher production volumes and continued overall manufacturing efficiencies also generated improvements in the gross margin percentage. The impact of these improvements was offset by changes in product mix. Pump sales, which have the highest gross margin, were 61% of total sales in the first quarter of 2020 versus 70% in the first quarter of 2019. Non-cash stock-based compensation expense allocated to cost of sales was $2.2 million for the three months ended March 31, 2020, compared to $1.1 million in the same period in 2019. Additionally, we recognized $1.3 million of product royalty costs in the first quarter of 2020 associated with the launch of Control-IQ technology in the United States. On an aggregate basis, other non-manufacturing costs, which primarily consist of warranty, freight and training costs, also reflected improvement on a per unit basis.</w:t>
      </w:r>
    </w:p>
    <w:p>
      <w:pPr>
        <w:spacing w:after="0" w:line="166" w:lineRule="exact"/>
        <w:rPr>
          <w:sz w:val="20"/>
          <w:szCs w:val="20"/>
          <w:color w:val="auto"/>
        </w:rPr>
      </w:pPr>
    </w:p>
    <w:p>
      <w:pPr>
        <w:ind w:right="120" w:firstLine="810"/>
        <w:spacing w:after="0" w:line="271"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42% to $49.7 million for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from $35.0 million for the same period in 2019. Employee-related expenses for our SG&amp;A functions comprise the majority of SG&amp;A expenses. The increase compared to 2019 was primarily the result of an $11.9 million increase in salaries, incentive compensation and other employee benefits due to an increase in personnel to support higher sales and our growing installed customer base, which included an increase of $4.5 million in non-cash stock-based compensation. Non-cash stock-based compensation expense allocated to SG&amp;A was $11.5 million for the three months ended March 31, 2020, compared to $7.0 million in the same period in 2019. The increase in non-cash stock-based compensation expense was primarily due to the valuation of certain 2019 employee stock option grants and the impact on the valuation of the significant increase in our stock price. We also experienced increased costs for equipment and supplies, outside consulting and outside services of $2.4 million.</w:t>
      </w:r>
    </w:p>
    <w:p>
      <w:pPr>
        <w:spacing w:after="0" w:line="178" w:lineRule="exact"/>
        <w:rPr>
          <w:sz w:val="20"/>
          <w:szCs w:val="20"/>
          <w:color w:val="auto"/>
        </w:rPr>
      </w:pPr>
    </w:p>
    <w:p>
      <w:pPr>
        <w:ind w:right="340" w:firstLine="810"/>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50% to $14.1 million for the three months ended March 31, 2020 from $9.4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2019. The increase in R&amp;D expenses was primarily the result of an increase of $2.1 million in salaries, incentive compensation and other employee benefits due to an increase in personnel to support our product development efforts, as well as an increase of $2.6 million increase in clinical trials, outside services consulting services and equipment and maintenance attributable to R&amp;D. Non-cash stock-based compensation expense allocated to R&amp;D was $2.2 million for the three months ended March 31, 2020</w:t>
      </w:r>
      <w:r>
        <w:rPr>
          <w:rFonts w:ascii="Arial" w:cs="Arial" w:eastAsia="Arial" w:hAnsi="Arial"/>
          <w:sz w:val="18"/>
          <w:szCs w:val="18"/>
          <w:i w:val="1"/>
          <w:iCs w:val="1"/>
          <w:color w:val="auto"/>
        </w:rPr>
        <w:t>,</w:t>
      </w:r>
      <w:r>
        <w:rPr>
          <w:rFonts w:ascii="Arial" w:cs="Arial" w:eastAsia="Arial" w:hAnsi="Arial"/>
          <w:sz w:val="18"/>
          <w:szCs w:val="18"/>
          <w:color w:val="auto"/>
        </w:rPr>
        <w:t xml:space="preserve"> compared to $1.7 million in the same period in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i w:val="1"/>
          <w:iCs w:val="1"/>
          <w:color w:val="auto"/>
        </w:rPr>
        <w:t>Other Income and Expense</w:t>
      </w:r>
      <w:r>
        <w:rPr>
          <w:rFonts w:ascii="Arial" w:cs="Arial" w:eastAsia="Arial" w:hAnsi="Arial"/>
          <w:sz w:val="16"/>
          <w:szCs w:val="16"/>
          <w:color w:val="auto"/>
        </w:rPr>
        <w:t>. Total other expense for the three months ended March 31, 2020 was $1.2 million compared to total other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$12.0 million in the same period in 2019. Other expense for the three months ended March 31, 2020 primarily consisted of a $1.9 million revaluation loss from the change in the fair value of certain warrants. Other expense for the three months ended March 31, 2019 primarily consisted of a $12.7 million revaluation loss from the change in the fair value of certain warrants due to the significant appreciation of our stock price. Interest and other income for the three months ended March 31, 2020 and 2019 primarily consisted of interest earned on our cash equivalents and short-term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810"/>
        <w:spacing w:after="0" w:line="342" w:lineRule="auto"/>
        <w:rPr>
          <w:sz w:val="20"/>
          <w:szCs w:val="20"/>
          <w:color w:val="auto"/>
        </w:rPr>
      </w:pPr>
      <w:r>
        <w:rPr>
          <w:rFonts w:ascii="Arial" w:cs="Arial" w:eastAsia="Arial" w:hAnsi="Arial"/>
          <w:sz w:val="16"/>
          <w:szCs w:val="16"/>
          <w:color w:val="auto"/>
        </w:rPr>
        <w:t>As of March 31, 2020, we had $160.2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Historically, our principal sources of cash have included cash collected from product sales, private and public offerings of equity securities, and debt financing. Since the beginning of 2019, we completed the following financing activities:</w:t>
      </w:r>
    </w:p>
    <w:p>
      <w:pPr>
        <w:spacing w:after="0" w:line="170" w:lineRule="exact"/>
        <w:rPr>
          <w:sz w:val="20"/>
          <w:szCs w:val="20"/>
          <w:color w:val="auto"/>
        </w:rPr>
      </w:pPr>
    </w:p>
    <w:p>
      <w:pPr>
        <w:ind w:left="1960" w:right="220" w:hanging="656"/>
        <w:spacing w:after="0" w:line="263"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Between January 2019 and March 2020, we issued 2,091,395 shares of common stock upon the exercise of stock options, and 329,072 shares of common stock were purchased under our 2013 Employee Stock Purchase Plan, which generated aggregate proceeds of $35.7 million.</w:t>
      </w:r>
    </w:p>
    <w:p>
      <w:pPr>
        <w:spacing w:after="0" w:line="183" w:lineRule="exact"/>
        <w:rPr>
          <w:rFonts w:ascii="Arial" w:cs="Arial" w:eastAsia="Arial" w:hAnsi="Arial"/>
          <w:sz w:val="18"/>
          <w:szCs w:val="18"/>
          <w:color w:val="auto"/>
        </w:rPr>
      </w:pPr>
    </w:p>
    <w:p>
      <w:pPr>
        <w:ind w:left="1960" w:hanging="656"/>
        <w:spacing w:after="0" w:line="286" w:lineRule="auto"/>
        <w:tabs>
          <w:tab w:leader="none" w:pos="1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Between January 2019 and March 2020, we received proceeds of $0.3 million from the exercise of 95,585 outstanding warrants which were originally issued in a registered public offering of common stock in October 2017. As of March 31, 2020, there were warrants to purchase 415,200 shares outstanding relating to the October 2017 offering.</w:t>
      </w:r>
    </w:p>
    <w:p>
      <w:pPr>
        <w:spacing w:after="0" w:line="165"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w:t>
      </w:r>
    </w:p>
    <w:p>
      <w:pPr>
        <w:spacing w:after="0" w:line="188" w:lineRule="exact"/>
        <w:rPr>
          <w:sz w:val="20"/>
          <w:szCs w:val="20"/>
          <w:color w:val="auto"/>
        </w:rPr>
      </w:pPr>
    </w:p>
    <w:p>
      <w:pPr>
        <w:ind w:right="400" w:firstLine="810"/>
        <w:spacing w:after="0" w:line="259"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In light of the COVID-19 global pandemic, we are prudently managing our use of cash. We will continue to evaluate new information as it becomes available and make changes as are considered necessary.</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three months ended March 31, 2020 and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63"/>
        </w:trPr>
        <w:tc>
          <w:tcPr>
            <w:tcW w:w="84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(4,124)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32,916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778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1,962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23,310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$20.6 million for the three months ended March 31, 2020, compared to $4.1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in 2019. The increase in net cash used in operating activities was primarily driven by changes in working capital requirements. Working capital changes in 2020 primarily consisted of increases in accounts receivable and inventories, and a decrease in employee-related liabilities, partially offset by an increase in accounts payable. Accounts receivable increased to $54.0 million at March 31, 2020 from $46.6 million at December 31, 2019, primarily due to the timing of sales. Inventories increased to $60.5 million at March 31, 2020 from $49.1 million at December 31, 2019, primarily to support the growth in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40" w:firstLine="810"/>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provided by investing activities was $32.9 million for the three months ended March 31, 2020,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$49.4 million in proceeds from maturities and sales of short-term investments, offset by $9.7 million of purchases of short-term investments and $6.8 million in purchases of property and equipment. Net cash provided by investing activities was $0.8 million for</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three months ended March 31, 2019, which was primarily related to $45.1 million in proceeds from maturities and sales of short-term investments, offset by $42.9 million of purchases of short-term investments and $1.4 million in purchases of property and equipment.</w:t>
      </w:r>
    </w:p>
    <w:p>
      <w:pPr>
        <w:spacing w:after="0" w:line="185"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$11.5 million for the three months ended March 31, 2020, which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proceeds from the issuance of common stock under our stock plans. Net cash provided by financing activities was $2.0 million for the three months ended March 31, 2019, which primarily consisted of proceeds from the issuance of common stock under our stock plans.</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hanging="656"/>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960" w:right="320" w:hanging="656"/>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960" w:right="320" w:hanging="656"/>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125" w:right="5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March 31,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We invest our excess cash primarily in commercial paper, corporate debt securities, U.S. Government-sponsored enterprise securities and U.S. Treasury securities. 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7"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issued downgrades and revised outlooks to negative for a number of issuers of the debt securities held in our short-term investments portfolio. Unrealized losses on available-for-sale debt securities at March 31, 2020 were not significant. Based on the credit quality of the available-for-sale debt securities that are in an unrealized loss position, and our current estimates of future cash flows to be collected from those securities, the Company believes the unrealized losses are not credit losses (see Note 3, “Short-Term Investments”).</w:t>
      </w:r>
    </w:p>
    <w:p>
      <w:pPr>
        <w:spacing w:after="0" w:line="166" w:lineRule="exact"/>
        <w:rPr>
          <w:sz w:val="20"/>
          <w:szCs w:val="20"/>
          <w:color w:val="auto"/>
        </w:rPr>
      </w:pPr>
    </w:p>
    <w:p>
      <w:pPr>
        <w:jc w:val="both"/>
        <w:ind w:right="160" w:firstLine="810"/>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2020, this change would not have had a material effect on the fair value of our investment portfolio as of that date.</w:t>
      </w:r>
    </w:p>
    <w:p>
      <w:pPr>
        <w:spacing w:after="0" w:line="16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8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As of March 31, 2020,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March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March 31, 2020 that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78" w:lineRule="exact"/>
        <w:rPr>
          <w:sz w:val="20"/>
          <w:szCs w:val="20"/>
          <w:color w:val="auto"/>
        </w:rPr>
      </w:pPr>
    </w:p>
    <w:p>
      <w:pPr>
        <w:jc w:val="both"/>
        <w:ind w:right="320" w:firstLine="810"/>
        <w:spacing w:after="0" w:line="286" w:lineRule="auto"/>
        <w:rPr>
          <w:sz w:val="20"/>
          <w:szCs w:val="20"/>
          <w:color w:val="auto"/>
        </w:rPr>
      </w:pPr>
      <w:r>
        <w:rPr>
          <w:rFonts w:ascii="Arial" w:cs="Arial" w:eastAsia="Arial" w:hAnsi="Arial"/>
          <w:sz w:val="17"/>
          <w:szCs w:val="17"/>
          <w:color w:val="auto"/>
        </w:rPr>
        <w:t>Since April 1, 2020 we have been named as a defendant in four class action lawsuits. Each one was brought in response to a data breach we experienced in January 2020. Collectively, these lawsuits seek statutory, compensatory, actual, and punitive damages; declaratory and injunctive relief; disgorgement; restitution; and attorney fees, costs, and expenses from us. The four pending lawsuits are as follows:</w:t>
      </w:r>
    </w:p>
    <w:p>
      <w:pPr>
        <w:spacing w:after="0" w:line="84" w:lineRule="exact"/>
        <w:rPr>
          <w:sz w:val="20"/>
          <w:szCs w:val="20"/>
          <w:color w:val="auto"/>
        </w:rPr>
      </w:pPr>
    </w:p>
    <w:p>
      <w:pPr>
        <w:ind w:left="660" w:right="4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April 1, 2020, </w:t>
      </w:r>
      <w:r>
        <w:rPr>
          <w:rFonts w:ascii="Arial" w:cs="Arial" w:eastAsia="Arial" w:hAnsi="Arial"/>
          <w:sz w:val="18"/>
          <w:szCs w:val="18"/>
          <w:i w:val="1"/>
          <w:iCs w:val="1"/>
          <w:color w:val="auto"/>
        </w:rPr>
        <w:t>C.H., individually, and on behalf of all others similarly situated v. Tandem Diabetes Care, Inc.</w:t>
      </w:r>
      <w:r>
        <w:rPr>
          <w:rFonts w:ascii="Arial" w:cs="Arial" w:eastAsia="Arial" w:hAnsi="Arial"/>
          <w:sz w:val="18"/>
          <w:szCs w:val="18"/>
          <w:color w:val="auto"/>
        </w:rPr>
        <w:t xml:space="preserve"> was filed against us in the Southern District of the United States District Court. The complaint alleges negligence and violations of the California Confidentiality of Medical Information Act (CMIA).</w:t>
      </w:r>
    </w:p>
    <w:p>
      <w:pPr>
        <w:spacing w:after="0" w:line="75"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April 8, 2020, </w:t>
      </w:r>
      <w:r>
        <w:rPr>
          <w:rFonts w:ascii="Arial" w:cs="Arial" w:eastAsia="Arial" w:hAnsi="Arial"/>
          <w:sz w:val="18"/>
          <w:szCs w:val="18"/>
          <w:i w:val="1"/>
          <w:iCs w:val="1"/>
          <w:color w:val="auto"/>
        </w:rPr>
        <w:t>Joseph Deluna, on behalf of himself and all others similarly situated v. Tandem Diabetes Care, Inc.</w:t>
      </w:r>
      <w:r>
        <w:rPr>
          <w:rFonts w:ascii="Arial" w:cs="Arial" w:eastAsia="Arial" w:hAnsi="Arial"/>
          <w:sz w:val="18"/>
          <w:szCs w:val="18"/>
          <w:color w:val="auto"/>
        </w:rPr>
        <w:t xml:space="preserve"> was filed against us in the Central District of the United States District Court. The complaint alleges negligence and violations of the CMIA and the Federal Trade Commission Act (FTCA).</w:t>
      </w:r>
    </w:p>
    <w:p>
      <w:pPr>
        <w:spacing w:after="0" w:line="75"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On April 16, 2020, </w:t>
      </w:r>
      <w:r>
        <w:rPr>
          <w:rFonts w:ascii="Arial" w:cs="Arial" w:eastAsia="Arial" w:hAnsi="Arial"/>
          <w:sz w:val="17"/>
          <w:szCs w:val="17"/>
          <w:i w:val="1"/>
          <w:iCs w:val="1"/>
          <w:color w:val="auto"/>
        </w:rPr>
        <w:t>Jose Lopez, individually and on behalf of all others similarly situated v. Tandem Diabetes Care, Inc.</w:t>
      </w:r>
      <w:r>
        <w:rPr>
          <w:rFonts w:ascii="Arial" w:cs="Arial" w:eastAsia="Arial" w:hAnsi="Arial"/>
          <w:sz w:val="17"/>
          <w:szCs w:val="17"/>
          <w:color w:val="auto"/>
        </w:rPr>
        <w:t xml:space="preserve"> was filed against us in the Southern District of the United States District Court. The complaint alleges negligence and violations of the FTCA, the CMIA, California’s Unfair Competition Law, California’s Consumer Record Act, and the California Consumer Privacy Act. This complaint also alleges that the security incident created a breach of contract and a breach of the implied covenant of good faith and fair dealing.</w:t>
      </w:r>
    </w:p>
    <w:p>
      <w:pPr>
        <w:spacing w:after="0" w:line="63"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April 16, 2020, </w:t>
      </w:r>
      <w:r>
        <w:rPr>
          <w:rFonts w:ascii="Arial" w:cs="Arial" w:eastAsia="Arial" w:hAnsi="Arial"/>
          <w:sz w:val="18"/>
          <w:szCs w:val="18"/>
          <w:i w:val="1"/>
          <w:iCs w:val="1"/>
          <w:color w:val="auto"/>
        </w:rPr>
        <w:t>Samantha Henrichsen, and her minor son, A.R., individually, and on behalf of all others similarly situated v. Tandem Diabetes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Care, Inc. </w:t>
      </w:r>
      <w:r>
        <w:rPr>
          <w:rFonts w:ascii="Arial" w:cs="Arial" w:eastAsia="Arial" w:hAnsi="Arial"/>
          <w:sz w:val="18"/>
          <w:szCs w:val="18"/>
          <w:color w:val="auto"/>
        </w:rPr>
        <w:t>was filed against us in the Southern District of the United States District Court. The complaint alleges negligence and violations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CMIA, the Illinois Consumer Fraud and Deceptive Business Practices Act, and the Illinois Uniform Deceptive Trade Practices Act. This complaint also alleges that the security incident created a breach of contract.</w:t>
      </w:r>
    </w:p>
    <w:p>
      <w:pPr>
        <w:spacing w:after="0" w:line="187" w:lineRule="exact"/>
        <w:rPr>
          <w:sz w:val="20"/>
          <w:szCs w:val="20"/>
          <w:color w:val="auto"/>
        </w:rPr>
      </w:pPr>
    </w:p>
    <w:p>
      <w:pPr>
        <w:ind w:right="660" w:firstLine="810"/>
        <w:spacing w:after="0" w:line="342" w:lineRule="auto"/>
        <w:rPr>
          <w:sz w:val="20"/>
          <w:szCs w:val="20"/>
          <w:color w:val="auto"/>
        </w:rPr>
      </w:pPr>
      <w:r>
        <w:rPr>
          <w:rFonts w:ascii="Arial" w:cs="Arial" w:eastAsia="Arial" w:hAnsi="Arial"/>
          <w:sz w:val="16"/>
          <w:szCs w:val="16"/>
          <w:color w:val="auto"/>
        </w:rPr>
        <w:t>Although we intend to vigorously defend against these claims, there is no guarantee that we will prevail. Accordingly, we are unable to determine the ultimate outcome of these lawsuits or determine the amount and range of potential loss associated with the lawsuits.</w:t>
      </w:r>
    </w:p>
    <w:p>
      <w:pPr>
        <w:spacing w:after="0" w:line="12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From time to time, we are involved in various other legal proceedings, disputes and other claims arising in the ordinary course of our business, including actions with respect to intellectual property, employment, product liability and contractual matters. Although the results of legal proceedings, disputes and other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disputes and other claims can have an adverse impact on us because of legal costs, diversion of management time and resources,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i w:val="1"/>
          <w:iCs w:val="1"/>
          <w:color w:val="auto"/>
        </w:rPr>
        <w:t>An investment in our common stock involves risks.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78"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IA of our Annual Report.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225"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Since our inception in January 2006, we have incurred a significant net loss. As of March 31, 2020, we had an accumulated deficit of $639.7 million. To date, we have funded our operations primarily through cash collected from product sales, private and public offerings of our equity securities, and debt financing which has since been fully repaid. We have devoted substantially all of our resources to the design,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6"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color w:val="auto"/>
        </w:rPr>
        <w:t>We began commercial sales of our first product, t:slim, in August 2012 and our flagship pump platform, t:slim X2, in October 2016. The t:slim X2 insulin pump now represents 100% of new pump shipments. Until the third quarter of 2018 we were only selling our products in the United States.</w:t>
      </w:r>
    </w:p>
    <w:p>
      <w:pPr>
        <w:spacing w:after="0" w:line="124"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2019 and 2018, our gross profit was $194.2 million and $89.8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87"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and the scope and duration of the impacts caused by the COVID-19 global pandemic. Any additional operating losses will have an adverse effect on our stockholders’ equity, and we cannot assure you that we will be able to sustain profitability.</w:t>
      </w:r>
    </w:p>
    <w:p>
      <w:pPr>
        <w:spacing w:after="0" w:line="13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60" w:hanging="656"/>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 MiniMed, a division of Medtronic plc;</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40" w:hanging="656"/>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60" w:right="220" w:hanging="656"/>
        <w:spacing w:after="0" w:line="308" w:lineRule="auto"/>
        <w:tabs>
          <w:tab w:leader="none" w:pos="1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that restricts a majority of its members from accessing our pumps;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520" w:hanging="656"/>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In addition, sales of any of our current or future insulin pump products with CGM integration are subject to the continuation of our applicable agreements with Dexcom or other third parties which, under some circumstances, may be subject to termination, with or without cause, on relatively short notice. Sales of our current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95"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 We believe that the COVID-19 global pandemic could have a material adverse impact on sales of our products as it could result in customers delaying their purchasing decisions or physicians pausing prescriptions for our products. It could also have the effect of magnifying the negative impact of any of the factors described above.</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could have a material adverse effect on our operations, the operations of our business partners, and the global economy as a whole.*</w:t>
      </w:r>
    </w:p>
    <w:p>
      <w:pPr>
        <w:spacing w:after="0" w:line="130"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which is currently affecting various parts of the world, has resulted in a rapid rise in unemployment and a sudden decrease in global economic activity, and the scope of the pandemic and its impacts is continuing to expand. While we experienced only a modest impact from the COVID-19 global pandemic to our first quarter financial results, we anticipate that our sales and operating results will be adversely impacted in future periods. We anticipate that our sales outside the United States may experience a greater proportional impact due to differences in the sales process in domestic versus international markets. In addition, the recent rise in unemployment and decrease in economic activity due to the COVID-19 global pandemic may negatively impact the affordability of our products for certain customers, which could reduce demand for our products. Further, the initiation of certain programs planned for the second quarter, such as human factors studies associated with our product development efforts, will be delayed, which could have a negative impact on our product commercialization efforts and the future demand for our products.</w:t>
      </w:r>
    </w:p>
    <w:p>
      <w:pPr>
        <w:spacing w:after="0" w:line="14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The COVID-19 global pandemic, or other similar outbreaks or epidemics, may have an adverse effect on the overall productivity of our workforce, and we may be required to take extraordinary measures to protect the health and safety of our employees and our business partners. For example, in March 2020, we restricted non-essential employee travel, banned visitors from all of our facilities, and transitioned those employees able to perform their job function outside of our facilities to a remote work environment. For our field-based sales and clinical employees, we have discontinued in-person activities and are utilizing technology to remotely engage healthcare providers and customers. For our employees in manufacturing and warehousing positions involved in production and fulfillment operations, we have implemented preventative measures to comply with social distancing requirements and have taken measures to help ensure safety, including requiring temperature checks for our employees before each shift. The adoption of these preventive measures have resulted in incremental costs that may negatively impact our gross margin. In addition, during the duration of the pandemic, our employees may be required to continue to operate within a remote work environment for extended periods of time due to illness, travel restrictions, government-imposed orders, school closures or for other reasons, any of which could result in reduced productivity of our workforce.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These impacts from the current pandemic, or other similar outbreaks or epidemics, could also result in delays in or the suspension of our manufacturing operations, research and product development activities, regulatory work streams, clinical development programs and other important commercial functions. In particular, if we were required to delay or suspend our manufacturing operations, we may encounter severe product shortages, which would adversely affect our results of operations and harm our reputation. We are also dependent upon our third-party suppliers for many of our product components, and the pandemic could have a material adverse impact on the operations of one or more of our suppliers, which could prevent them from delivering products to us on a timely basis, or at all. For example, our current inventory level for insulin cartridges is below targeted levels and there is no guarantee that our third-party cartridge manufacturer will be able to manufacture cartridges in the quantities we require to rebuild inventories or meet product demand. In addition, our primary infusion set manufacturer is currently working through inventory constraints and there is no guarantee they will be able to provide infusion sets in the quantities we require. If these or similar manufacturing challenges persist, it could have a negative impact on product sales and harm our reputation.</w:t>
      </w:r>
    </w:p>
    <w:p>
      <w:pPr>
        <w:spacing w:after="0" w:line="145"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The full extent of the impact of COVID-19 on our business and operations is highly uncertain and subject to change, and will depend on a number of factors, including the scope and duration of the global pandemic. We expect any further spread of the COVID-19 global pandemic, or even the threat or perception that this could occur, or any protracted duration of decreased economic activity, could have a material adverse impact on our business, operations and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sales and clinical employees, and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185" w:lineRule="exact"/>
        <w:rPr>
          <w:sz w:val="20"/>
          <w:szCs w:val="20"/>
          <w:color w:val="auto"/>
        </w:rPr>
      </w:pPr>
    </w:p>
    <w:p>
      <w:pPr>
        <w:ind w:right="180" w:firstLine="810"/>
        <w:spacing w:after="0" w:line="301" w:lineRule="auto"/>
        <w:rPr>
          <w:sz w:val="20"/>
          <w:szCs w:val="20"/>
          <w:color w:val="auto"/>
        </w:rPr>
      </w:pPr>
      <w:r>
        <w:rPr>
          <w:rFonts w:ascii="Arial" w:cs="Arial" w:eastAsia="Arial" w:hAnsi="Arial"/>
          <w:sz w:val="16"/>
          <w:szCs w:val="16"/>
          <w:color w:val="auto"/>
        </w:rPr>
        <w:t>Further, the COVID-19 global pandemic has resulted in substantial restrictions on our engagement efforts with customers and healthcare providers, including through the cancellation or postponement of Company-sponsored educational events, as well as third-party conferences, trade shows and similar events. These restrictions are likely to negatively impact our ability to promote our new products and features to customers and healthcare providers, which could adversely impact our product sales and customer retention rates, as well as the strength of our brand.</w:t>
      </w:r>
    </w:p>
    <w:p>
      <w:pPr>
        <w:spacing w:after="0" w:line="15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jc w:val="both"/>
        <w:ind w:right="20"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49" w:lineRule="exact"/>
        <w:rPr>
          <w:sz w:val="20"/>
          <w:szCs w:val="20"/>
          <w:color w:val="auto"/>
        </w:rPr>
      </w:pPr>
    </w:p>
    <w:p>
      <w:pPr>
        <w:ind w:right="140" w:firstLine="810"/>
        <w:spacing w:after="0" w:line="296" w:lineRule="auto"/>
        <w:rPr>
          <w:sz w:val="20"/>
          <w:szCs w:val="20"/>
          <w:color w:val="auto"/>
        </w:rPr>
      </w:pPr>
      <w:r>
        <w:rPr>
          <w:rFonts w:ascii="Arial" w:cs="Arial" w:eastAsia="Arial" w:hAnsi="Arial"/>
          <w:sz w:val="16"/>
          <w:szCs w:val="16"/>
          <w:color w:val="auto"/>
        </w:rPr>
        <w:t>Our primary competitors are major medical device companies that are either publicly traded companies or divisions or subsidiaries of publicly traded companies, including Insulet and Medtronic MiniMed. In addition, Eli Lilly &amp; Co. is developing an insulin pump.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greater ability to respond to competitive pressures, regulatory uncertainty, or challenges within the financial markets;</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160" w:hanging="656"/>
        <w:spacing w:after="0" w:line="277"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25"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w:t>
      </w:r>
    </w:p>
    <w:p>
      <w:pPr>
        <w:spacing w:after="0" w:line="170" w:lineRule="exact"/>
        <w:rPr>
          <w:sz w:val="20"/>
          <w:szCs w:val="20"/>
          <w:color w:val="auto"/>
        </w:rPr>
      </w:pPr>
    </w:p>
    <w:p>
      <w:pPr>
        <w:ind w:right="160" w:firstLine="810"/>
        <w:spacing w:after="0" w:line="253"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launched a new blood glucose sensing technology in the United States which competes with the Dexcom CGM technology, and another CGM product with CE Mark approval was approved in the second quarter of 2018 for sale in the United States. While we are currently in discussions with Abbott to develop and commercialize integrated diabetes solutions, there can be no assurance that we will enter into a definitive agreement with Abbott, that such an agreement will be on terms favorable to us, or that this collaboration will be successful. Competitive pressures within our industry, as well as the impacts and disruptions associated with the COVID-19 pandemic could negatively impact the financial condition of our business partners, impact their ability to fulfill contractual obligations to us, and result in harm to our financial condition and operating results.</w:t>
      </w:r>
    </w:p>
    <w:p>
      <w:pPr>
        <w:spacing w:after="0" w:line="194" w:lineRule="exact"/>
        <w:rPr>
          <w:sz w:val="20"/>
          <w:szCs w:val="20"/>
          <w:color w:val="auto"/>
        </w:rPr>
      </w:pPr>
    </w:p>
    <w:p>
      <w:pPr>
        <w:ind w:right="340" w:firstLine="810"/>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4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580" w:hanging="656"/>
        <w:spacing w:after="0" w:line="342" w:lineRule="auto"/>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delay their purchasing decisions, or physicians may pause prescriptions of our products, as a result of the COVID-19 global pandemic.</w:t>
      </w:r>
    </w:p>
    <w:p>
      <w:pPr>
        <w:spacing w:after="0" w:line="188"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40" w:firstLine="810"/>
        <w:spacing w:after="0" w:line="301"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7"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In addition to the currently existing reimbursement code for insulin pumps, CMS recently established additional reimbursement codes for insulin pumps with AID and CGM integration and associated supplies. The reimbursement rates for the new codes are expected to be established in 2020, but are not yet known. We are unable to determine the effect of these new reimbursement codes on the volume of our pump sales, revenues, and operating results, until the reimbursement rates are known and other details regarding their appropriate use are published. It is also possible that CMS may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It is possible that some third-party payors will not offer any coverage for our current or future products. For instance, UnitedHealthcare has designated one of our competitors as their preferred, in-network durable medical equipment provider of insulin pumps for most customers age seven or above. Unless UnitedHealthcare changes its coverage policies regarding insulin pumps, we expect this decision will prevent a majority of UnitedHealthcare members from purchasing our products. It is possible that other third-party payors may adopt similar policies in the future, which would adversely impact our ability to sell our products.</w:t>
      </w:r>
    </w:p>
    <w:p>
      <w:pPr>
        <w:spacing w:after="0" w:line="171"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1"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88"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In addition, due to the current COVID-19 global pandemic, in March 2020 we discontinued in-person activities for our field-based sales and clinical employees and are utilizing technology to remotely engage healthcare providers and customers. The duration of these restrictions on our field-based employees remains highly uncertain, and it is difficult to predict the extent of any adverse impacts on the demand for our products resulting from the restrictions.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A key element of our business strategy involves our sales, clinical, marketing and customer service personnel driving adoption of our products. We have significantly increased the number of sales, marketing, clinical and customer service personnel employed by us since we commenced commercial sales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82" w:lineRule="exact"/>
        <w:rPr>
          <w:sz w:val="20"/>
          <w:szCs w:val="20"/>
          <w:color w:val="auto"/>
        </w:rPr>
      </w:pPr>
    </w:p>
    <w:p>
      <w:pPr>
        <w:ind w:right="220" w:firstLine="810"/>
        <w:spacing w:after="0" w:line="257"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These burdens may be higher while we manage a remote workforce during the duration of the COVID-19 global pandemic.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6"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For the year ended December 31, 2019, sales to approximately 55 independent distributors represented approximately 76% of our sales. 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of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79"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For the year ended December 31, 2019, our two largest independent distributors in the United States collectively comprised approximately 31% of our worldwide sales, and our three largest independent international distributors collectively comprised approximately 60%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2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160" w:firstLine="810"/>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5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6"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will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 and improve the productivity of our sales, clinical, marketing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00" w:hanging="656"/>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reserves require a significant amount of judgment and are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320" w:top="125" w:right="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support. For example, for our employees involved in production and fulfillment operations, we have implemented preventative safety measures. For employees in other functions, we have adopted measures designed to help employees remain effective in a work-from-home environment. Each of these measures has resulted in us incurring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w:t>
      </w:r>
    </w:p>
    <w:p>
      <w:pPr>
        <w:spacing w:after="0" w:line="17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 unit costs and our ability to achieve profitability will be constrained.</w:t>
      </w:r>
    </w:p>
    <w:p>
      <w:pPr>
        <w:spacing w:after="0" w:line="187"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In addition, the per unit cost of our products is significantly impacted by our overall production volumes, and any factors that prevent our products from achieving market acceptance, cause our production volumes to decline, result in our sales growing at a slower rate than we expect, or result in the closure of our manufacturing facilities, would significantly impact our expected per unit costs, which would adversely impact our gross margins. In addition, we may not achieve anticipated improvements in manufacturing efficiency as we undertake actions to expand our manufacturing capacity.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inability to secure product components in a timely manner, in sufficient quantities and on commercially reasonable terms;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government-mandated or voluntary closures of our manufacturing facilities;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While we do not currently anticipate a significant disruption in our ability to manufacture insulin pumps and cartridges, our inventory for finished cartridges and infusion sets is below our targeted level and there is no guarantee that our third-party cartridge manufacturer will be able to manufacture cartridges in the quantities we require to rebuild inventories or meet product demand. In addition, our primary infusion set manufacturer is currently working through inventory constraints and we have asked some customers to accept substitutions of similar products to prevent delays in order fulfillment. While we are managing our inventory of cartridge and infusion set supplies, if these or similar manufacturing challenges persist, it could have a negative impact on product sales and harm our reputation.</w:t>
      </w:r>
    </w:p>
    <w:p>
      <w:pPr>
        <w:spacing w:after="0" w:line="177" w:lineRule="exact"/>
        <w:rPr>
          <w:sz w:val="20"/>
          <w:szCs w:val="20"/>
          <w:color w:val="auto"/>
        </w:rPr>
      </w:pPr>
    </w:p>
    <w:p>
      <w:pPr>
        <w:jc w:val="both"/>
        <w:ind w:right="360" w:firstLine="810"/>
        <w:spacing w:after="0" w:line="263"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3"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16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China and Mexico. Depending on a limited number of suppliers exposes us to risks, including limited control over cost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7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We expect it will be particularly difficult to accurately forecast demand during the global pandemic.</w:t>
      </w:r>
    </w:p>
    <w:p>
      <w:pPr>
        <w:spacing w:after="0" w:line="188"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proprietary infusion set connector, or if it does not achieve market acceptance, we may not achieve our financial projections.</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In September 2017, we began commercial sales in the United States of products with our customized t:lock connector, which is used to connect our pump cartridge to our infusion set offerings. Our t:lock connector replaced the standard Luer-lok connector that historically joined an infusion set to our proprietary disposable insulin cartridges. Concurrently, we began selling infusion sets that are compatible with t:lock. Starting in 2018, we initially offered standard Luer-lok cartridges and infusion sets in select international markets, and transitioned to our t:lock connector in international markets during 2019.</w:t>
      </w:r>
    </w:p>
    <w:p>
      <w:pPr>
        <w:spacing w:after="0" w:line="157"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believe the transition to the t:lock connector, for our direct customers and distributors in the United States and international markets, is substantially complete. However, during 2020 there may be limited circumstances where we continue offering both styles of cartridges and infusion sets in international markets to facilitate the transition of customer supplies. Due to the variability in purchasing patterns, standard Luer-lok inventories may not be consumed at the predicted rates and we may be required to offer both styles of insulin cartridges and infusion sets for a longer period than anticipated or we may be left with excess quantities of standard Luer-lok inventories that we cannot sell at standard prices or at all, which would negatively impact our results of operations.</w:t>
      </w:r>
    </w:p>
    <w:p>
      <w:pPr>
        <w:spacing w:after="0" w:line="19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While the t:lock connector was designed based on customer feedback, and all standard Luer-lok infusion sets that we recently offered are now available with the t:lock connector, it is possible that t:lock may not continue to gain market acceptance by current or potential customers, their caregivers, or healthcare providers. Any negative market response to the t:lock connector may impact a current customer’s decision to purchase a new pump from us at the time of renewal. In addition, potential customers may decide not to purchase our insulin pumps if they do not prefer the t:lock connector or t:lock compatible infusion sets, which could have a material adverse impact on our business, financial condition and operating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operations are primarily located in San Diego, California, and any disruption at one of our facilities could adversely affect our business and operating results.*</w:t>
      </w:r>
    </w:p>
    <w:p>
      <w:pPr>
        <w:spacing w:after="0" w:line="170" w:lineRule="exact"/>
        <w:rPr>
          <w:sz w:val="20"/>
          <w:szCs w:val="20"/>
          <w:color w:val="auto"/>
        </w:rPr>
      </w:pPr>
    </w:p>
    <w:p>
      <w:pPr>
        <w:ind w:right="80" w:firstLine="810"/>
        <w:spacing w:after="0" w:line="269" w:lineRule="auto"/>
        <w:rPr>
          <w:sz w:val="20"/>
          <w:szCs w:val="20"/>
          <w:color w:val="auto"/>
        </w:rPr>
      </w:pPr>
      <w:r>
        <w:rPr>
          <w:rFonts w:ascii="Arial" w:cs="Arial" w:eastAsia="Arial" w:hAnsi="Arial"/>
          <w:sz w:val="17"/>
          <w:szCs w:val="17"/>
          <w:color w:val="auto"/>
        </w:rPr>
        <w:t>Substantially all of our current operations are conducted in San Diego, California, including our manufacturing processes, R&amp;D activities and management and administrative functions. In addition, the majority of our inventories of component supplies and finished goods is stored at two facilities in San Diego. We also store finished goods at third-party warehouses in Texas for the fulfillment of certain customer orders. In the second half of 2019, we commenced limited customer and technical support activities in Boise, Idaho. We expect our operations in Boise to expand substantially during 2020.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At the beginning of 2018 we completed the transition of our manufacturing operations to our Barnes Canyon facility, and during the fourth quarter of 2019 we commenced operations at a new logistics warehouse in San Diego. We expect that both of these actions will allow for future capacity for product manufacturing and warehousing expansion. However, we may not experience the anticipated operating efficiencies at either facility. In addition, beginning in 2020 we outsourced a portion of our cartridge manufacturing demand to an experienced third-party contract manufacturer. If we fail to achieve the operating efficiencies that we anticipate, our manufacturing and operating costs may be greater than expected, which would have a material adverse impact on our operating results. In addition, we or our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In addition, because of the custom nature of our cartridge manufacturing process and product components, and the highly regulated nature of our products overall, in the event of any problems with our contract manufacturer, we may not be able to quickly establish additional or alternative arrangements.</w:t>
      </w:r>
    </w:p>
    <w:p>
      <w:pPr>
        <w:spacing w:after="0" w:line="182"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We expect that the management and support of our new facilities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external third parties to perform contracted manufacturing services for us.</w:t>
      </w:r>
    </w:p>
    <w:p>
      <w:pPr>
        <w:spacing w:after="0" w:line="1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20" w:hanging="656"/>
        <w:spacing w:after="0" w:line="308" w:lineRule="auto"/>
        <w:tabs>
          <w:tab w:leader="none" w:pos="1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right="1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120" w:firstLine="810"/>
        <w:spacing w:after="0" w:line="272" w:lineRule="auto"/>
        <w:rPr>
          <w:sz w:val="20"/>
          <w:szCs w:val="20"/>
          <w:color w:val="auto"/>
        </w:rPr>
      </w:pPr>
      <w:r>
        <w:rPr>
          <w:rFonts w:ascii="Arial" w:cs="Arial" w:eastAsia="Arial" w:hAnsi="Arial"/>
          <w:sz w:val="17"/>
          <w:szCs w:val="17"/>
          <w:color w:val="auto"/>
        </w:rPr>
        <w:t>Currently there are only limited published studies to evaluate the safety or effectiveness of our products in a controlled setting. As a result,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81"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related to G5 and G6 CGM currently run until June 2021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operate our business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any of which could have an adverse and material effect on our business, financial condition and operating results.*</w:t>
      </w:r>
    </w:p>
    <w:p>
      <w:pPr>
        <w:spacing w:after="0" w:line="225"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current and future mobile applications,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78" w:lineRule="exact"/>
        <w:rPr>
          <w:sz w:val="20"/>
          <w:szCs w:val="20"/>
          <w:color w:val="auto"/>
        </w:rPr>
      </w:pPr>
    </w:p>
    <w:p>
      <w:pPr>
        <w:ind w:right="100" w:firstLine="810"/>
        <w:spacing w:after="0" w:line="288"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We are unable to predict the direct or indirect impact of any such incidents to our business. Further, many of our service providers are subject to similar risks. Whether or not our security measures and those of our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that could contain unanticipated vulnerabilities, which could make our products subject to computer viruses, cyber-attacks, or failures. These risks significantly increased after July 2016, when we received FDA clearance of our Tandem Device Updater, which enables customers to remotely update software on their insulin pumps and may increase further following the launch of our new mobile application.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w:t>
      </w:r>
    </w:p>
    <w:p>
      <w:pPr>
        <w:spacing w:after="0" w:line="178"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on or around January 17, 2020.*</w:t>
      </w:r>
    </w:p>
    <w:p>
      <w:pPr>
        <w:spacing w:after="0" w:line="185"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continued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have been named a defendant in four putative class action lawsuits that we are aware of. The risks posed by these lawsuits include civil monetary damages, attorney fees and costs, other legal penalties, reputational damage, loss of goodwill, and competitive harm.</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There are a number of domestic and international laws protecting the privacy and security of personal information. These laws include the U.S. Health Insurance Portability and Accountability Act of 1996 (HIPAA) and related regulations, U.S. state laws, Canada’s Personal Information and Electronic Documents Act (PIPEDA),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lawsuits described above allege violations of some of these laws.</w:t>
      </w:r>
    </w:p>
    <w:p>
      <w:pPr>
        <w:spacing w:after="0" w:line="192"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U.S. state laws, we could be subject to civil or criminal penalties, which could increase our liabilities, harm our reputation and have a material adverse effect on our business, financial condition and operating results. Although we utilize a variety of measures to secure the data that we control, even compliant entities can experience security breaches or have inadvertent failures despite employing reasonable practices and safeguards.</w:t>
      </w:r>
    </w:p>
    <w:p>
      <w:pPr>
        <w:spacing w:after="0" w:line="188"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We may also face new risks relating to data privacy and security as the United States, individual U.S. states, E.U. member states, and other international jurisdictions adopt or implement new data privacy and security laws and regulations as we continue to commercialize our products worldwide. For example, the California Consumer Privacy Act, which took effect on January 1, 2020, may impose additional requirements on us and increase our regulatory and litigation risk. As we continue to expand, our business will need to adapt to meet these and other similar legal requirements.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3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or incidence of disease.</w:t>
      </w:r>
    </w:p>
    <w:p>
      <w:pPr>
        <w:spacing w:after="0" w:line="248"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right="640"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84" w:lineRule="exact"/>
        <w:rPr>
          <w:sz w:val="20"/>
          <w:szCs w:val="20"/>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jc w:val="center"/>
        <w:ind w:left="5540" w:right="1660" w:hanging="4236"/>
        <w:spacing w:after="0" w:line="527" w:lineRule="auto"/>
        <w:tabs>
          <w:tab w:leader="none" w:pos="19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 52</w:t>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At March 31, 2020, we had $160.2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increase the size of our facility footprint due to increasing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92" w:lineRule="exact"/>
        <w:rPr>
          <w:sz w:val="20"/>
          <w:szCs w:val="20"/>
          <w:color w:val="auto"/>
        </w:rPr>
      </w:pPr>
    </w:p>
    <w:p>
      <w:pPr>
        <w:ind w:left="1960" w:right="180" w:hanging="656"/>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clinical and marketing infrastructure;</w:t>
      </w:r>
    </w:p>
    <w:p>
      <w:pPr>
        <w:spacing w:after="0" w:line="225" w:lineRule="exact"/>
        <w:rPr>
          <w:rFonts w:ascii="Arial" w:cs="Arial" w:eastAsia="Arial" w:hAnsi="Arial"/>
          <w:sz w:val="18"/>
          <w:szCs w:val="18"/>
          <w:color w:val="auto"/>
        </w:rPr>
      </w:pPr>
    </w:p>
    <w:p>
      <w:pPr>
        <w:ind w:left="1960" w:right="260" w:hanging="656"/>
        <w:spacing w:after="0" w:line="263"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120" w:hanging="656"/>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or unanticipated capital expenditures;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and administrative expenses; and</w:t>
      </w:r>
    </w:p>
    <w:p>
      <w:pPr>
        <w:spacing w:after="0" w:line="225" w:lineRule="exact"/>
        <w:rPr>
          <w:rFonts w:ascii="Arial" w:cs="Arial" w:eastAsia="Arial" w:hAnsi="Arial"/>
          <w:sz w:val="18"/>
          <w:szCs w:val="18"/>
          <w:color w:val="auto"/>
        </w:rPr>
      </w:pPr>
    </w:p>
    <w:p>
      <w:pPr>
        <w:ind w:left="1960" w:right="520" w:hanging="656"/>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impacts and disruptions resulting from geopolitical actions, including war and terrorism, natural disasters, or incidence of disease.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5540" w:right="280" w:hanging="4236"/>
        <w:spacing w:after="0" w:line="527" w:lineRule="auto"/>
        <w:tabs>
          <w:tab w:leader="none" w:pos="19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 54</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60" w:firstLine="810"/>
        <w:spacing w:after="0" w:line="277" w:lineRule="auto"/>
        <w:rPr>
          <w:sz w:val="20"/>
          <w:szCs w:val="20"/>
          <w:color w:val="auto"/>
        </w:rPr>
      </w:pPr>
      <w:r>
        <w:rPr>
          <w:rFonts w:ascii="Arial" w:cs="Arial" w:eastAsia="Arial" w:hAnsi="Arial"/>
          <w:sz w:val="18"/>
          <w:szCs w:val="18"/>
          <w:color w:val="auto"/>
        </w:rPr>
        <w:t>Each of these factors may be negatively impacted by the COVID-19 global pandemic, which could have the effect of causing greater fluctuations in our operating results in future periods.</w:t>
      </w:r>
    </w:p>
    <w:p>
      <w:pPr>
        <w:spacing w:after="0" w:line="170"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March 31, 2020, our patent portfolio consisted of approximately 125 issued U.S. patents and 85 pending U.S. patent applications. Of these, our issued U.S. patents expire between approximately 2021 and 2036. We are also seeking patent protection for our proprietary technologies in other countries throughout the world. In addition, we also have 34 trademark registrations, including 14 U.S. trademark registrations and 20 foreign trademark registrations.</w:t>
      </w:r>
    </w:p>
    <w:p>
      <w:pPr>
        <w:spacing w:after="0" w:line="188" w:lineRule="exact"/>
        <w:rPr>
          <w:sz w:val="20"/>
          <w:szCs w:val="20"/>
          <w:color w:val="auto"/>
        </w:rPr>
      </w:pPr>
    </w:p>
    <w:p>
      <w:pPr>
        <w:ind w:right="18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3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2"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color w:val="auto"/>
        </w:rPr>
        <w:t>During the first quarter of 2020 we submitted a 510(k) relating to an expanded age indication for use for our Control-IQ technology, for children 6 to 13 years of age. 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4"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8"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92" w:lineRule="exact"/>
        <w:rPr>
          <w:sz w:val="20"/>
          <w:szCs w:val="20"/>
          <w:color w:val="auto"/>
        </w:rPr>
      </w:pPr>
    </w:p>
    <w:p>
      <w:pPr>
        <w:ind w:right="120" w:firstLine="810"/>
        <w:spacing w:after="0" w:line="301"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43"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46"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We cannot assure you that our facilities or our contract manufacturer or component suppliers’ facilities would pass any future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7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If we, or our suppliers,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recall of our products, or the discovery of serious safety issues with our products, could have a significant negative impact on us.</w:t>
      </w:r>
    </w:p>
    <w:p>
      <w:pPr>
        <w:spacing w:after="0" w:line="237"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78"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Further,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60" w:hanging="656"/>
        <w:spacing w:after="0" w:line="25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7" w:lineRule="exact"/>
        <w:rPr>
          <w:rFonts w:ascii="Arial" w:cs="Arial" w:eastAsia="Arial" w:hAnsi="Arial"/>
          <w:sz w:val="18"/>
          <w:szCs w:val="18"/>
          <w:color w:val="auto"/>
        </w:rPr>
      </w:pPr>
    </w:p>
    <w:p>
      <w:pPr>
        <w:ind w:left="1960" w:right="160" w:hanging="656"/>
        <w:spacing w:after="0" w:line="263"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hanging="656"/>
        <w:spacing w:after="0" w:line="286" w:lineRule="auto"/>
        <w:tabs>
          <w:tab w:leader="none" w:pos="1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federal and state physician 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w:t>
      </w:r>
    </w:p>
    <w:p>
      <w:pPr>
        <w:spacing w:after="0" w:line="165" w:lineRule="exact"/>
        <w:rPr>
          <w:rFonts w:ascii="Arial" w:cs="Arial" w:eastAsia="Arial" w:hAnsi="Arial"/>
          <w:sz w:val="17"/>
          <w:szCs w:val="17"/>
          <w:color w:val="auto"/>
        </w:rPr>
      </w:pPr>
    </w:p>
    <w:p>
      <w:pPr>
        <w:ind w:left="1960" w:right="140" w:hanging="656"/>
        <w:spacing w:after="0" w:line="25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7" w:lineRule="exact"/>
        <w:rPr>
          <w:rFonts w:ascii="Arial" w:cs="Arial" w:eastAsia="Arial" w:hAnsi="Arial"/>
          <w:sz w:val="18"/>
          <w:szCs w:val="18"/>
          <w:color w:val="auto"/>
        </w:rPr>
      </w:pPr>
    </w:p>
    <w:p>
      <w:pPr>
        <w:ind w:left="1960" w:right="220" w:hanging="656"/>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Recently, federal government agencies have published proposed rules for public comment which would make material modifications to several of these laws, including but not limited to the Anti-Kickback Statute, the Stark Law and HIPAA. It is unknown if or when these proposed rules may be adopted and what final form the proposed rules may take and how they may impact our business operations.</w:t>
      </w:r>
    </w:p>
    <w:p>
      <w:pPr>
        <w:spacing w:after="0" w:line="195"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8" w:lineRule="exact"/>
        <w:rPr>
          <w:sz w:val="20"/>
          <w:szCs w:val="20"/>
          <w:color w:val="auto"/>
        </w:rPr>
      </w:pPr>
    </w:p>
    <w:p>
      <w:pPr>
        <w:ind w:right="22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4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The Patient Protection and Affordable Care Act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also been proposed that could modify or repeal the PPACA. The uncertainties regarding the future of the PPACA, and other healthcare reform initiatives, may have an adverse effect on our customers’ purchasing decisions regarding our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The PPACA imposed, among other things, an excise tax of 2.3% on any entity that manufactures or imports medical devices offered for sale in the United States, starting January 1, 2013. In December 2019, the medical device excise tax was repealed. Prior to the repeal, the tax had been suspended for calendar years 2016, 2017, 2018 and 2019. As a result of the repeal and the prior moratorium, sales of taxable medical devices after December 31, 2015, are not subject to the tax. We do not believe that our products were subject to this tax based on the retail exemption under applicable Treasury Regulations. However, the availability of this exemption is subject to interpretation by the Internal Revenue Service (IRS) and the IRS may disagree with our analysis. Additionally, Congress could enact future legislation or further change the law related to the medical device tax in a manner that could adversely affect us. The financial impact such taxes could have on our business is unclear and there can be no assurance that our business would not be materially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125" w:right="3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80" w:hanging="656"/>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right="280" w:firstLine="810"/>
        <w:spacing w:after="0" w:line="273" w:lineRule="auto"/>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(2017 Tax Act) which significantly reforms the Internal Revenue Code of 1986, as amended (the Code). The 2017 Tax Act,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40" w:firstLine="810"/>
        <w:spacing w:after="0" w:line="291" w:lineRule="auto"/>
        <w:rPr>
          <w:sz w:val="20"/>
          <w:szCs w:val="20"/>
          <w:color w:val="auto"/>
        </w:rPr>
      </w:pPr>
      <w:r>
        <w:rPr>
          <w:rFonts w:ascii="Arial" w:cs="Arial" w:eastAsia="Arial" w:hAnsi="Arial"/>
          <w:sz w:val="16"/>
          <w:szCs w:val="16"/>
          <w:color w:val="auto"/>
        </w:rPr>
        <w:t>As of December 31, 2019, we had federal net operating loss (NOL) carryforwards of approximately $248.7 million, which includes the reduction recorded in 2019 discussed below. Of the total federal net operating loss carryforwards, $208.5 million will begin to expire in 2026,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66" w:lineRule="exact"/>
        <w:rPr>
          <w:sz w:val="20"/>
          <w:szCs w:val="20"/>
          <w:color w:val="auto"/>
        </w:rPr>
      </w:pPr>
    </w:p>
    <w:p>
      <w:pPr>
        <w:ind w:right="40" w:firstLine="810"/>
        <w:spacing w:after="0" w:line="296" w:lineRule="auto"/>
        <w:rPr>
          <w:sz w:val="20"/>
          <w:szCs w:val="20"/>
          <w:color w:val="auto"/>
        </w:rPr>
      </w:pPr>
      <w:r>
        <w:rPr>
          <w:rFonts w:ascii="Arial" w:cs="Arial" w:eastAsia="Arial" w:hAnsi="Arial"/>
          <w:sz w:val="16"/>
          <w:szCs w:val="16"/>
          <w:color w:val="auto"/>
        </w:rPr>
        <w:t>We have completed an analysis through December 31, 2018 to determine whether our net operating losses and credits are likely to be limited by Section 382. Based on this study,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are projected to expire unused. In addition, future ownership changes under Section 382 may further limit the Company’s ability to fully utilize any remaining tax benefits.</w:t>
      </w:r>
    </w:p>
    <w:p>
      <w:pPr>
        <w:spacing w:after="0" w:line="161"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With respect to our NOLs generated in 2018 and thereafter, the 2017 Tax Act may reduce the tax benefit of our NOLs. Under the 2017 Tax Act, our ability to carry back NOLs incurred after December 31, 2017 to previous tax years is eliminated. Under prior law, we could carry back NOLs for two years and carry forward NOLs for 20 years. Under the 2017 Tax Act, NOL carryforwards may be carried forward indefinitely. However, for NOLs arising after December 31, 2017, NOL carryforwards will be limited to 80% of our taxable income. Our NOLs generated in 2017 and in prior years will not be subject to the limitations under the 2017 Tax Act.</w:t>
      </w:r>
    </w:p>
    <w:p>
      <w:pPr>
        <w:spacing w:after="0" w:line="188"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Due to the recent enactment of the CARES Act, we are currently unable to quantify the impact that the CARES Act will have on our financial position, results of operations or cash flows, although we do not anticipate the impact to be 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6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320" w:top="125" w:right="3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1"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auto"/>
        </w:rPr>
        <w:t>Provided</w:t>
      </w:r>
    </w:p>
    <w:p>
      <w:pPr>
        <w:spacing w:after="0" w:line="27" w:lineRule="exact"/>
        <w:rPr>
          <w:sz w:val="20"/>
          <w:szCs w:val="20"/>
          <w:color w:val="auto"/>
        </w:rPr>
      </w:pPr>
    </w:p>
    <w:p>
      <w:pPr>
        <w:jc w:val="right"/>
        <w:ind w:right="320"/>
        <w:spacing w:after="0"/>
        <w:tabs>
          <w:tab w:leader="none" w:pos="680" w:val="left"/>
        </w:tabs>
        <w:rPr>
          <w:sz w:val="20"/>
          <w:szCs w:val="20"/>
          <w:color w:val="auto"/>
        </w:rPr>
      </w:pPr>
      <w:r>
        <w:rPr>
          <w:rFonts w:ascii="Arial" w:cs="Arial" w:eastAsia="Arial" w:hAnsi="Arial"/>
          <w:sz w:val="18"/>
          <w:szCs w:val="18"/>
          <w:b w:val="1"/>
          <w:bCs w:val="1"/>
          <w:color w:val="auto"/>
        </w:rPr>
        <w:t>Incorporated by Reference</w:t>
      </w:r>
      <w:r>
        <w:rPr>
          <w:sz w:val="20"/>
          <w:szCs w:val="20"/>
          <w:color w:val="auto"/>
        </w:rPr>
        <w:tab/>
      </w: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22860</wp:posOffset>
            </wp:positionV>
            <wp:extent cx="34118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8"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Exhibit</w:t>
            </w: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34"/>
        </w:trPr>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w:t>
            </w:r>
          </w:p>
        </w:tc>
        <w:tc>
          <w:tcPr>
            <w:tcW w:w="4740" w:type="dxa"/>
            <w:vAlign w:val="bottom"/>
            <w:gridSpan w:val="7"/>
          </w:tcPr>
          <w:p>
            <w:pPr>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980" w:type="dxa"/>
            <w:vAlign w:val="bottom"/>
          </w:tcPr>
          <w:p>
            <w:pPr>
              <w:ind w:left="240"/>
              <w:spacing w:after="0"/>
              <w:rPr>
                <w:sz w:val="20"/>
                <w:szCs w:val="20"/>
                <w:color w:val="auto"/>
              </w:rPr>
            </w:pPr>
            <w:r>
              <w:rPr>
                <w:rFonts w:ascii="Arial" w:cs="Arial" w:eastAsia="Arial" w:hAnsi="Arial"/>
                <w:sz w:val="18"/>
                <w:szCs w:val="18"/>
                <w:b w:val="1"/>
                <w:bCs w:val="1"/>
                <w:color w:val="auto"/>
              </w:rPr>
              <w:t>File 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First Filing</w:t>
            </w: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29"/>
        </w:trPr>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88"/>
              </w:rPr>
              <w:t>10.1†</w:t>
            </w:r>
          </w:p>
        </w:tc>
        <w:tc>
          <w:tcPr>
            <w:tcW w:w="41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License Agreement, dated July 14, 2016, by and between</w:t>
              </w:r>
            </w:hyperlink>
          </w:p>
        </w:tc>
        <w:tc>
          <w:tcPr>
            <w:tcW w:w="600" w:type="dxa"/>
            <w:vAlign w:val="bottom"/>
            <w:gridSpan w:val="4"/>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4740" w:type="dxa"/>
            <w:vAlign w:val="bottom"/>
            <w:gridSpan w:val="7"/>
            <w:vMerge w:val="restart"/>
          </w:tcPr>
          <w:p>
            <w:pPr>
              <w:spacing w:after="0"/>
              <w:rPr>
                <w:rFonts w:ascii="Arial" w:cs="Arial" w:eastAsia="Arial" w:hAnsi="Arial"/>
                <w:sz w:val="18"/>
                <w:szCs w:val="18"/>
                <w:u w:val="single" w:color="auto"/>
                <w:color w:val="0000FF"/>
                <w:w w:val="94"/>
              </w:rPr>
            </w:pPr>
            <w:hyperlink w:anchor="page70">
              <w:r>
                <w:rPr>
                  <w:rFonts w:ascii="Arial" w:cs="Arial" w:eastAsia="Arial" w:hAnsi="Arial"/>
                  <w:sz w:val="18"/>
                  <w:szCs w:val="18"/>
                  <w:u w:val="single" w:color="auto"/>
                  <w:color w:val="0000FF"/>
                  <w:w w:val="94"/>
                </w:rPr>
                <w:t>Tandem Diabetes Care, Inc. and TypeZero Technologies, LLC</w:t>
              </w:r>
            </w:hyperlink>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740" w:type="dxa"/>
            <w:vAlign w:val="bottom"/>
            <w:gridSpan w:val="7"/>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95"/>
              </w:rPr>
              <w:t>10.2*</w:t>
            </w:r>
          </w:p>
        </w:tc>
        <w:tc>
          <w:tcPr>
            <w:tcW w:w="432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83">
              <w:r>
                <w:rPr>
                  <w:rFonts w:ascii="Arial" w:cs="Arial" w:eastAsia="Arial" w:hAnsi="Arial"/>
                  <w:sz w:val="18"/>
                  <w:szCs w:val="18"/>
                  <w:color w:val="0000FF"/>
                  <w:w w:val="88"/>
                </w:rPr>
                <w:t>Tandem Diabetes Care, Inc. 2020 Senior Management Cash</w:t>
              </w:r>
            </w:hyperlink>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880" w:type="dxa"/>
            <w:vAlign w:val="bottom"/>
            <w:vMerge w:val="restart"/>
          </w:tcPr>
          <w:p>
            <w:pPr>
              <w:spacing w:after="0" w:line="196" w:lineRule="exact"/>
              <w:rPr>
                <w:rFonts w:ascii="Arial" w:cs="Arial" w:eastAsia="Arial" w:hAnsi="Arial"/>
                <w:sz w:val="18"/>
                <w:szCs w:val="18"/>
                <w:color w:val="0000FF"/>
                <w:w w:val="88"/>
              </w:rPr>
            </w:pPr>
            <w:hyperlink w:anchor="page83">
              <w:r>
                <w:rPr>
                  <w:rFonts w:ascii="Arial" w:cs="Arial" w:eastAsia="Arial" w:hAnsi="Arial"/>
                  <w:sz w:val="18"/>
                  <w:szCs w:val="18"/>
                  <w:color w:val="0000FF"/>
                  <w:w w:val="88"/>
                </w:rPr>
                <w:t>Bonus Plan.</w:t>
              </w:r>
            </w:hyperlink>
          </w:p>
        </w:tc>
        <w:tc>
          <w:tcPr>
            <w:tcW w:w="3860" w:type="dxa"/>
            <w:vAlign w:val="bottom"/>
            <w:gridSpan w:val="6"/>
            <w:vMerge w:val="restart"/>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3860" w:type="dxa"/>
            <w:vAlign w:val="bottom"/>
            <w:gridSpan w:val="6"/>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31.1</w:t>
            </w:r>
          </w:p>
        </w:tc>
        <w:tc>
          <w:tcPr>
            <w:tcW w:w="42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Certification of John F. Sheridan, Chief Executive Officer,</w:t>
              </w:r>
            </w:hyperlink>
          </w:p>
        </w:tc>
        <w:tc>
          <w:tcPr>
            <w:tcW w:w="52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4740" w:type="dxa"/>
            <w:vAlign w:val="bottom"/>
            <w:gridSpan w:val="7"/>
            <w:vMerge w:val="restart"/>
          </w:tcPr>
          <w:p>
            <w:pPr>
              <w:spacing w:after="0"/>
              <w:rPr>
                <w:rFonts w:ascii="Arial" w:cs="Arial" w:eastAsia="Arial" w:hAnsi="Arial"/>
                <w:sz w:val="18"/>
                <w:szCs w:val="18"/>
                <w:u w:val="single" w:color="auto"/>
                <w:color w:val="0000FF"/>
                <w:w w:val="99"/>
              </w:rPr>
            </w:pPr>
            <w:hyperlink w:anchor="page86">
              <w:r>
                <w:rPr>
                  <w:rFonts w:ascii="Arial" w:cs="Arial" w:eastAsia="Arial" w:hAnsi="Arial"/>
                  <w:sz w:val="18"/>
                  <w:szCs w:val="18"/>
                  <w:u w:val="single" w:color="auto"/>
                  <w:color w:val="0000FF"/>
                  <w:w w:val="99"/>
                </w:rPr>
                <w:t>pursuant to Section 302 of the Sarbanes-Oxley Act of 2002.</w:t>
              </w:r>
            </w:hyperlink>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740" w:type="dxa"/>
            <w:vAlign w:val="bottom"/>
            <w:gridSpan w:val="7"/>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31.2</w:t>
            </w:r>
          </w:p>
        </w:tc>
        <w:tc>
          <w:tcPr>
            <w:tcW w:w="430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87">
              <w:r>
                <w:rPr>
                  <w:rFonts w:ascii="Arial" w:cs="Arial" w:eastAsia="Arial" w:hAnsi="Arial"/>
                  <w:sz w:val="18"/>
                  <w:szCs w:val="18"/>
                  <w:color w:val="0000FF"/>
                  <w:w w:val="93"/>
                </w:rPr>
                <w:t>Certification of Leigh A. Vosseller, Chief Financial Officer,</w:t>
              </w:r>
            </w:hyperlink>
          </w:p>
        </w:tc>
        <w:tc>
          <w:tcPr>
            <w:tcW w:w="44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4740" w:type="dxa"/>
            <w:vAlign w:val="bottom"/>
            <w:gridSpan w:val="7"/>
            <w:vMerge w:val="restart"/>
          </w:tcPr>
          <w:p>
            <w:pPr>
              <w:spacing w:after="0"/>
              <w:rPr>
                <w:rFonts w:ascii="Arial" w:cs="Arial" w:eastAsia="Arial" w:hAnsi="Arial"/>
                <w:sz w:val="18"/>
                <w:szCs w:val="18"/>
                <w:u w:val="single" w:color="auto"/>
                <w:color w:val="0000FF"/>
                <w:w w:val="99"/>
              </w:rPr>
            </w:pPr>
            <w:hyperlink w:anchor="page87">
              <w:r>
                <w:rPr>
                  <w:rFonts w:ascii="Arial" w:cs="Arial" w:eastAsia="Arial" w:hAnsi="Arial"/>
                  <w:sz w:val="18"/>
                  <w:szCs w:val="18"/>
                  <w:u w:val="single" w:color="auto"/>
                  <w:color w:val="0000FF"/>
                  <w:w w:val="99"/>
                </w:rPr>
                <w:t>pursuant to Section 302 of the Sarbanes-Oxley Act of 2002.</w:t>
              </w:r>
            </w:hyperlink>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740" w:type="dxa"/>
            <w:vAlign w:val="bottom"/>
            <w:gridSpan w:val="7"/>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2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Certification of John F. Sheridan, Chief Executive Officer,</w:t>
              </w:r>
            </w:hyperlink>
          </w:p>
        </w:tc>
        <w:tc>
          <w:tcPr>
            <w:tcW w:w="520" w:type="dxa"/>
            <w:vAlign w:val="bottom"/>
            <w:gridSpan w:val="3"/>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right="190"/>
              <w:spacing w:after="0" w:line="196" w:lineRule="exact"/>
              <w:rPr>
                <w:sz w:val="20"/>
                <w:szCs w:val="20"/>
                <w:color w:val="auto"/>
              </w:rPr>
            </w:pPr>
            <w:r>
              <w:rPr>
                <w:rFonts w:ascii="Arial" w:cs="Arial" w:eastAsia="Arial" w:hAnsi="Arial"/>
                <w:sz w:val="18"/>
                <w:szCs w:val="18"/>
                <w:color w:val="auto"/>
              </w:rPr>
              <w:t>32.1**</w:t>
            </w:r>
          </w:p>
        </w:tc>
        <w:tc>
          <w:tcPr>
            <w:tcW w:w="40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88">
              <w:r>
                <w:rPr>
                  <w:rFonts w:ascii="Arial" w:cs="Arial" w:eastAsia="Arial" w:hAnsi="Arial"/>
                  <w:sz w:val="18"/>
                  <w:szCs w:val="18"/>
                  <w:color w:val="0000FF"/>
                  <w:w w:val="88"/>
                </w:rPr>
                <w:t>pursuant to U.S.C. Section 1350, as adopted pursuant to</w:t>
              </w:r>
            </w:hyperlink>
          </w:p>
        </w:tc>
        <w:tc>
          <w:tcPr>
            <w:tcW w:w="7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4740" w:type="dxa"/>
            <w:vAlign w:val="bottom"/>
            <w:gridSpan w:val="7"/>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Section 906 of the Sarbanes-Oxley Act of 2002.</w:t>
              </w:r>
            </w:hyperlink>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30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89">
              <w:r>
                <w:rPr>
                  <w:rFonts w:ascii="Arial" w:cs="Arial" w:eastAsia="Arial" w:hAnsi="Arial"/>
                  <w:sz w:val="18"/>
                  <w:szCs w:val="18"/>
                  <w:color w:val="0000FF"/>
                  <w:w w:val="93"/>
                </w:rPr>
                <w:t>Certification of Leigh A. Vosseller, Chief Financial Officer,</w:t>
              </w:r>
            </w:hyperlink>
          </w:p>
        </w:tc>
        <w:tc>
          <w:tcPr>
            <w:tcW w:w="44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right="190"/>
              <w:spacing w:after="0" w:line="196" w:lineRule="exact"/>
              <w:rPr>
                <w:sz w:val="20"/>
                <w:szCs w:val="20"/>
                <w:color w:val="auto"/>
              </w:rPr>
            </w:pPr>
            <w:r>
              <w:rPr>
                <w:rFonts w:ascii="Arial" w:cs="Arial" w:eastAsia="Arial" w:hAnsi="Arial"/>
                <w:sz w:val="18"/>
                <w:szCs w:val="18"/>
                <w:color w:val="auto"/>
              </w:rPr>
              <w:t>32.2**</w:t>
            </w:r>
          </w:p>
        </w:tc>
        <w:tc>
          <w:tcPr>
            <w:tcW w:w="40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89">
              <w:r>
                <w:rPr>
                  <w:rFonts w:ascii="Arial" w:cs="Arial" w:eastAsia="Arial" w:hAnsi="Arial"/>
                  <w:sz w:val="18"/>
                  <w:szCs w:val="18"/>
                  <w:color w:val="0000FF"/>
                  <w:w w:val="88"/>
                </w:rPr>
                <w:t>pursuant to U.S.C. Section 1350, as adopted pursuant to</w:t>
              </w:r>
            </w:hyperlink>
          </w:p>
        </w:tc>
        <w:tc>
          <w:tcPr>
            <w:tcW w:w="7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4740" w:type="dxa"/>
            <w:vAlign w:val="bottom"/>
            <w:gridSpan w:val="7"/>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Section 906 of the Sarbanes-Oxley Act of 2002.</w:t>
              </w:r>
            </w:hyperlink>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sectPr>
          <w:pgSz w:w="11900" w:h="16838" w:orient="portrait"/>
          <w:cols w:equalWidth="0" w:num="2">
            <w:col w:w="9780" w:space="720"/>
            <w:col w:w="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10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101.INS</w:t>
            </w: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314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40" w:type="dxa"/>
            <w:vAlign w:val="bottom"/>
          </w:tcPr>
          <w:p>
            <w:pPr>
              <w:jc w:val="center"/>
              <w:ind w:left="10"/>
              <w:spacing w:after="0"/>
              <w:rPr>
                <w:sz w:val="20"/>
                <w:szCs w:val="20"/>
                <w:color w:val="auto"/>
              </w:rPr>
            </w:pPr>
            <w:r>
              <w:rPr>
                <w:rFonts w:ascii="Arial" w:cs="Arial" w:eastAsia="Arial" w:hAnsi="Arial"/>
                <w:sz w:val="18"/>
                <w:szCs w:val="18"/>
                <w:color w:val="auto"/>
                <w:w w:val="90"/>
              </w:rPr>
              <w:t>101.SCH</w:t>
            </w:r>
          </w:p>
        </w:tc>
        <w:tc>
          <w:tcPr>
            <w:tcW w:w="70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3140" w:type="dxa"/>
            <w:vAlign w:val="bottom"/>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7"/>
              </w:rPr>
              <w:t>101.CAL</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31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40" w:type="dxa"/>
            <w:vAlign w:val="bottom"/>
          </w:tcPr>
          <w:p>
            <w:pPr>
              <w:jc w:val="center"/>
              <w:ind w:left="10"/>
              <w:spacing w:after="0"/>
              <w:rPr>
                <w:sz w:val="20"/>
                <w:szCs w:val="20"/>
                <w:color w:val="auto"/>
              </w:rPr>
            </w:pPr>
            <w:r>
              <w:rPr>
                <w:rFonts w:ascii="Arial" w:cs="Arial" w:eastAsia="Arial" w:hAnsi="Arial"/>
                <w:sz w:val="18"/>
                <w:szCs w:val="18"/>
                <w:color w:val="auto"/>
                <w:w w:val="92"/>
              </w:rPr>
              <w:t>101.DEF</w:t>
            </w:r>
          </w:p>
        </w:tc>
        <w:tc>
          <w:tcPr>
            <w:tcW w:w="706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3140" w:type="dxa"/>
            <w:vAlign w:val="bottom"/>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8"/>
              </w:rPr>
              <w:t>101.LAB</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31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101.PRE</w:t>
            </w:r>
          </w:p>
        </w:tc>
        <w:tc>
          <w:tcPr>
            <w:tcW w:w="70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3140" w:type="dxa"/>
            <w:vAlign w:val="bottom"/>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4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3"/>
              </w:rPr>
              <w:t>104</w:t>
            </w: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Cover Page Interactive Data File (embedded within the Inline</w:t>
            </w:r>
          </w:p>
        </w:tc>
        <w:tc>
          <w:tcPr>
            <w:tcW w:w="3140" w:type="dxa"/>
            <w:vAlign w:val="bottom"/>
            <w:vMerge w:val="restart"/>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2"/>
        </w:trPr>
        <w:tc>
          <w:tcPr>
            <w:tcW w:w="1040" w:type="dxa"/>
            <w:vAlign w:val="bottom"/>
            <w:vMerge w:val="continue"/>
            <w:shd w:val="clear" w:color="auto" w:fill="CCEEFF"/>
          </w:tcPr>
          <w:p>
            <w:pPr>
              <w:spacing w:after="0"/>
              <w:rPr>
                <w:sz w:val="10"/>
                <w:szCs w:val="10"/>
                <w:color w:val="auto"/>
              </w:rPr>
            </w:pPr>
          </w:p>
        </w:tc>
        <w:tc>
          <w:tcPr>
            <w:tcW w:w="70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XBRL Document)</w:t>
            </w:r>
          </w:p>
        </w:tc>
        <w:tc>
          <w:tcPr>
            <w:tcW w:w="3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7060" w:type="dxa"/>
            <w:vAlign w:val="bottom"/>
            <w:vMerge w:val="continue"/>
            <w:shd w:val="clear" w:color="auto" w:fill="CCEEFF"/>
          </w:tcPr>
          <w:p>
            <w:pPr>
              <w:spacing w:after="0"/>
              <w:rPr>
                <w:sz w:val="9"/>
                <w:szCs w:val="9"/>
                <w:color w:val="auto"/>
              </w:rPr>
            </w:pPr>
          </w:p>
        </w:tc>
        <w:tc>
          <w:tcPr>
            <w:tcW w:w="3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9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because the identified confidential portions (i) are not material, and (ii) would be competitively harmful if publicly disclosed.</w:t>
      </w:r>
    </w:p>
    <w:p>
      <w:pPr>
        <w:spacing w:after="0" w:line="17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40" w:right="18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Tandem Diabetes Care, Inc.</w:t>
      </w:r>
    </w:p>
    <w:p>
      <w:pPr>
        <w:spacing w:after="0" w:line="360" w:lineRule="exact"/>
        <w:rPr>
          <w:sz w:val="20"/>
          <w:szCs w:val="20"/>
          <w:color w:val="auto"/>
        </w:rPr>
      </w:pPr>
    </w:p>
    <w:p>
      <w:pPr>
        <w:ind w:left="40"/>
        <w:spacing w:after="0"/>
        <w:tabs>
          <w:tab w:leader="none" w:pos="5860" w:val="left"/>
          <w:tab w:leader="none" w:pos="6300" w:val="left"/>
        </w:tabs>
        <w:rPr>
          <w:sz w:val="20"/>
          <w:szCs w:val="20"/>
          <w:color w:val="auto"/>
        </w:rPr>
      </w:pPr>
      <w:r>
        <w:rPr>
          <w:rFonts w:ascii="Arial" w:cs="Arial" w:eastAsia="Arial" w:hAnsi="Arial"/>
          <w:sz w:val="18"/>
          <w:szCs w:val="18"/>
          <w:color w:val="auto"/>
        </w:rPr>
        <w:t>Dated: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40"/>
        <w:spacing w:after="0"/>
        <w:tabs>
          <w:tab w:leader="none" w:pos="5860" w:val="left"/>
          <w:tab w:leader="none" w:pos="6300" w:val="left"/>
        </w:tabs>
        <w:rPr>
          <w:sz w:val="20"/>
          <w:szCs w:val="20"/>
          <w:color w:val="auto"/>
        </w:rPr>
      </w:pPr>
      <w:r>
        <w:rPr>
          <w:rFonts w:ascii="Arial" w:cs="Arial" w:eastAsia="Arial" w:hAnsi="Arial"/>
          <w:sz w:val="18"/>
          <w:szCs w:val="18"/>
          <w:color w:val="auto"/>
        </w:rPr>
        <w:t>Dated: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Leigh A. Vosseller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Executive Vice President, Chief Financial Officer and Treasurer</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125" w:right="4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 AGREEMENT</w:t>
      </w:r>
    </w:p>
    <w:p>
      <w:pPr>
        <w:spacing w:after="0" w:line="214" w:lineRule="exact"/>
        <w:rPr>
          <w:sz w:val="20"/>
          <w:szCs w:val="20"/>
          <w:color w:val="auto"/>
        </w:rPr>
      </w:pPr>
    </w:p>
    <w:p>
      <w:pPr>
        <w:jc w:val="both"/>
        <w:ind w:right="720"/>
        <w:spacing w:after="0" w:line="256" w:lineRule="auto"/>
        <w:rPr>
          <w:sz w:val="20"/>
          <w:szCs w:val="20"/>
          <w:color w:val="auto"/>
        </w:rPr>
      </w:pPr>
      <w:r>
        <w:rPr>
          <w:rFonts w:ascii="Arial" w:cs="Arial" w:eastAsia="Arial" w:hAnsi="Arial"/>
          <w:sz w:val="22"/>
          <w:szCs w:val="22"/>
          <w:b w:val="1"/>
          <w:bCs w:val="1"/>
          <w:color w:val="auto"/>
        </w:rPr>
        <w:t>[***]: 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THIS LICENSE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July 14,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entered into between TypeZero Technologies LLC, a Delaware corporation (“</w:t>
      </w:r>
      <w:r>
        <w:rPr>
          <w:rFonts w:ascii="Arial" w:cs="Arial" w:eastAsia="Arial" w:hAnsi="Arial"/>
          <w:sz w:val="22"/>
          <w:szCs w:val="22"/>
          <w:u w:val="single" w:color="auto"/>
          <w:color w:val="auto"/>
        </w:rPr>
        <w:t>TypeZero</w:t>
      </w:r>
      <w:r>
        <w:rPr>
          <w:rFonts w:ascii="Arial" w:cs="Arial" w:eastAsia="Arial" w:hAnsi="Arial"/>
          <w:sz w:val="22"/>
          <w:szCs w:val="22"/>
          <w:color w:val="auto"/>
        </w:rPr>
        <w:t>”), having a place of business at 212 East Main Street, Suite 202, Charlottesville, VA 22902, and Tandem Diabetes Care, Inc., a Delaware corporation (“</w:t>
      </w:r>
      <w:r>
        <w:rPr>
          <w:rFonts w:ascii="Arial" w:cs="Arial" w:eastAsia="Arial" w:hAnsi="Arial"/>
          <w:sz w:val="22"/>
          <w:szCs w:val="22"/>
          <w:u w:val="single" w:color="auto"/>
          <w:color w:val="auto"/>
        </w:rPr>
        <w:t>Tandem</w:t>
      </w:r>
      <w:r>
        <w:rPr>
          <w:rFonts w:ascii="Arial" w:cs="Arial" w:eastAsia="Arial" w:hAnsi="Arial"/>
          <w:sz w:val="22"/>
          <w:szCs w:val="22"/>
          <w:color w:val="auto"/>
        </w:rPr>
        <w:t>”), having a place of business at 11045 Roselle Street, San Diego, CA 92121.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TypeZero owns or has rights in the Technology (as defined below).</w:t>
      </w:r>
    </w:p>
    <w:p>
      <w:pPr>
        <w:spacing w:after="0" w:line="22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WHEREAS, Tandem desires to obtain a license under TypeZero’s rights in the Technology on the terms and conditions set forth below.</w:t>
      </w:r>
    </w:p>
    <w:p>
      <w:pPr>
        <w:spacing w:after="0" w:line="175"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NOW, THEREFORE, in consideration of the foregoing premises and the mutual covenants herein contained, the parties hereby agree as follows:</w:t>
      </w:r>
    </w:p>
    <w:p>
      <w:pPr>
        <w:spacing w:after="0" w:line="148" w:lineRule="exact"/>
        <w:rPr>
          <w:sz w:val="20"/>
          <w:szCs w:val="20"/>
          <w:color w:val="auto"/>
        </w:rPr>
      </w:pPr>
    </w:p>
    <w:p>
      <w:pPr>
        <w:ind w:left="2080" w:hanging="776"/>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22"/>
          <w:szCs w:val="22"/>
          <w:u w:val="single" w:color="auto"/>
          <w:color w:val="auto"/>
        </w:rPr>
        <w:t>DEFINITIONS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this Agreement, the terms defined in this Section 1 shall have the respective meanings set forth below:</w:t>
      </w:r>
    </w:p>
    <w:p>
      <w:pPr>
        <w:spacing w:after="0" w:line="209" w:lineRule="exact"/>
        <w:rPr>
          <w:sz w:val="20"/>
          <w:szCs w:val="20"/>
          <w:color w:val="auto"/>
        </w:rPr>
      </w:pPr>
    </w:p>
    <w:p>
      <w:pPr>
        <w:ind w:right="160" w:firstLine="1296"/>
        <w:spacing w:after="0" w:line="208"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Person, any other Person that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2" w:lineRule="exact"/>
        <w:rPr>
          <w:sz w:val="20"/>
          <w:szCs w:val="20"/>
          <w:color w:val="auto"/>
        </w:rPr>
      </w:pPr>
    </w:p>
    <w:p>
      <w:pPr>
        <w:ind w:right="140" w:firstLine="1296"/>
        <w:spacing w:after="0" w:line="21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color w:val="auto"/>
        </w:rPr>
        <w:t>“</w:t>
      </w:r>
      <w:r>
        <w:rPr>
          <w:rFonts w:ascii="Arial" w:cs="Arial" w:eastAsia="Arial" w:hAnsi="Arial"/>
          <w:sz w:val="21"/>
          <w:szCs w:val="21"/>
          <w:u w:val="single" w:color="auto"/>
          <w:color w:val="auto"/>
        </w:rPr>
        <w:t>Artificial Pancreas System</w:t>
      </w:r>
      <w:r>
        <w:rPr>
          <w:rFonts w:ascii="Arial" w:cs="Arial" w:eastAsia="Arial" w:hAnsi="Arial"/>
          <w:sz w:val="21"/>
          <w:szCs w:val="21"/>
          <w:color w:val="auto"/>
        </w:rPr>
        <w:t>” means a system that aims to monitor and manage blood glucose levels via</w:t>
      </w:r>
      <w:r>
        <w:rPr>
          <w:rFonts w:ascii="Arial" w:cs="Arial" w:eastAsia="Arial" w:hAnsi="Arial"/>
          <w:sz w:val="18"/>
          <w:szCs w:val="18"/>
          <w:color w:val="auto"/>
        </w:rPr>
        <w:t xml:space="preserve"> </w:t>
      </w:r>
      <w:r>
        <w:rPr>
          <w:rFonts w:ascii="Arial" w:cs="Arial" w:eastAsia="Arial" w:hAnsi="Arial"/>
          <w:sz w:val="21"/>
          <w:szCs w:val="21"/>
          <w:color w:val="auto"/>
        </w:rPr>
        <w:t>computer algorithms operating on one or more of an insulin pump or a smartphone or mobile device or other separate remote controller and to provide insulin and/or other medicaments.</w:t>
      </w:r>
    </w:p>
    <w:p>
      <w:pPr>
        <w:ind w:left="1300"/>
        <w:spacing w:after="0"/>
        <w:tabs>
          <w:tab w:leader="none" w:pos="21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Food and Drug Administration of the United States, or the successor thereto.</w:t>
      </w:r>
    </w:p>
    <w:p>
      <w:pPr>
        <w:spacing w:after="0" w:line="11" w:lineRule="exact"/>
        <w:rPr>
          <w:sz w:val="20"/>
          <w:szCs w:val="20"/>
          <w:color w:val="auto"/>
        </w:rPr>
      </w:pPr>
    </w:p>
    <w:p>
      <w:pPr>
        <w:ind w:right="200" w:firstLine="1296"/>
        <w:spacing w:after="0" w:line="232" w:lineRule="auto"/>
        <w:rPr>
          <w:sz w:val="20"/>
          <w:szCs w:val="20"/>
          <w:color w:val="auto"/>
        </w:rPr>
      </w:pPr>
      <w:r>
        <w:rPr>
          <w:rFonts w:ascii="Arial" w:cs="Arial" w:eastAsia="Arial" w:hAnsi="Arial"/>
          <w:sz w:val="17"/>
          <w:szCs w:val="17"/>
          <w:color w:val="auto"/>
        </w:rPr>
        <w:t xml:space="preserve">1.4 </w:t>
      </w:r>
      <w:r>
        <w:rPr>
          <w:rFonts w:ascii="Arial" w:cs="Arial" w:eastAsia="Arial" w:hAnsi="Arial"/>
          <w:sz w:val="20"/>
          <w:szCs w:val="20"/>
          <w:color w:val="auto"/>
        </w:rPr>
        <w:t>“</w:t>
      </w:r>
      <w:r>
        <w:rPr>
          <w:rFonts w:ascii="Arial" w:cs="Arial" w:eastAsia="Arial" w:hAnsi="Arial"/>
          <w:sz w:val="20"/>
          <w:szCs w:val="20"/>
          <w:u w:val="single" w:color="auto"/>
          <w:color w:val="auto"/>
        </w:rPr>
        <w:t>Field</w:t>
      </w:r>
      <w:r>
        <w:rPr>
          <w:rFonts w:ascii="Arial" w:cs="Arial" w:eastAsia="Arial" w:hAnsi="Arial"/>
          <w:sz w:val="20"/>
          <w:szCs w:val="20"/>
          <w:color w:val="auto"/>
        </w:rPr>
        <w:t>” shall mean (a) insulin pumps and other medical devices for the delivery of insulin and/or other</w:t>
      </w:r>
      <w:r>
        <w:rPr>
          <w:rFonts w:ascii="Arial" w:cs="Arial" w:eastAsia="Arial" w:hAnsi="Arial"/>
          <w:sz w:val="17"/>
          <w:szCs w:val="17"/>
          <w:color w:val="auto"/>
        </w:rPr>
        <w:t xml:space="preserve"> </w:t>
      </w:r>
      <w:r>
        <w:rPr>
          <w:rFonts w:ascii="Arial" w:cs="Arial" w:eastAsia="Arial" w:hAnsi="Arial"/>
          <w:sz w:val="20"/>
          <w:szCs w:val="20"/>
          <w:color w:val="auto"/>
        </w:rPr>
        <w:t>medicaments and (b) related software or mobile applications, in each case in connection with an Artificial Pancreas System.</w:t>
      </w:r>
    </w:p>
    <w:p>
      <w:pPr>
        <w:spacing w:after="0" w:line="1" w:lineRule="exact"/>
        <w:rPr>
          <w:sz w:val="20"/>
          <w:szCs w:val="20"/>
          <w:color w:val="auto"/>
        </w:rPr>
      </w:pPr>
    </w:p>
    <w:p>
      <w:pPr>
        <w:ind w:right="180" w:firstLine="1296"/>
        <w:spacing w:after="0" w:line="21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21"/>
          <w:szCs w:val="21"/>
          <w:color w:val="auto"/>
        </w:rPr>
        <w:t>“</w:t>
      </w:r>
      <w:r>
        <w:rPr>
          <w:rFonts w:ascii="Arial" w:cs="Arial" w:eastAsia="Arial" w:hAnsi="Arial"/>
          <w:sz w:val="21"/>
          <w:szCs w:val="21"/>
          <w:u w:val="single" w:color="auto"/>
          <w:color w:val="auto"/>
        </w:rPr>
        <w:t>First Commercial Sale</w:t>
      </w:r>
      <w:r>
        <w:rPr>
          <w:rFonts w:ascii="Arial" w:cs="Arial" w:eastAsia="Arial" w:hAnsi="Arial"/>
          <w:sz w:val="21"/>
          <w:szCs w:val="21"/>
          <w:color w:val="auto"/>
        </w:rPr>
        <w:t>” shall mean, with respect to any Product, the first sale of such Product after all</w:t>
      </w:r>
      <w:r>
        <w:rPr>
          <w:rFonts w:ascii="Arial" w:cs="Arial" w:eastAsia="Arial" w:hAnsi="Arial"/>
          <w:sz w:val="18"/>
          <w:szCs w:val="18"/>
          <w:color w:val="auto"/>
        </w:rPr>
        <w:t xml:space="preserve"> </w:t>
      </w:r>
      <w:r>
        <w:rPr>
          <w:rFonts w:ascii="Arial" w:cs="Arial" w:eastAsia="Arial" w:hAnsi="Arial"/>
          <w:sz w:val="21"/>
          <w:szCs w:val="21"/>
          <w:color w:val="auto"/>
        </w:rPr>
        <w:t>applicable marketing and pricing approvals (if any) have been granted by the applicable governing health authority of such country.</w:t>
      </w:r>
    </w:p>
    <w:p>
      <w:pPr>
        <w:ind w:left="1300"/>
        <w:spacing w:after="0"/>
        <w:tabs>
          <w:tab w:leader="none" w:pos="21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Licensed IP Rights</w:t>
      </w:r>
      <w:r>
        <w:rPr>
          <w:rFonts w:ascii="Arial" w:cs="Arial" w:eastAsia="Arial" w:hAnsi="Arial"/>
          <w:sz w:val="19"/>
          <w:szCs w:val="19"/>
          <w:color w:val="auto"/>
        </w:rPr>
        <w:t>” shall mean, collectively, the Licensed Patent Rights and the Licensed Know-How</w:t>
      </w:r>
    </w:p>
    <w:p>
      <w:pPr>
        <w:spacing w:after="0" w:line="215" w:lineRule="auto"/>
        <w:rPr>
          <w:sz w:val="20"/>
          <w:szCs w:val="20"/>
          <w:color w:val="auto"/>
        </w:rPr>
      </w:pPr>
      <w:r>
        <w:rPr>
          <w:rFonts w:ascii="Arial" w:cs="Arial" w:eastAsia="Arial" w:hAnsi="Arial"/>
          <w:sz w:val="22"/>
          <w:szCs w:val="22"/>
          <w:color w:val="auto"/>
        </w:rPr>
        <w:t>Rights.</w:t>
      </w:r>
    </w:p>
    <w:p>
      <w:pPr>
        <w:ind w:right="160" w:firstLine="1296"/>
        <w:spacing w:after="0" w:line="228" w:lineRule="auto"/>
        <w:rPr>
          <w:sz w:val="20"/>
          <w:szCs w:val="20"/>
          <w:color w:val="auto"/>
        </w:rPr>
      </w:pPr>
      <w:r>
        <w:rPr>
          <w:rFonts w:ascii="Arial" w:cs="Arial" w:eastAsia="Arial" w:hAnsi="Arial"/>
          <w:sz w:val="18"/>
          <w:szCs w:val="18"/>
          <w:color w:val="auto"/>
        </w:rPr>
        <w:t xml:space="preserve">1.7 </w:t>
      </w:r>
      <w:r>
        <w:rPr>
          <w:rFonts w:ascii="Arial" w:cs="Arial" w:eastAsia="Arial" w:hAnsi="Arial"/>
          <w:sz w:val="21"/>
          <w:szCs w:val="21"/>
          <w:color w:val="auto"/>
        </w:rPr>
        <w:t>“</w:t>
      </w:r>
      <w:r>
        <w:rPr>
          <w:rFonts w:ascii="Arial" w:cs="Arial" w:eastAsia="Arial" w:hAnsi="Arial"/>
          <w:sz w:val="21"/>
          <w:szCs w:val="21"/>
          <w:u w:val="single" w:color="auto"/>
          <w:color w:val="auto"/>
        </w:rPr>
        <w:t>Licensed Know-How Rights</w:t>
      </w:r>
      <w:r>
        <w:rPr>
          <w:rFonts w:ascii="Arial" w:cs="Arial" w:eastAsia="Arial" w:hAnsi="Arial"/>
          <w:sz w:val="21"/>
          <w:szCs w:val="21"/>
          <w:color w:val="auto"/>
        </w:rPr>
        <w:t>” shall mean all trade secret and other know-how rights in and to all data,</w:t>
      </w:r>
      <w:r>
        <w:rPr>
          <w:rFonts w:ascii="Arial" w:cs="Arial" w:eastAsia="Arial" w:hAnsi="Arial"/>
          <w:sz w:val="18"/>
          <w:szCs w:val="18"/>
          <w:color w:val="auto"/>
        </w:rPr>
        <w:t xml:space="preserve"> </w:t>
      </w:r>
      <w:r>
        <w:rPr>
          <w:rFonts w:ascii="Arial" w:cs="Arial" w:eastAsia="Arial" w:hAnsi="Arial"/>
          <w:sz w:val="21"/>
          <w:szCs w:val="21"/>
          <w:color w:val="auto"/>
        </w:rPr>
        <w:t>information, compositions and other technology (including, but not limited to, formulae, procedures, protocols, techniques and results of experimentation and testing) which are necessary or useful for Tandem to make, use, develop, sell or seek regulatory approval for a product, or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70" w:name="page71"/>
    <w:bookmarkEnd w:id="70"/>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1" w:lineRule="exact"/>
        <w:rPr>
          <w:sz w:val="20"/>
          <w:szCs w:val="20"/>
          <w:color w:val="auto"/>
        </w:rPr>
      </w:pPr>
    </w:p>
    <w:p>
      <w:pPr>
        <w:ind w:right="380"/>
        <w:spacing w:after="0" w:line="213" w:lineRule="auto"/>
        <w:rPr>
          <w:sz w:val="20"/>
          <w:szCs w:val="20"/>
          <w:color w:val="auto"/>
        </w:rPr>
      </w:pPr>
      <w:r>
        <w:rPr>
          <w:rFonts w:ascii="Arial" w:cs="Arial" w:eastAsia="Arial" w:hAnsi="Arial"/>
          <w:sz w:val="22"/>
          <w:szCs w:val="22"/>
          <w:color w:val="auto"/>
        </w:rPr>
        <w:t>practice any method or process, at any time claimed or disclosed in any issued patent or pending patent application within the Licensed Patent Rights or which otherwise constitutes or relates to the Technology.</w:t>
      </w:r>
    </w:p>
    <w:p>
      <w:pPr>
        <w:spacing w:after="0" w:line="1" w:lineRule="exact"/>
        <w:rPr>
          <w:sz w:val="20"/>
          <w:szCs w:val="20"/>
          <w:color w:val="auto"/>
        </w:rPr>
      </w:pPr>
    </w:p>
    <w:p>
      <w:pPr>
        <w:ind w:right="40" w:firstLine="1296"/>
        <w:spacing w:after="0" w:line="21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color w:val="auto"/>
        </w:rPr>
        <w:t>“</w:t>
      </w:r>
      <w:r>
        <w:rPr>
          <w:rFonts w:ascii="Arial" w:cs="Arial" w:eastAsia="Arial" w:hAnsi="Arial"/>
          <w:sz w:val="21"/>
          <w:szCs w:val="21"/>
          <w:u w:val="single" w:color="auto"/>
          <w:color w:val="auto"/>
        </w:rPr>
        <w:t>Licensed Patent Rights</w:t>
      </w:r>
      <w:r>
        <w:rPr>
          <w:rFonts w:ascii="Arial" w:cs="Arial" w:eastAsia="Arial" w:hAnsi="Arial"/>
          <w:sz w:val="21"/>
          <w:szCs w:val="21"/>
          <w:color w:val="auto"/>
        </w:rPr>
        <w:t>” shall mean (a) the patents and patent applications listed on Exhibit A, (b) all</w:t>
      </w:r>
      <w:r>
        <w:rPr>
          <w:rFonts w:ascii="Arial" w:cs="Arial" w:eastAsia="Arial" w:hAnsi="Arial"/>
          <w:sz w:val="18"/>
          <w:szCs w:val="18"/>
          <w:color w:val="auto"/>
        </w:rPr>
        <w:t xml:space="preserve"> </w:t>
      </w:r>
      <w:r>
        <w:rPr>
          <w:rFonts w:ascii="Arial" w:cs="Arial" w:eastAsia="Arial" w:hAnsi="Arial"/>
          <w:sz w:val="21"/>
          <w:szCs w:val="21"/>
          <w:color w:val="auto"/>
        </w:rPr>
        <w:t>patents and patent applications in any country of the world that claim or cover the Technology in which TypeZero heretofore or hereafter has an ownership or (sub)licensable interest, (c) all divisions, continuations, continuations-in-part, that claim priority to, or common priority with, the patent applications described in clauses (a) and (b) above or the patent applications that resulted in the patents described in clauses (a) and (b) above, and (d) all patents that have issued or in the future issue from any of the foregoing patent applications, including utility, model and design patents and certificates of invention, together with any reissues, renewals, extensions or additions thereto.</w:t>
      </w:r>
    </w:p>
    <w:p>
      <w:pPr>
        <w:spacing w:after="0" w:line="4" w:lineRule="exact"/>
        <w:rPr>
          <w:sz w:val="20"/>
          <w:szCs w:val="20"/>
          <w:color w:val="auto"/>
        </w:rPr>
      </w:pPr>
    </w:p>
    <w:p>
      <w:pPr>
        <w:ind w:right="40" w:firstLine="1296"/>
        <w:spacing w:after="0" w:line="239"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shall mean, with respect to any Product, the gross sales price of such Product invoiced by</w:t>
      </w:r>
      <w:r>
        <w:rPr>
          <w:rFonts w:ascii="Arial" w:cs="Arial" w:eastAsia="Arial" w:hAnsi="Arial"/>
          <w:sz w:val="16"/>
          <w:szCs w:val="16"/>
          <w:color w:val="auto"/>
        </w:rPr>
        <w:t xml:space="preserve"> </w:t>
      </w:r>
      <w:r>
        <w:rPr>
          <w:rFonts w:ascii="Arial" w:cs="Arial" w:eastAsia="Arial" w:hAnsi="Arial"/>
          <w:sz w:val="19"/>
          <w:szCs w:val="19"/>
          <w:color w:val="auto"/>
        </w:rPr>
        <w:t>Tandem or its Affiliate to customers who are not Affiliates (or are Affiliates but are the end users of such Product) less, to the extent actually paid or accrued by Tandem or its Affiliate (as applicable), (a) credits, allowances, discounts and rebates to, and chargebacks from the account of, such customers for nonconforming, damaged, outdated and returned Product; (b) freight and insurance costs incurred by Tandem or its Affiliate (as applicable) in transporting such Product to such customers; (c) cash, quantity and trade discounts, rebates and other price reductions for such Product given to such customers under price reduction programs; (d) sales, use, value-added and other direct taxes incurred on the sale of such Product to such customers; (e) customs duties, tariffs, surcharges and other governmental charges incurred in exporting or importing such Product to such customers; and</w:t>
      </w:r>
    </w:p>
    <w:p>
      <w:pPr>
        <w:spacing w:after="0" w:line="1" w:lineRule="exact"/>
        <w:rPr>
          <w:sz w:val="20"/>
          <w:szCs w:val="20"/>
          <w:color w:val="auto"/>
        </w:rPr>
      </w:pPr>
    </w:p>
    <w:p>
      <w:pPr>
        <w:jc w:val="both"/>
        <w:ind w:right="480" w:firstLine="8"/>
        <w:spacing w:after="0" w:line="237" w:lineRule="auto"/>
        <w:tabs>
          <w:tab w:leader="none" w:pos="27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allowance for uncollectible or bad debts determined in accordance with generally accepted accounting principles. Any deduction referenced in (a) through (f) above that is not calculated on a per Product basis shall be calculated and reported by Tandem in good faith and consistent with Tandem’s internal accounting practices and procedures.</w:t>
      </w:r>
    </w:p>
    <w:p>
      <w:pPr>
        <w:ind w:right="220" w:firstLine="1296"/>
        <w:spacing w:after="0" w:line="219" w:lineRule="auto"/>
        <w:rPr>
          <w:rFonts w:ascii="Arial" w:cs="Arial" w:eastAsia="Arial" w:hAnsi="Arial"/>
          <w:sz w:val="19"/>
          <w:szCs w:val="19"/>
          <w:color w:val="auto"/>
        </w:rPr>
      </w:pPr>
      <w:r>
        <w:rPr>
          <w:rFonts w:ascii="Arial" w:cs="Arial" w:eastAsia="Arial" w:hAnsi="Arial"/>
          <w:sz w:val="18"/>
          <w:szCs w:val="18"/>
          <w:color w:val="auto"/>
        </w:rPr>
        <w:t xml:space="preserve">1.10 </w:t>
      </w: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shall mean an individual, corporation, partnership, limited liability company, trust, business</w:t>
      </w:r>
      <w:r>
        <w:rPr>
          <w:rFonts w:ascii="Arial" w:cs="Arial" w:eastAsia="Arial" w:hAnsi="Arial"/>
          <w:sz w:val="18"/>
          <w:szCs w:val="18"/>
          <w:color w:val="auto"/>
        </w:rPr>
        <w:t xml:space="preserve"> </w:t>
      </w:r>
      <w:r>
        <w:rPr>
          <w:rFonts w:ascii="Arial" w:cs="Arial" w:eastAsia="Arial" w:hAnsi="Arial"/>
          <w:sz w:val="21"/>
          <w:szCs w:val="21"/>
          <w:color w:val="auto"/>
        </w:rPr>
        <w:t>trust, association, joint stock company, joint venture, pool, syndicate, sole proprietorship, unincorporated organization, governmental authority or any other form of entity not specifically listed herein.</w:t>
      </w:r>
    </w:p>
    <w:p>
      <w:pPr>
        <w:ind w:right="400" w:firstLine="1296"/>
        <w:spacing w:after="0" w:line="221" w:lineRule="auto"/>
        <w:rPr>
          <w:rFonts w:ascii="Arial" w:cs="Arial" w:eastAsia="Arial" w:hAnsi="Arial"/>
          <w:sz w:val="19"/>
          <w:szCs w:val="19"/>
          <w:color w:val="auto"/>
        </w:rPr>
      </w:pPr>
      <w:r>
        <w:rPr>
          <w:rFonts w:ascii="Arial" w:cs="Arial" w:eastAsia="Arial" w:hAnsi="Arial"/>
          <w:sz w:val="18"/>
          <w:szCs w:val="18"/>
          <w:color w:val="auto"/>
        </w:rPr>
        <w:t xml:space="preserve">1.11 </w:t>
      </w:r>
      <w:r>
        <w:rPr>
          <w:rFonts w:ascii="Arial" w:cs="Arial" w:eastAsia="Arial" w:hAnsi="Arial"/>
          <w:sz w:val="21"/>
          <w:szCs w:val="21"/>
          <w:color w:val="auto"/>
        </w:rPr>
        <w:t>“</w:t>
      </w:r>
      <w:r>
        <w:rPr>
          <w:rFonts w:ascii="Arial" w:cs="Arial" w:eastAsia="Arial" w:hAnsi="Arial"/>
          <w:sz w:val="21"/>
          <w:szCs w:val="21"/>
          <w:u w:val="single" w:color="auto"/>
          <w:color w:val="auto"/>
        </w:rPr>
        <w:t>Pivotal Clinical Trial</w:t>
      </w:r>
      <w:r>
        <w:rPr>
          <w:rFonts w:ascii="Arial" w:cs="Arial" w:eastAsia="Arial" w:hAnsi="Arial"/>
          <w:sz w:val="21"/>
          <w:szCs w:val="21"/>
          <w:color w:val="auto"/>
        </w:rPr>
        <w:t>” shall mean a human clinical trial, the results of which are sufficient to file a</w:t>
      </w:r>
      <w:r>
        <w:rPr>
          <w:rFonts w:ascii="Arial" w:cs="Arial" w:eastAsia="Arial" w:hAnsi="Arial"/>
          <w:sz w:val="18"/>
          <w:szCs w:val="18"/>
          <w:color w:val="auto"/>
        </w:rPr>
        <w:t xml:space="preserve"> </w:t>
      </w:r>
      <w:r>
        <w:rPr>
          <w:rFonts w:ascii="Arial" w:cs="Arial" w:eastAsia="Arial" w:hAnsi="Arial"/>
          <w:sz w:val="21"/>
          <w:szCs w:val="21"/>
          <w:color w:val="auto"/>
        </w:rPr>
        <w:t>PMA with the FDA.</w:t>
      </w:r>
    </w:p>
    <w:p>
      <w:pPr>
        <w:jc w:val="both"/>
        <w:ind w:right="720" w:firstLine="1296"/>
        <w:spacing w:after="0" w:line="219" w:lineRule="auto"/>
        <w:rPr>
          <w:rFonts w:ascii="Arial" w:cs="Arial" w:eastAsia="Arial" w:hAnsi="Arial"/>
          <w:sz w:val="19"/>
          <w:szCs w:val="19"/>
          <w:color w:val="auto"/>
        </w:rPr>
      </w:pPr>
      <w:r>
        <w:rPr>
          <w:rFonts w:ascii="Arial" w:cs="Arial" w:eastAsia="Arial" w:hAnsi="Arial"/>
          <w:sz w:val="18"/>
          <w:szCs w:val="18"/>
          <w:color w:val="auto"/>
        </w:rPr>
        <w:t xml:space="preserve">1.12 </w:t>
      </w:r>
      <w:r>
        <w:rPr>
          <w:rFonts w:ascii="Arial" w:cs="Arial" w:eastAsia="Arial" w:hAnsi="Arial"/>
          <w:sz w:val="21"/>
          <w:szCs w:val="21"/>
          <w:color w:val="auto"/>
        </w:rPr>
        <w:t>“</w:t>
      </w:r>
      <w:r>
        <w:rPr>
          <w:rFonts w:ascii="Arial" w:cs="Arial" w:eastAsia="Arial" w:hAnsi="Arial"/>
          <w:sz w:val="21"/>
          <w:szCs w:val="21"/>
          <w:u w:val="single" w:color="auto"/>
          <w:color w:val="auto"/>
        </w:rPr>
        <w:t>Product(s)</w:t>
      </w:r>
      <w:r>
        <w:rPr>
          <w:rFonts w:ascii="Arial" w:cs="Arial" w:eastAsia="Arial" w:hAnsi="Arial"/>
          <w:sz w:val="21"/>
          <w:szCs w:val="21"/>
          <w:color w:val="auto"/>
        </w:rPr>
        <w:t>” shall mean any product in the Field that (a) if made, used, sold, offered for sale or</w:t>
      </w:r>
      <w:r>
        <w:rPr>
          <w:rFonts w:ascii="Arial" w:cs="Arial" w:eastAsia="Arial" w:hAnsi="Arial"/>
          <w:sz w:val="18"/>
          <w:szCs w:val="18"/>
          <w:color w:val="auto"/>
        </w:rPr>
        <w:t xml:space="preserve"> </w:t>
      </w:r>
      <w:r>
        <w:rPr>
          <w:rFonts w:ascii="Arial" w:cs="Arial" w:eastAsia="Arial" w:hAnsi="Arial"/>
          <w:sz w:val="21"/>
          <w:szCs w:val="21"/>
          <w:color w:val="auto"/>
        </w:rPr>
        <w:t>imported absent the license granted hereunder would infringe a Valid Claim, or (b) that otherwise uses or incorporates the Licensed IP Rights.</w:t>
      </w:r>
    </w:p>
    <w:p>
      <w:pPr>
        <w:ind w:right="400" w:firstLine="1296"/>
        <w:spacing w:after="0" w:line="221" w:lineRule="auto"/>
        <w:rPr>
          <w:rFonts w:ascii="Arial" w:cs="Arial" w:eastAsia="Arial" w:hAnsi="Arial"/>
          <w:sz w:val="19"/>
          <w:szCs w:val="19"/>
          <w:color w:val="auto"/>
        </w:rPr>
      </w:pPr>
      <w:r>
        <w:rPr>
          <w:rFonts w:ascii="Arial" w:cs="Arial" w:eastAsia="Arial" w:hAnsi="Arial"/>
          <w:sz w:val="18"/>
          <w:szCs w:val="18"/>
          <w:color w:val="auto"/>
        </w:rPr>
        <w:t xml:space="preserve">1.13 </w:t>
      </w:r>
      <w:r>
        <w:rPr>
          <w:rFonts w:ascii="Arial" w:cs="Arial" w:eastAsia="Arial" w:hAnsi="Arial"/>
          <w:sz w:val="21"/>
          <w:szCs w:val="21"/>
          <w:color w:val="auto"/>
        </w:rPr>
        <w:t>“</w:t>
      </w:r>
      <w:r>
        <w:rPr>
          <w:rFonts w:ascii="Arial" w:cs="Arial" w:eastAsia="Arial" w:hAnsi="Arial"/>
          <w:sz w:val="21"/>
          <w:szCs w:val="21"/>
          <w:u w:val="single" w:color="auto"/>
          <w:color w:val="auto"/>
        </w:rPr>
        <w:t>Royalty Term</w:t>
      </w:r>
      <w:r>
        <w:rPr>
          <w:rFonts w:ascii="Arial" w:cs="Arial" w:eastAsia="Arial" w:hAnsi="Arial"/>
          <w:sz w:val="21"/>
          <w:szCs w:val="21"/>
          <w:color w:val="auto"/>
        </w:rPr>
        <w:t>” shall mean, commencing on the Effective Date and with respect to each Product in</w:t>
      </w:r>
      <w:r>
        <w:rPr>
          <w:rFonts w:ascii="Arial" w:cs="Arial" w:eastAsia="Arial" w:hAnsi="Arial"/>
          <w:sz w:val="18"/>
          <w:szCs w:val="18"/>
          <w:color w:val="auto"/>
        </w:rPr>
        <w:t xml:space="preserve"> </w:t>
      </w:r>
      <w:r>
        <w:rPr>
          <w:rFonts w:ascii="Arial" w:cs="Arial" w:eastAsia="Arial" w:hAnsi="Arial"/>
          <w:sz w:val="21"/>
          <w:szCs w:val="21"/>
          <w:color w:val="auto"/>
        </w:rPr>
        <w:t>each country, until [***], unless earlier terminated in accordance with the provisions of this Agreement.</w:t>
      </w:r>
    </w:p>
    <w:p>
      <w:pPr>
        <w:ind w:right="280" w:firstLine="1296"/>
        <w:spacing w:after="0" w:line="216" w:lineRule="auto"/>
        <w:rPr>
          <w:rFonts w:ascii="Arial" w:cs="Arial" w:eastAsia="Arial" w:hAnsi="Arial"/>
          <w:sz w:val="19"/>
          <w:szCs w:val="19"/>
          <w:color w:val="auto"/>
        </w:rPr>
      </w:pPr>
      <w:r>
        <w:rPr>
          <w:rFonts w:ascii="Arial" w:cs="Arial" w:eastAsia="Arial" w:hAnsi="Arial"/>
          <w:sz w:val="18"/>
          <w:szCs w:val="18"/>
          <w:color w:val="auto"/>
        </w:rPr>
        <w:t xml:space="preserve">1.14 </w:t>
      </w:r>
      <w:r>
        <w:rPr>
          <w:rFonts w:ascii="Arial" w:cs="Arial" w:eastAsia="Arial" w:hAnsi="Arial"/>
          <w:sz w:val="21"/>
          <w:szCs w:val="21"/>
          <w:color w:val="auto"/>
        </w:rPr>
        <w:t>“</w:t>
      </w:r>
      <w:r>
        <w:rPr>
          <w:rFonts w:ascii="Arial" w:cs="Arial" w:eastAsia="Arial" w:hAnsi="Arial"/>
          <w:sz w:val="21"/>
          <w:szCs w:val="21"/>
          <w:u w:val="single" w:color="auto"/>
          <w:color w:val="auto"/>
        </w:rPr>
        <w:t>Technology</w:t>
      </w:r>
      <w:r>
        <w:rPr>
          <w:rFonts w:ascii="Arial" w:cs="Arial" w:eastAsia="Arial" w:hAnsi="Arial"/>
          <w:sz w:val="21"/>
          <w:szCs w:val="21"/>
          <w:color w:val="auto"/>
        </w:rPr>
        <w:t>” shall mean all software, algorithms, know-how and data (including clinical data)</w:t>
      </w:r>
      <w:r>
        <w:rPr>
          <w:rFonts w:ascii="Arial" w:cs="Arial" w:eastAsia="Arial" w:hAnsi="Arial"/>
          <w:sz w:val="18"/>
          <w:szCs w:val="18"/>
          <w:color w:val="auto"/>
        </w:rPr>
        <w:t xml:space="preserve"> </w:t>
      </w:r>
      <w:r>
        <w:rPr>
          <w:rFonts w:ascii="Arial" w:cs="Arial" w:eastAsia="Arial" w:hAnsi="Arial"/>
          <w:sz w:val="21"/>
          <w:szCs w:val="21"/>
          <w:color w:val="auto"/>
        </w:rPr>
        <w:t>constituting or related to delivery, management and monitoring of insulin and/or other medicaments, whether controlled on the device or by a separate remote controller or mobile device, and related software or mobile applications, in each case for the management, monitoring or treatment of diabetes (including both Artificial Pancreas System modules and mobile device security) and that is first owned or controlled by TypeZero prior to the Effective Date or within the first five (5) years after the Effective Date, including without limitation the “UVA Data” and “Related Works” referenced in the UVA-TypeZero License Agreement (as defined below).</w:t>
      </w:r>
    </w:p>
    <w:p>
      <w:pPr>
        <w:spacing w:after="0" w:line="4"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8"/>
          <w:szCs w:val="18"/>
          <w:color w:val="auto"/>
        </w:rPr>
        <w:t>1.15</w:t>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worldwide.</w:t>
      </w:r>
    </w:p>
    <w:p>
      <w:pPr>
        <w:spacing w:after="0" w:line="1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8"/>
          <w:szCs w:val="18"/>
          <w:color w:val="auto"/>
        </w:rPr>
        <w:t>1.16</w:t>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other than TypeZero, Tandem and their respective Affiliates.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1" w:lineRule="exact"/>
        <w:rPr>
          <w:sz w:val="20"/>
          <w:szCs w:val="20"/>
          <w:color w:val="auto"/>
        </w:rPr>
      </w:pPr>
    </w:p>
    <w:p>
      <w:pPr>
        <w:ind w:right="300" w:firstLine="1296"/>
        <w:spacing w:after="0" w:line="22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21"/>
          <w:szCs w:val="21"/>
          <w:color w:val="auto"/>
        </w:rPr>
        <w:t>“</w:t>
      </w:r>
      <w:r>
        <w:rPr>
          <w:rFonts w:ascii="Arial" w:cs="Arial" w:eastAsia="Arial" w:hAnsi="Arial"/>
          <w:sz w:val="21"/>
          <w:szCs w:val="21"/>
          <w:u w:val="single" w:color="auto"/>
          <w:color w:val="auto"/>
        </w:rPr>
        <w:t>Tier 1 License</w:t>
      </w:r>
      <w:r>
        <w:rPr>
          <w:rFonts w:ascii="Arial" w:cs="Arial" w:eastAsia="Arial" w:hAnsi="Arial"/>
          <w:sz w:val="21"/>
          <w:szCs w:val="21"/>
          <w:color w:val="auto"/>
        </w:rPr>
        <w:t>” shall mean a license agreement pursuant to which TypeZero or its Affiliate grants</w:t>
      </w:r>
      <w:r>
        <w:rPr>
          <w:rFonts w:ascii="Arial" w:cs="Arial" w:eastAsia="Arial" w:hAnsi="Arial"/>
          <w:sz w:val="18"/>
          <w:szCs w:val="18"/>
          <w:color w:val="auto"/>
        </w:rPr>
        <w:t xml:space="preserve"> </w:t>
      </w:r>
      <w:r>
        <w:rPr>
          <w:rFonts w:ascii="Arial" w:cs="Arial" w:eastAsia="Arial" w:hAnsi="Arial"/>
          <w:sz w:val="21"/>
          <w:szCs w:val="21"/>
          <w:color w:val="auto"/>
        </w:rPr>
        <w:t>rights under the Licensed IP Rights for use in the Field to any of the following entities (or their Affiliates or successors): [***] and [***] (each a “</w:t>
      </w:r>
      <w:r>
        <w:rPr>
          <w:rFonts w:ascii="Arial" w:cs="Arial" w:eastAsia="Arial" w:hAnsi="Arial"/>
          <w:sz w:val="21"/>
          <w:szCs w:val="21"/>
          <w:u w:val="single" w:color="auto"/>
          <w:color w:val="auto"/>
        </w:rPr>
        <w:t>Tier 1 Licensee</w:t>
      </w:r>
      <w:r>
        <w:rPr>
          <w:rFonts w:ascii="Arial" w:cs="Arial" w:eastAsia="Arial" w:hAnsi="Arial"/>
          <w:sz w:val="21"/>
          <w:szCs w:val="21"/>
          <w:color w:val="auto"/>
        </w:rPr>
        <w:t>”).</w:t>
      </w:r>
    </w:p>
    <w:p>
      <w:pPr>
        <w:ind w:right="100" w:firstLine="1296"/>
        <w:spacing w:after="0" w:line="21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21"/>
          <w:szCs w:val="21"/>
          <w:color w:val="auto"/>
        </w:rPr>
        <w:t>“</w:t>
      </w:r>
      <w:r>
        <w:rPr>
          <w:rFonts w:ascii="Arial" w:cs="Arial" w:eastAsia="Arial" w:hAnsi="Arial"/>
          <w:sz w:val="21"/>
          <w:szCs w:val="21"/>
          <w:u w:val="single" w:color="auto"/>
          <w:color w:val="auto"/>
        </w:rPr>
        <w:t>Tier 2 License</w:t>
      </w:r>
      <w:r>
        <w:rPr>
          <w:rFonts w:ascii="Arial" w:cs="Arial" w:eastAsia="Arial" w:hAnsi="Arial"/>
          <w:sz w:val="21"/>
          <w:szCs w:val="21"/>
          <w:color w:val="auto"/>
        </w:rPr>
        <w:t>” shall mean a license agreement pursuant to which TypeZero or its Affiliate grants</w:t>
      </w:r>
      <w:r>
        <w:rPr>
          <w:rFonts w:ascii="Arial" w:cs="Arial" w:eastAsia="Arial" w:hAnsi="Arial"/>
          <w:sz w:val="18"/>
          <w:szCs w:val="18"/>
          <w:color w:val="auto"/>
        </w:rPr>
        <w:t xml:space="preserve"> </w:t>
      </w:r>
      <w:r>
        <w:rPr>
          <w:rFonts w:ascii="Arial" w:cs="Arial" w:eastAsia="Arial" w:hAnsi="Arial"/>
          <w:sz w:val="21"/>
          <w:szCs w:val="21"/>
          <w:color w:val="auto"/>
        </w:rPr>
        <w:t>rights under the Licensed IP Rights for use in the Field to any Third Party that is not a Tier 1 Licensee; provided, however, that a license agreement for [***] shall not constitute a Tier 2 License.</w:t>
      </w:r>
    </w:p>
    <w:p>
      <w:pPr>
        <w:ind w:right="460" w:firstLine="1296"/>
        <w:spacing w:after="0" w:line="21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21"/>
          <w:szCs w:val="21"/>
          <w:color w:val="auto"/>
        </w:rPr>
        <w:t>“</w:t>
      </w:r>
      <w:r>
        <w:rPr>
          <w:rFonts w:ascii="Arial" w:cs="Arial" w:eastAsia="Arial" w:hAnsi="Arial"/>
          <w:sz w:val="21"/>
          <w:szCs w:val="21"/>
          <w:u w:val="single" w:color="auto"/>
          <w:color w:val="auto"/>
        </w:rPr>
        <w:t>TypeZero In-Licenses</w:t>
      </w:r>
      <w:r>
        <w:rPr>
          <w:rFonts w:ascii="Arial" w:cs="Arial" w:eastAsia="Arial" w:hAnsi="Arial"/>
          <w:sz w:val="21"/>
          <w:szCs w:val="21"/>
          <w:color w:val="auto"/>
        </w:rPr>
        <w:t>” shall mean all agreements (as modified, amended or restated as of the</w:t>
      </w:r>
      <w:r>
        <w:rPr>
          <w:rFonts w:ascii="Arial" w:cs="Arial" w:eastAsia="Arial" w:hAnsi="Arial"/>
          <w:sz w:val="18"/>
          <w:szCs w:val="18"/>
          <w:color w:val="auto"/>
        </w:rPr>
        <w:t xml:space="preserve"> </w:t>
      </w:r>
      <w:r>
        <w:rPr>
          <w:rFonts w:ascii="Arial" w:cs="Arial" w:eastAsia="Arial" w:hAnsi="Arial"/>
          <w:sz w:val="21"/>
          <w:szCs w:val="21"/>
          <w:color w:val="auto"/>
        </w:rPr>
        <w:t>Effective Date), pursuant to which TypeZero or its Affiliates derive any right, title or interest in or to the Licensed IP Rights, including without limitation the UVA-TypeZero License Agreement (as defined below).</w:t>
      </w:r>
    </w:p>
    <w:p>
      <w:pPr>
        <w:ind w:right="40" w:firstLine="1296"/>
        <w:spacing w:after="0" w:line="216"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21"/>
          <w:szCs w:val="21"/>
          <w:color w:val="auto"/>
        </w:rPr>
        <w:t>“</w:t>
      </w:r>
      <w:r>
        <w:rPr>
          <w:rFonts w:ascii="Arial" w:cs="Arial" w:eastAsia="Arial" w:hAnsi="Arial"/>
          <w:sz w:val="21"/>
          <w:szCs w:val="21"/>
          <w:u w:val="single" w:color="auto"/>
          <w:color w:val="auto"/>
        </w:rPr>
        <w:t>UC IV Trial</w:t>
      </w:r>
      <w:r>
        <w:rPr>
          <w:rFonts w:ascii="Arial" w:cs="Arial" w:eastAsia="Arial" w:hAnsi="Arial"/>
          <w:sz w:val="21"/>
          <w:szCs w:val="21"/>
          <w:color w:val="auto"/>
        </w:rPr>
        <w:t>” means that certain multi-site International Diabetes Closed-Loop Trial denominated</w:t>
      </w:r>
      <w:r>
        <w:rPr>
          <w:rFonts w:ascii="Arial" w:cs="Arial" w:eastAsia="Arial" w:hAnsi="Arial"/>
          <w:sz w:val="18"/>
          <w:szCs w:val="18"/>
          <w:color w:val="auto"/>
        </w:rPr>
        <w:t xml:space="preserve"> </w:t>
      </w:r>
      <w:r>
        <w:rPr>
          <w:rFonts w:ascii="Arial" w:cs="Arial" w:eastAsia="Arial" w:hAnsi="Arial"/>
          <w:sz w:val="21"/>
          <w:szCs w:val="21"/>
          <w:color w:val="auto"/>
        </w:rPr>
        <w:t>NIH/NIDDK Grant UC4 DK 108483 sponsored by the National Institutes of Health and scheduled to run during calendar years 2016 through 2019 (with a project period of 1/1/16 through 12/31/19) and any extensions thereof, which contemplates a trial of a “control to range” algorithm application, also known as an artificial pancreas system, that will use TypeZero’s “inControl AP” running on a smartphone, and which system will be integrated with an insulin pump and continuous blood glucose monitor from one or more third-party manufacturers, as well as a cloud-based real-time monitoring/alerts/database system known as “inControl Cloud.”</w:t>
      </w:r>
    </w:p>
    <w:p>
      <w:pPr>
        <w:spacing w:after="0" w:line="4" w:lineRule="exact"/>
        <w:rPr>
          <w:sz w:val="20"/>
          <w:szCs w:val="20"/>
          <w:color w:val="auto"/>
        </w:rPr>
      </w:pPr>
    </w:p>
    <w:p>
      <w:pPr>
        <w:ind w:right="440" w:firstLine="1296"/>
        <w:spacing w:after="0" w:line="21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21"/>
          <w:szCs w:val="21"/>
          <w:color w:val="auto"/>
        </w:rPr>
        <w:t>“</w:t>
      </w:r>
      <w:r>
        <w:rPr>
          <w:rFonts w:ascii="Arial" w:cs="Arial" w:eastAsia="Arial" w:hAnsi="Arial"/>
          <w:sz w:val="21"/>
          <w:szCs w:val="21"/>
          <w:u w:val="single" w:color="auto"/>
          <w:color w:val="auto"/>
        </w:rPr>
        <w:t>UVA-TypeZero License Agreement</w:t>
      </w:r>
      <w:r>
        <w:rPr>
          <w:rFonts w:ascii="Arial" w:cs="Arial" w:eastAsia="Arial" w:hAnsi="Arial"/>
          <w:sz w:val="21"/>
          <w:szCs w:val="21"/>
          <w:color w:val="auto"/>
        </w:rPr>
        <w:t>” shall mean that certain Amended and Restated License</w:t>
      </w:r>
      <w:r>
        <w:rPr>
          <w:rFonts w:ascii="Arial" w:cs="Arial" w:eastAsia="Arial" w:hAnsi="Arial"/>
          <w:sz w:val="18"/>
          <w:szCs w:val="18"/>
          <w:color w:val="auto"/>
        </w:rPr>
        <w:t xml:space="preserve"> </w:t>
      </w:r>
      <w:r>
        <w:rPr>
          <w:rFonts w:ascii="Arial" w:cs="Arial" w:eastAsia="Arial" w:hAnsi="Arial"/>
          <w:sz w:val="21"/>
          <w:szCs w:val="21"/>
          <w:color w:val="auto"/>
        </w:rPr>
        <w:t>Agreement by and between the University of Virginia Patent Foundation d/b/a University of Virginia Licensing and Ventures Group and TypeZero dated September 4, 2015.</w:t>
      </w:r>
    </w:p>
    <w:p>
      <w:pPr>
        <w:ind w:right="220" w:firstLine="1296"/>
        <w:spacing w:after="0" w:line="21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21"/>
          <w:szCs w:val="21"/>
          <w:color w:val="auto"/>
        </w:rPr>
        <w:t>“</w:t>
      </w:r>
      <w:r>
        <w:rPr>
          <w:rFonts w:ascii="Arial" w:cs="Arial" w:eastAsia="Arial" w:hAnsi="Arial"/>
          <w:sz w:val="21"/>
          <w:szCs w:val="21"/>
          <w:u w:val="single" w:color="auto"/>
          <w:color w:val="auto"/>
        </w:rPr>
        <w:t>Valid Claim</w:t>
      </w:r>
      <w:r>
        <w:rPr>
          <w:rFonts w:ascii="Arial" w:cs="Arial" w:eastAsia="Arial" w:hAnsi="Arial"/>
          <w:sz w:val="21"/>
          <w:szCs w:val="21"/>
          <w:color w:val="auto"/>
        </w:rPr>
        <w:t>” shall mean a claim of an issued and unexpired patent included within the Licensed</w:t>
      </w:r>
      <w:r>
        <w:rPr>
          <w:rFonts w:ascii="Arial" w:cs="Arial" w:eastAsia="Arial" w:hAnsi="Arial"/>
          <w:sz w:val="18"/>
          <w:szCs w:val="18"/>
          <w:color w:val="auto"/>
        </w:rPr>
        <w:t xml:space="preserve"> </w:t>
      </w:r>
      <w:r>
        <w:rPr>
          <w:rFonts w:ascii="Arial" w:cs="Arial" w:eastAsia="Arial" w:hAnsi="Arial"/>
          <w:sz w:val="21"/>
          <w:szCs w:val="21"/>
          <w:color w:val="auto"/>
        </w:rPr>
        <w:t>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The invalidity of a particular claim in one or more countries shall not invalidate such claim in the remaining countries of the Territory.</w:t>
      </w:r>
    </w:p>
    <w:p>
      <w:pPr>
        <w:ind w:left="1440" w:hanging="784"/>
        <w:spacing w:after="0" w:line="219" w:lineRule="auto"/>
        <w:tabs>
          <w:tab w:leader="none" w:pos="1440" w:val="left"/>
        </w:tabs>
        <w:numPr>
          <w:ilvl w:val="0"/>
          <w:numId w:val="35"/>
        </w:numPr>
        <w:rPr>
          <w:rFonts w:ascii="Arial" w:cs="Arial" w:eastAsia="Arial" w:hAnsi="Arial"/>
          <w:sz w:val="18"/>
          <w:szCs w:val="18"/>
          <w:color w:val="auto"/>
        </w:rPr>
      </w:pPr>
      <w:r>
        <w:rPr>
          <w:rFonts w:ascii="Arial" w:cs="Arial" w:eastAsia="Arial" w:hAnsi="Arial"/>
          <w:sz w:val="22"/>
          <w:szCs w:val="22"/>
          <w:u w:val="single" w:color="auto"/>
          <w:color w:val="auto"/>
        </w:rPr>
        <w:t>REPRESENTATIONS AND WARRANTIES</w:t>
      </w:r>
    </w:p>
    <w:p>
      <w:pPr>
        <w:ind w:left="1300"/>
        <w:spacing w:after="0"/>
        <w:tabs>
          <w:tab w:leader="none" w:pos="2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9"/>
          <w:szCs w:val="19"/>
          <w:u w:val="single" w:color="auto"/>
          <w:color w:val="auto"/>
        </w:rPr>
        <w:t>Mutual Representations and Warranties</w:t>
      </w:r>
      <w:r>
        <w:rPr>
          <w:rFonts w:ascii="Arial" w:cs="Arial" w:eastAsia="Arial" w:hAnsi="Arial"/>
          <w:sz w:val="19"/>
          <w:szCs w:val="19"/>
          <w:color w:val="auto"/>
        </w:rPr>
        <w:t>. Each party hereby represents and warrants to the other party as</w:t>
      </w:r>
    </w:p>
    <w:p>
      <w:pPr>
        <w:spacing w:after="0" w:line="215" w:lineRule="auto"/>
        <w:rPr>
          <w:sz w:val="20"/>
          <w:szCs w:val="20"/>
          <w:color w:val="auto"/>
        </w:rPr>
      </w:pPr>
      <w:r>
        <w:rPr>
          <w:rFonts w:ascii="Arial" w:cs="Arial" w:eastAsia="Arial" w:hAnsi="Arial"/>
          <w:sz w:val="22"/>
          <w:szCs w:val="22"/>
          <w:color w:val="auto"/>
        </w:rPr>
        <w:t>follows:</w:t>
      </w:r>
    </w:p>
    <w:p>
      <w:pPr>
        <w:ind w:right="280" w:firstLine="1944"/>
        <w:spacing w:after="0" w:line="221"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21"/>
          <w:szCs w:val="21"/>
          <w:color w:val="auto"/>
        </w:rPr>
        <w:t>Such party is a corporation or limited liability company, as the case may be, duly organized,</w:t>
      </w:r>
      <w:r>
        <w:rPr>
          <w:rFonts w:ascii="Arial" w:cs="Arial" w:eastAsia="Arial" w:hAnsi="Arial"/>
          <w:sz w:val="18"/>
          <w:szCs w:val="18"/>
          <w:color w:val="auto"/>
        </w:rPr>
        <w:t xml:space="preserve"> </w:t>
      </w:r>
      <w:r>
        <w:rPr>
          <w:rFonts w:ascii="Arial" w:cs="Arial" w:eastAsia="Arial" w:hAnsi="Arial"/>
          <w:sz w:val="21"/>
          <w:szCs w:val="21"/>
          <w:color w:val="auto"/>
        </w:rPr>
        <w:t>validly existing and in good standing under the laws of the state in which it is incorporated.</w:t>
      </w:r>
    </w:p>
    <w:p>
      <w:pPr>
        <w:spacing w:after="0" w:line="1" w:lineRule="exact"/>
        <w:rPr>
          <w:sz w:val="20"/>
          <w:szCs w:val="20"/>
          <w:color w:val="auto"/>
        </w:rPr>
      </w:pPr>
    </w:p>
    <w:p>
      <w:pPr>
        <w:ind w:firstLine="1944"/>
        <w:spacing w:after="0" w:line="21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21"/>
          <w:szCs w:val="21"/>
          <w:color w:val="auto"/>
        </w:rPr>
        <w:t>Such party (a) has the corporate power and authority and the legal right to enter into this</w:t>
      </w:r>
      <w:r>
        <w:rPr>
          <w:rFonts w:ascii="Arial" w:cs="Arial" w:eastAsia="Arial" w:hAnsi="Arial"/>
          <w:sz w:val="18"/>
          <w:szCs w:val="18"/>
          <w:color w:val="auto"/>
        </w:rPr>
        <w:t xml:space="preserve"> </w:t>
      </w:r>
      <w:r>
        <w:rPr>
          <w:rFonts w:ascii="Arial" w:cs="Arial" w:eastAsia="Arial" w:hAnsi="Arial"/>
          <w:sz w:val="21"/>
          <w:szCs w:val="21"/>
          <w:color w:val="auto"/>
        </w:rPr>
        <w:t>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2" w:lineRule="exact"/>
        <w:rPr>
          <w:sz w:val="20"/>
          <w:szCs w:val="20"/>
          <w:color w:val="auto"/>
        </w:rPr>
      </w:pPr>
    </w:p>
    <w:p>
      <w:pPr>
        <w:ind w:right="100" w:firstLine="1944"/>
        <w:spacing w:after="0" w:line="22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21"/>
          <w:szCs w:val="21"/>
          <w:color w:val="auto"/>
        </w:rPr>
        <w:t>All necessary consents, approvals and authorizations of all governmental authorities and other</w:t>
      </w:r>
      <w:r>
        <w:rPr>
          <w:rFonts w:ascii="Arial" w:cs="Arial" w:eastAsia="Arial" w:hAnsi="Arial"/>
          <w:sz w:val="18"/>
          <w:szCs w:val="18"/>
          <w:color w:val="auto"/>
        </w:rPr>
        <w:t xml:space="preserve"> </w:t>
      </w:r>
      <w:r>
        <w:rPr>
          <w:rFonts w:ascii="Arial" w:cs="Arial" w:eastAsia="Arial" w:hAnsi="Arial"/>
          <w:sz w:val="21"/>
          <w:szCs w:val="21"/>
          <w:color w:val="auto"/>
        </w:rPr>
        <w:t>Persons required to be obtained by such party in connection with this Agreement have been obtained.</w:t>
      </w:r>
    </w:p>
    <w:p>
      <w:pPr>
        <w:spacing w:after="0" w:line="1" w:lineRule="exact"/>
        <w:rPr>
          <w:sz w:val="20"/>
          <w:szCs w:val="20"/>
          <w:color w:val="auto"/>
        </w:rPr>
      </w:pPr>
    </w:p>
    <w:p>
      <w:pPr>
        <w:ind w:right="100" w:firstLine="1944"/>
        <w:spacing w:after="0" w:line="21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21"/>
          <w:szCs w:val="21"/>
          <w:color w:val="auto"/>
        </w:rPr>
        <w:t>The execution and delivery of this Agreement and the performance of such party’s obligations</w:t>
      </w:r>
      <w:r>
        <w:rPr>
          <w:rFonts w:ascii="Arial" w:cs="Arial" w:eastAsia="Arial" w:hAnsi="Arial"/>
          <w:sz w:val="18"/>
          <w:szCs w:val="18"/>
          <w:color w:val="auto"/>
        </w:rPr>
        <w:t xml:space="preserve"> </w:t>
      </w:r>
      <w:r>
        <w:rPr>
          <w:rFonts w:ascii="Arial" w:cs="Arial" w:eastAsia="Arial" w:hAnsi="Arial"/>
          <w:sz w:val="21"/>
          <w:szCs w:val="21"/>
          <w:color w:val="auto"/>
        </w:rPr>
        <w:t>hereunder (a) do not conflict with or violate any requirement of applicable laws or regulations, and (b) do not conflict with, or constitute a default under, any contractual obligation of it.</w:t>
      </w:r>
    </w:p>
    <w:p>
      <w:pPr>
        <w:ind w:right="220" w:firstLine="1296"/>
        <w:spacing w:after="0" w:line="22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u w:val="single" w:color="auto"/>
          <w:color w:val="auto"/>
        </w:rPr>
        <w:t>TypeZero Representations and Warranties</w:t>
      </w:r>
      <w:r>
        <w:rPr>
          <w:rFonts w:ascii="Arial" w:cs="Arial" w:eastAsia="Arial" w:hAnsi="Arial"/>
          <w:sz w:val="21"/>
          <w:szCs w:val="21"/>
          <w:color w:val="auto"/>
        </w:rPr>
        <w:t>. TypeZero hereby represents and warrants to Tandem that</w:t>
      </w:r>
      <w:r>
        <w:rPr>
          <w:rFonts w:ascii="Arial" w:cs="Arial" w:eastAsia="Arial" w:hAnsi="Arial"/>
          <w:sz w:val="18"/>
          <w:szCs w:val="18"/>
          <w:color w:val="auto"/>
        </w:rPr>
        <w:t xml:space="preserve"> </w:t>
      </w:r>
      <w:r>
        <w:rPr>
          <w:rFonts w:ascii="Arial" w:cs="Arial" w:eastAsia="Arial" w:hAnsi="Arial"/>
          <w:sz w:val="21"/>
          <w:szCs w:val="21"/>
          <w:color w:val="auto"/>
        </w:rPr>
        <w:t>TypeZero has provided Tandem with complete and correct copies of all TypeZero In-Licenses, and there have been no modifications, amendments or restatements thereto other than as provided to Tandem prior to the Effective Date. The TypeZero In-Licenses are in full force and effect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1" w:lineRule="exact"/>
        <w:rPr>
          <w:sz w:val="20"/>
          <w:szCs w:val="20"/>
          <w:color w:val="auto"/>
        </w:rPr>
      </w:pPr>
    </w:p>
    <w:p>
      <w:pPr>
        <w:jc w:val="both"/>
        <w:ind w:right="20"/>
        <w:spacing w:after="0" w:line="210" w:lineRule="auto"/>
        <w:rPr>
          <w:sz w:val="20"/>
          <w:szCs w:val="20"/>
          <w:color w:val="auto"/>
        </w:rPr>
      </w:pPr>
      <w:r>
        <w:rPr>
          <w:rFonts w:ascii="Arial" w:cs="Arial" w:eastAsia="Arial" w:hAnsi="Arial"/>
          <w:sz w:val="22"/>
          <w:szCs w:val="22"/>
          <w:color w:val="auto"/>
        </w:rPr>
        <w:t>accordance with their terms. After giving effect to this Agreement, there exist no breaches, defaults or events that would (with the giving of notice, the passage of time or both) give rise to a breach, default or other right to terminate or modify any TypeZero In-License.</w:t>
      </w:r>
    </w:p>
    <w:p>
      <w:pPr>
        <w:ind w:left="1440" w:hanging="784"/>
        <w:spacing w:after="0" w:line="219" w:lineRule="auto"/>
        <w:tabs>
          <w:tab w:leader="none" w:pos="1440"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LICENSE GRANT</w:t>
      </w:r>
    </w:p>
    <w:p>
      <w:pPr>
        <w:spacing w:after="0" w:line="1" w:lineRule="exact"/>
        <w:rPr>
          <w:sz w:val="20"/>
          <w:szCs w:val="20"/>
          <w:color w:val="auto"/>
        </w:rPr>
      </w:pPr>
    </w:p>
    <w:p>
      <w:pPr>
        <w:ind w:right="60" w:firstLine="1296"/>
        <w:spacing w:after="0" w:line="23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9"/>
          <w:szCs w:val="19"/>
          <w:u w:val="single" w:color="auto"/>
          <w:color w:val="auto"/>
        </w:rPr>
        <w:t>Licensed IP Rights</w:t>
      </w:r>
      <w:r>
        <w:rPr>
          <w:rFonts w:ascii="Arial" w:cs="Arial" w:eastAsia="Arial" w:hAnsi="Arial"/>
          <w:sz w:val="19"/>
          <w:szCs w:val="19"/>
          <w:color w:val="auto"/>
        </w:rPr>
        <w:t>. Effective as of Tandem’s payment of the License Fee set forth in Section 4.1,</w:t>
      </w:r>
      <w:r>
        <w:rPr>
          <w:rFonts w:ascii="Arial" w:cs="Arial" w:eastAsia="Arial" w:hAnsi="Arial"/>
          <w:sz w:val="16"/>
          <w:szCs w:val="16"/>
          <w:color w:val="auto"/>
        </w:rPr>
        <w:t xml:space="preserve"> </w:t>
      </w:r>
      <w:r>
        <w:rPr>
          <w:rFonts w:ascii="Arial" w:cs="Arial" w:eastAsia="Arial" w:hAnsi="Arial"/>
          <w:sz w:val="19"/>
          <w:szCs w:val="19"/>
          <w:color w:val="auto"/>
        </w:rPr>
        <w:t>TypeZero hereby grants to Tandem a non-exclusive, non-transferable (subject to Section 10.3 hereof) license (without the right to grant sublicenses except as set forth below) under the Licensed IP Rights and solely within the Field to conduct research and to develop, make, have made, use, offer for sale, sell and import Products in the Territory. The license grant to use the Licensed IP Rights shall be extended to employees hired by Tandem or its Affiliates, independent contractors, consultants, and collaborators solely to the extent that such parties are performing services for, or working in connection with, Tandem or its Affiliates. Tandem shall also have the right to grant sublicenses to end users of the Products for the end users’ use of the Products.</w:t>
      </w:r>
    </w:p>
    <w:p>
      <w:pPr>
        <w:spacing w:after="0" w:line="2" w:lineRule="exact"/>
        <w:rPr>
          <w:sz w:val="20"/>
          <w:szCs w:val="20"/>
          <w:color w:val="auto"/>
        </w:rPr>
      </w:pPr>
    </w:p>
    <w:p>
      <w:pPr>
        <w:ind w:right="100" w:firstLine="1296"/>
        <w:spacing w:after="0" w:line="21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u w:val="single" w:color="auto"/>
          <w:color w:val="auto"/>
        </w:rPr>
        <w:t>TypeZero In-Licenses</w:t>
      </w:r>
      <w:r>
        <w:rPr>
          <w:rFonts w:ascii="Arial" w:cs="Arial" w:eastAsia="Arial" w:hAnsi="Arial"/>
          <w:sz w:val="21"/>
          <w:szCs w:val="21"/>
          <w:color w:val="auto"/>
        </w:rPr>
        <w:t>. TypeZero shall timely pay in full all amounts required to be paid by TypeZero,</w:t>
      </w:r>
      <w:r>
        <w:rPr>
          <w:rFonts w:ascii="Arial" w:cs="Arial" w:eastAsia="Arial" w:hAnsi="Arial"/>
          <w:sz w:val="18"/>
          <w:szCs w:val="18"/>
          <w:color w:val="auto"/>
        </w:rPr>
        <w:t xml:space="preserve"> </w:t>
      </w:r>
      <w:r>
        <w:rPr>
          <w:rFonts w:ascii="Arial" w:cs="Arial" w:eastAsia="Arial" w:hAnsi="Arial"/>
          <w:sz w:val="21"/>
          <w:szCs w:val="21"/>
          <w:color w:val="auto"/>
        </w:rPr>
        <w:t>and timely perform in full all obligations required to be performed by TypeZero, under all TypeZero In-Licenses. TypeZero promptly shall provide Tandem with copies of all notices and other deliveries received under the TypeZero In-Licenses that are material to this Agreement. Without the prior express written consent of Tandem, TypeZero shall not (and shall take no action or make no omission to) modify or waive any provision of any TypeZero In-License that could impair the value of the licenses to Tandem herein, or to terminate or have terminated any TypeZero In-License. If any TypeZero In-License is terminated for any reason, TypeZero shall use all commercially reasonable efforts to cause the licensor thereunder to grant a direct license under the Licensed IP Rights to Tandem containing terms and conditions no less favorable to Tandem than the payment terms of such TypeZero In-License.</w:t>
      </w:r>
    </w:p>
    <w:p>
      <w:pPr>
        <w:spacing w:after="0" w:line="1" w:lineRule="exact"/>
        <w:rPr>
          <w:sz w:val="20"/>
          <w:szCs w:val="20"/>
          <w:color w:val="auto"/>
        </w:rPr>
      </w:pPr>
    </w:p>
    <w:p>
      <w:pPr>
        <w:ind w:right="660" w:firstLine="1296"/>
        <w:spacing w:after="0" w:line="22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21"/>
          <w:szCs w:val="21"/>
          <w:u w:val="single" w:color="auto"/>
          <w:color w:val="auto"/>
        </w:rPr>
        <w:t>Trade Secrets</w:t>
      </w:r>
      <w:r>
        <w:rPr>
          <w:rFonts w:ascii="Arial" w:cs="Arial" w:eastAsia="Arial" w:hAnsi="Arial"/>
          <w:sz w:val="21"/>
          <w:szCs w:val="21"/>
          <w:color w:val="auto"/>
        </w:rPr>
        <w:t>. TypeZero shall maintain in confidence and as a trade secret the source code of the</w:t>
      </w:r>
      <w:r>
        <w:rPr>
          <w:rFonts w:ascii="Arial" w:cs="Arial" w:eastAsia="Arial" w:hAnsi="Arial"/>
          <w:sz w:val="18"/>
          <w:szCs w:val="18"/>
          <w:color w:val="auto"/>
        </w:rPr>
        <w:t xml:space="preserve"> </w:t>
      </w:r>
      <w:r>
        <w:rPr>
          <w:rFonts w:ascii="Arial" w:cs="Arial" w:eastAsia="Arial" w:hAnsi="Arial"/>
          <w:sz w:val="21"/>
          <w:szCs w:val="21"/>
          <w:color w:val="auto"/>
        </w:rPr>
        <w:t>software and algorithms included within the Technology.</w:t>
      </w:r>
    </w:p>
    <w:p>
      <w:pPr>
        <w:spacing w:after="0" w:line="1" w:lineRule="exact"/>
        <w:rPr>
          <w:sz w:val="20"/>
          <w:szCs w:val="20"/>
          <w:color w:val="auto"/>
        </w:rPr>
      </w:pPr>
    </w:p>
    <w:p>
      <w:pPr>
        <w:jc w:val="both"/>
        <w:ind w:right="140" w:firstLine="1296"/>
        <w:spacing w:after="0" w:line="21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u w:val="single" w:color="auto"/>
          <w:color w:val="auto"/>
        </w:rPr>
        <w:t>Availability of the Licensed IP Rights</w:t>
      </w:r>
      <w:r>
        <w:rPr>
          <w:rFonts w:ascii="Arial" w:cs="Arial" w:eastAsia="Arial" w:hAnsi="Arial"/>
          <w:sz w:val="21"/>
          <w:szCs w:val="21"/>
          <w:color w:val="auto"/>
        </w:rPr>
        <w:t>. Promptly following the Effective Date, TypeZero shall provide</w:t>
      </w:r>
      <w:r>
        <w:rPr>
          <w:rFonts w:ascii="Arial" w:cs="Arial" w:eastAsia="Arial" w:hAnsi="Arial"/>
          <w:sz w:val="18"/>
          <w:szCs w:val="18"/>
          <w:color w:val="auto"/>
        </w:rPr>
        <w:t xml:space="preserve"> </w:t>
      </w:r>
      <w:r>
        <w:rPr>
          <w:rFonts w:ascii="Arial" w:cs="Arial" w:eastAsia="Arial" w:hAnsi="Arial"/>
          <w:sz w:val="21"/>
          <w:szCs w:val="21"/>
          <w:color w:val="auto"/>
        </w:rPr>
        <w:t>Tandem with a copy of all information and technology available to TypeZero relating to the Licensed IP Rights and Technology, including without limitation: (a) software and source code, (b) algorithms, and (c) data (including results of past clinical trials). During the first five (5) years following the Effective Date, as TypeZero generates or acquires additional Technology, TypeZero shall promptly provide a copy of such additional Technology to Tandem.</w:t>
      </w:r>
    </w:p>
    <w:p>
      <w:pPr>
        <w:spacing w:after="0" w:line="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9"/>
          <w:szCs w:val="19"/>
          <w:u w:val="single" w:color="auto"/>
          <w:color w:val="auto"/>
        </w:rPr>
        <w:t>Technical Assistance</w:t>
      </w:r>
      <w:r>
        <w:rPr>
          <w:rFonts w:ascii="Arial" w:cs="Arial" w:eastAsia="Arial" w:hAnsi="Arial"/>
          <w:sz w:val="19"/>
          <w:szCs w:val="19"/>
          <w:color w:val="auto"/>
        </w:rPr>
        <w:t>.</w:t>
      </w:r>
    </w:p>
    <w:p>
      <w:pPr>
        <w:spacing w:after="0" w:line="11" w:lineRule="exact"/>
        <w:rPr>
          <w:sz w:val="20"/>
          <w:szCs w:val="20"/>
          <w:color w:val="auto"/>
        </w:rPr>
      </w:pPr>
    </w:p>
    <w:p>
      <w:pPr>
        <w:ind w:right="160" w:firstLine="1944"/>
        <w:spacing w:after="0" w:line="217"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21"/>
          <w:szCs w:val="21"/>
          <w:color w:val="auto"/>
        </w:rPr>
        <w:t>During the first [***] following the Effective Date, TypeZero shall provide to Tandem such</w:t>
      </w:r>
      <w:r>
        <w:rPr>
          <w:rFonts w:ascii="Arial" w:cs="Arial" w:eastAsia="Arial" w:hAnsi="Arial"/>
          <w:sz w:val="18"/>
          <w:szCs w:val="18"/>
          <w:color w:val="auto"/>
        </w:rPr>
        <w:t xml:space="preserve"> </w:t>
      </w:r>
      <w:r>
        <w:rPr>
          <w:rFonts w:ascii="Arial" w:cs="Arial" w:eastAsia="Arial" w:hAnsi="Arial"/>
          <w:sz w:val="21"/>
          <w:szCs w:val="21"/>
          <w:color w:val="auto"/>
        </w:rPr>
        <w:t>technical assistance as is reasonably necessary to enable Tandem to utilize the Licensed IP Rights and Technology transferred to Tandem pursuant to Section 3.4, including without limitation providing guidance on the code and architecture of the applicable software and algorithms. TypeZero shall provide such initial technical assistance at no additional cost to Tandem, provided that Tandem shall [***].</w:t>
      </w:r>
    </w:p>
    <w:p>
      <w:pPr>
        <w:spacing w:after="0" w:line="2" w:lineRule="exact"/>
        <w:rPr>
          <w:sz w:val="20"/>
          <w:szCs w:val="20"/>
          <w:color w:val="auto"/>
        </w:rPr>
      </w:pPr>
    </w:p>
    <w:p>
      <w:pPr>
        <w:ind w:right="60" w:firstLine="1944"/>
        <w:spacing w:after="0" w:line="228" w:lineRule="auto"/>
        <w:rPr>
          <w:sz w:val="20"/>
          <w:szCs w:val="20"/>
          <w:color w:val="auto"/>
        </w:rPr>
      </w:pPr>
      <w:r>
        <w:rPr>
          <w:rFonts w:ascii="Arial" w:cs="Arial" w:eastAsia="Arial" w:hAnsi="Arial"/>
          <w:sz w:val="18"/>
          <w:szCs w:val="18"/>
          <w:color w:val="auto"/>
        </w:rPr>
        <w:t xml:space="preserve">3.5.2. </w:t>
      </w:r>
      <w:r>
        <w:rPr>
          <w:rFonts w:ascii="Arial" w:cs="Arial" w:eastAsia="Arial" w:hAnsi="Arial"/>
          <w:sz w:val="21"/>
          <w:szCs w:val="21"/>
          <w:color w:val="auto"/>
        </w:rPr>
        <w:t>During the first five (5) years after the Effective Date, appropriate representatives of TypeZero</w:t>
      </w:r>
      <w:r>
        <w:rPr>
          <w:rFonts w:ascii="Arial" w:cs="Arial" w:eastAsia="Arial" w:hAnsi="Arial"/>
          <w:sz w:val="18"/>
          <w:szCs w:val="18"/>
          <w:color w:val="auto"/>
        </w:rPr>
        <w:t xml:space="preserve"> </w:t>
      </w:r>
      <w:r>
        <w:rPr>
          <w:rFonts w:ascii="Arial" w:cs="Arial" w:eastAsia="Arial" w:hAnsi="Arial"/>
          <w:sz w:val="21"/>
          <w:szCs w:val="21"/>
          <w:color w:val="auto"/>
        </w:rPr>
        <w:t>and Tandem shall meet in person (at a mutually agreed upon location) at least [***]. The subject of these meetings will be for Tandem to report on the status of product development efforts and for TypeZero to report on the development of additional Technology. Each party will bear its own costs to prepare and attend such meetings.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w:t>
      </w:r>
    </w:p>
    <w:p>
      <w:pPr>
        <w:spacing w:after="0" w:line="208" w:lineRule="exact"/>
        <w:rPr>
          <w:sz w:val="20"/>
          <w:szCs w:val="20"/>
          <w:color w:val="auto"/>
        </w:rPr>
      </w:pPr>
    </w:p>
    <w:p>
      <w:pPr>
        <w:ind w:left="1960"/>
        <w:spacing w:after="0"/>
        <w:tabs>
          <w:tab w:leader="none" w:pos="298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9"/>
          <w:szCs w:val="19"/>
          <w:color w:val="auto"/>
        </w:rPr>
        <w:t>If Tandem desires technical assistance or services in addition to that described in</w:t>
      </w:r>
    </w:p>
    <w:p>
      <w:pPr>
        <w:spacing w:after="0" w:line="29"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Sections 3.5.1 and 3.5.2 (which may include, without limitation, product development assistance or clinical trial planning), then TypeZero shall provide such assistance on a time and materials basis and as mutually agreed upon by the parties and set forth in a Statement of Work that provides for the scope of the assistance and services and the applicable budget. Such Statements of Work shall likewise address ownership of any work product or inventions that may arise from such assistance and services (including any associated patent and intellectual property rights), depending upon the nature of the underlying work. TypeZero shall ensure that any such assistance or services shall be done by TypeZero personnel that are obligated to assign any inventions to TypeZero, and TypeZero shall not use any employee of the University of Virginia (or an employee of any Third Party).</w:t>
      </w:r>
    </w:p>
    <w:p>
      <w:pPr>
        <w:spacing w:after="0" w:line="2" w:lineRule="exact"/>
        <w:rPr>
          <w:sz w:val="20"/>
          <w:szCs w:val="20"/>
          <w:color w:val="auto"/>
        </w:rPr>
      </w:pPr>
    </w:p>
    <w:p>
      <w:pPr>
        <w:ind w:left="1960"/>
        <w:spacing w:after="0"/>
        <w:tabs>
          <w:tab w:leader="none" w:pos="298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9"/>
          <w:szCs w:val="19"/>
          <w:color w:val="auto"/>
        </w:rPr>
        <w:t>TypeZero shall ensure that at least [***] of the insulin pump products used in the UC IV Trial</w:t>
      </w:r>
    </w:p>
    <w:p>
      <w:pPr>
        <w:spacing w:after="0" w:line="215" w:lineRule="auto"/>
        <w:rPr>
          <w:sz w:val="20"/>
          <w:szCs w:val="20"/>
          <w:color w:val="auto"/>
        </w:rPr>
      </w:pPr>
      <w:r>
        <w:rPr>
          <w:rFonts w:ascii="Arial" w:cs="Arial" w:eastAsia="Arial" w:hAnsi="Arial"/>
          <w:sz w:val="22"/>
          <w:szCs w:val="22"/>
          <w:color w:val="auto"/>
        </w:rPr>
        <w:t>are Tandem Products.</w:t>
      </w:r>
    </w:p>
    <w:p>
      <w:pPr>
        <w:ind w:right="40" w:firstLine="1296"/>
        <w:spacing w:after="0" w:line="216" w:lineRule="auto"/>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u w:val="single" w:color="auto"/>
          <w:color w:val="auto"/>
        </w:rPr>
        <w:t>Additional Licenses</w:t>
      </w:r>
      <w:r>
        <w:rPr>
          <w:rFonts w:ascii="Arial" w:cs="Arial" w:eastAsia="Arial" w:hAnsi="Arial"/>
          <w:sz w:val="21"/>
          <w:szCs w:val="21"/>
          <w:color w:val="auto"/>
        </w:rPr>
        <w:t>. TypeZero shall notify Tandem in writing within [***] following the execution of a</w:t>
      </w:r>
      <w:r>
        <w:rPr>
          <w:rFonts w:ascii="Arial" w:cs="Arial" w:eastAsia="Arial" w:hAnsi="Arial"/>
          <w:sz w:val="18"/>
          <w:szCs w:val="18"/>
          <w:color w:val="auto"/>
        </w:rPr>
        <w:t xml:space="preserve"> </w:t>
      </w:r>
      <w:r>
        <w:rPr>
          <w:rFonts w:ascii="Arial" w:cs="Arial" w:eastAsia="Arial" w:hAnsi="Arial"/>
          <w:sz w:val="21"/>
          <w:szCs w:val="21"/>
          <w:color w:val="auto"/>
        </w:rPr>
        <w:t>Tier 1 License or a Tier 2 License, and shall specify its identity as one or the other. TypeZero shall not sell its assets or stock to, and shall not directly or indirectly grant any license or other rights under the Licensed IP Rights to, [***]. TypeZero shall ensure that with respect to any agreements that TypeZero enters into with a Third Party to grant a license to such Third Party under the Licensed IP Rights, if such licensee acquires, or is acquired by, or otherwise becomes an Affiliate of, [***] then such agreement shall terminate.</w:t>
      </w:r>
    </w:p>
    <w:p>
      <w:pPr>
        <w:spacing w:after="0" w:line="6"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9"/>
          <w:szCs w:val="19"/>
          <w:u w:val="single" w:color="auto"/>
          <w:color w:val="auto"/>
        </w:rPr>
        <w:t>New IP</w:t>
      </w:r>
      <w:r>
        <w:rPr>
          <w:rFonts w:ascii="Arial" w:cs="Arial" w:eastAsia="Arial" w:hAnsi="Arial"/>
          <w:sz w:val="19"/>
          <w:szCs w:val="19"/>
          <w:color w:val="auto"/>
        </w:rPr>
        <w:t>. If, after five (5) years following the Effective Date, [***] (“</w:t>
      </w:r>
      <w:r>
        <w:rPr>
          <w:rFonts w:ascii="Arial" w:cs="Arial" w:eastAsia="Arial" w:hAnsi="Arial"/>
          <w:sz w:val="19"/>
          <w:szCs w:val="19"/>
          <w:u w:val="single" w:color="auto"/>
          <w:color w:val="auto"/>
        </w:rPr>
        <w:t>New IP</w:t>
      </w:r>
      <w:r>
        <w:rPr>
          <w:rFonts w:ascii="Arial" w:cs="Arial" w:eastAsia="Arial" w:hAnsi="Arial"/>
          <w:sz w:val="19"/>
          <w:szCs w:val="19"/>
          <w:color w:val="auto"/>
        </w:rPr>
        <w:t>”), then TypeZero shall</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notify Tandem in writing of such New IP within [***] following the date of development or acquisition thereof. TypeZero hereby</w:t>
      </w:r>
    </w:p>
    <w:p>
      <w:pPr>
        <w:spacing w:after="0" w:line="214" w:lineRule="auto"/>
        <w:rPr>
          <w:sz w:val="20"/>
          <w:szCs w:val="20"/>
          <w:color w:val="auto"/>
        </w:rPr>
      </w:pPr>
      <w:r>
        <w:rPr>
          <w:rFonts w:ascii="Arial" w:cs="Arial" w:eastAsia="Arial" w:hAnsi="Arial"/>
          <w:sz w:val="21"/>
          <w:szCs w:val="21"/>
          <w:color w:val="auto"/>
        </w:rPr>
        <w:t>grants to Tandem for a period of [***] following the date TypeZero provides such notice with respect to any New IP (the</w:t>
      </w:r>
    </w:p>
    <w:p>
      <w:pPr>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Negotiation Period</w:t>
      </w:r>
      <w:r>
        <w:rPr>
          <w:rFonts w:ascii="Arial" w:cs="Arial" w:eastAsia="Arial" w:hAnsi="Arial"/>
          <w:sz w:val="19"/>
          <w:szCs w:val="19"/>
          <w:color w:val="auto"/>
        </w:rPr>
        <w:t>”), a right to [***]. During the applicable Negotiation Period, the parties shall negotiate in good faith and</w:t>
      </w:r>
    </w:p>
    <w:p>
      <w:pPr>
        <w:spacing w:after="0" w:line="237" w:lineRule="auto"/>
        <w:rPr>
          <w:sz w:val="20"/>
          <w:szCs w:val="20"/>
          <w:color w:val="auto"/>
        </w:rPr>
      </w:pPr>
      <w:r>
        <w:rPr>
          <w:rFonts w:ascii="Arial" w:cs="Arial" w:eastAsia="Arial" w:hAnsi="Arial"/>
          <w:sz w:val="19"/>
          <w:szCs w:val="19"/>
          <w:color w:val="auto"/>
        </w:rPr>
        <w:t>attempt to reach mutual agreement on commercially reasonable terms and conditions for [***]. If the parties are unable to agree</w:t>
      </w:r>
    </w:p>
    <w:p>
      <w:pPr>
        <w:spacing w:after="0" w:line="237" w:lineRule="auto"/>
        <w:rPr>
          <w:sz w:val="20"/>
          <w:szCs w:val="20"/>
          <w:color w:val="auto"/>
        </w:rPr>
      </w:pPr>
      <w:r>
        <w:rPr>
          <w:rFonts w:ascii="Arial" w:cs="Arial" w:eastAsia="Arial" w:hAnsi="Arial"/>
          <w:sz w:val="19"/>
          <w:szCs w:val="19"/>
          <w:color w:val="auto"/>
        </w:rPr>
        <w:t>upon such terms and conditions during the applicable Negotiation Period, then TypeZero may [***]; provided, however, that if</w:t>
      </w:r>
    </w:p>
    <w:p>
      <w:pPr>
        <w:spacing w:after="0" w:line="205" w:lineRule="auto"/>
        <w:rPr>
          <w:sz w:val="20"/>
          <w:szCs w:val="20"/>
          <w:color w:val="auto"/>
        </w:rPr>
      </w:pPr>
      <w:r>
        <w:rPr>
          <w:rFonts w:ascii="Arial" w:cs="Arial" w:eastAsia="Arial" w:hAnsi="Arial"/>
          <w:sz w:val="22"/>
          <w:szCs w:val="22"/>
          <w:color w:val="auto"/>
        </w:rPr>
        <w:t>[***].</w:t>
      </w:r>
    </w:p>
    <w:p>
      <w:pPr>
        <w:ind w:firstLine="1296"/>
        <w:spacing w:after="0" w:line="21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u w:val="single" w:color="auto"/>
          <w:color w:val="auto"/>
        </w:rPr>
        <w:t>Enforcement and Licensing of Patent Rights</w:t>
      </w:r>
      <w:r>
        <w:rPr>
          <w:rFonts w:ascii="Arial" w:cs="Arial" w:eastAsia="Arial" w:hAnsi="Arial"/>
          <w:sz w:val="21"/>
          <w:szCs w:val="21"/>
          <w:color w:val="auto"/>
        </w:rPr>
        <w:t>. Subject in all events to the attorney-client privilege (which</w:t>
      </w:r>
      <w:r>
        <w:rPr>
          <w:rFonts w:ascii="Arial" w:cs="Arial" w:eastAsia="Arial" w:hAnsi="Arial"/>
          <w:sz w:val="18"/>
          <w:szCs w:val="18"/>
          <w:color w:val="auto"/>
        </w:rPr>
        <w:t xml:space="preserve"> </w:t>
      </w:r>
      <w:r>
        <w:rPr>
          <w:rFonts w:ascii="Arial" w:cs="Arial" w:eastAsia="Arial" w:hAnsi="Arial"/>
          <w:sz w:val="21"/>
          <w:szCs w:val="21"/>
          <w:color w:val="auto"/>
        </w:rPr>
        <w:t>TypeZero expressly reserves), TypeZero shall provide notice to Tandem within [***]. In such case, TypeZero shall [***] including, without limitation, to (a) [***], or (b) [***] to the extent permissible under this Agreement. TypeZero shall, however, [***], and shall notify Tandem promptly in the event of any such action. If TypeZero does not do either (a) or (b) by the end of [***], then for purposes of [***] TypeZero shall be deemed to have [***].</w:t>
      </w:r>
    </w:p>
    <w:p>
      <w:pPr>
        <w:ind w:left="1440" w:hanging="784"/>
        <w:spacing w:after="0" w:line="219"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22"/>
          <w:szCs w:val="22"/>
          <w:u w:val="single" w:color="auto"/>
          <w:color w:val="auto"/>
        </w:rPr>
        <w:t>FINANCIAL CONSIDERATIONS</w:t>
      </w:r>
    </w:p>
    <w:p>
      <w:pPr>
        <w:ind w:right="560" w:firstLine="1296"/>
        <w:spacing w:after="0" w:line="24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u w:val="single" w:color="auto"/>
          <w:color w:val="auto"/>
        </w:rPr>
        <w:t>License Fee</w:t>
      </w:r>
      <w:r>
        <w:rPr>
          <w:rFonts w:ascii="Arial" w:cs="Arial" w:eastAsia="Arial" w:hAnsi="Arial"/>
          <w:sz w:val="21"/>
          <w:szCs w:val="21"/>
          <w:color w:val="auto"/>
        </w:rPr>
        <w:t>. Within [***] following the Effective Date, Tandem shall pay to TypeZero an upfront</w:t>
      </w:r>
      <w:r>
        <w:rPr>
          <w:rFonts w:ascii="Arial" w:cs="Arial" w:eastAsia="Arial" w:hAnsi="Arial"/>
          <w:sz w:val="18"/>
          <w:szCs w:val="18"/>
          <w:color w:val="auto"/>
        </w:rPr>
        <w:t xml:space="preserve"> </w:t>
      </w:r>
      <w:r>
        <w:rPr>
          <w:rFonts w:ascii="Arial" w:cs="Arial" w:eastAsia="Arial" w:hAnsi="Arial"/>
          <w:sz w:val="21"/>
          <w:szCs w:val="21"/>
          <w:color w:val="auto"/>
        </w:rPr>
        <w:t>license fee of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w:t>
      </w:r>
    </w:p>
    <w:p>
      <w:pPr>
        <w:spacing w:after="0" w:line="208"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9"/>
          <w:szCs w:val="19"/>
          <w:u w:val="single" w:color="auto"/>
          <w:color w:val="auto"/>
        </w:rPr>
        <w:t>Royalties</w:t>
      </w:r>
      <w:r>
        <w:rPr>
          <w:rFonts w:ascii="Arial" w:cs="Arial" w:eastAsia="Arial" w:hAnsi="Arial"/>
          <w:sz w:val="19"/>
          <w:szCs w:val="19"/>
          <w:color w:val="auto"/>
        </w:rPr>
        <w:t>.</w:t>
      </w:r>
    </w:p>
    <w:p>
      <w:pPr>
        <w:spacing w:after="0" w:line="29" w:lineRule="exact"/>
        <w:rPr>
          <w:sz w:val="20"/>
          <w:szCs w:val="20"/>
          <w:color w:val="auto"/>
        </w:rPr>
      </w:pPr>
    </w:p>
    <w:p>
      <w:pPr>
        <w:ind w:left="1960"/>
        <w:spacing w:after="0"/>
        <w:tabs>
          <w:tab w:leader="none" w:pos="29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9"/>
          <w:szCs w:val="19"/>
          <w:u w:val="single" w:color="auto"/>
          <w:color w:val="auto"/>
        </w:rPr>
        <w:t>Royalty Rate</w:t>
      </w:r>
      <w:r>
        <w:rPr>
          <w:rFonts w:ascii="Arial" w:cs="Arial" w:eastAsia="Arial" w:hAnsi="Arial"/>
          <w:sz w:val="19"/>
          <w:szCs w:val="19"/>
          <w:color w:val="auto"/>
        </w:rPr>
        <w:t>.</w:t>
      </w:r>
    </w:p>
    <w:p>
      <w:pPr>
        <w:spacing w:after="0" w:line="11" w:lineRule="exact"/>
        <w:rPr>
          <w:sz w:val="20"/>
          <w:szCs w:val="20"/>
          <w:color w:val="auto"/>
        </w:rPr>
      </w:pPr>
    </w:p>
    <w:p>
      <w:pPr>
        <w:ind w:firstLine="2600"/>
        <w:spacing w:after="0" w:line="238" w:lineRule="auto"/>
        <w:tabs>
          <w:tab w:leader="none" w:pos="3365" w:val="left"/>
        </w:tabs>
        <w:numPr>
          <w:ilvl w:val="0"/>
          <w:numId w:val="38"/>
        </w:numPr>
        <w:rPr>
          <w:rFonts w:ascii="Arial" w:cs="Arial" w:eastAsia="Arial" w:hAnsi="Arial"/>
          <w:sz w:val="16"/>
          <w:szCs w:val="16"/>
          <w:color w:val="auto"/>
        </w:rPr>
      </w:pPr>
      <w:r>
        <w:rPr>
          <w:rFonts w:ascii="Arial" w:cs="Arial" w:eastAsia="Arial" w:hAnsi="Arial"/>
          <w:sz w:val="19"/>
          <w:szCs w:val="19"/>
          <w:color w:val="auto"/>
        </w:rPr>
        <w:t>With respect to Products and during the applicable Royalty Term for such Products, Tandem shall pay to TypeZero royalties, with respect to such Products, equal to (i) [***] of aggregate Net Sales of such Products by Tandem and its Affiliates up to [***] of aggregate Net Sales, and (ii) [***] of aggregate Net Sales of such Products by Tandem and its Affiliates above [***]. Only one royalty shall be owing for a Product regardless of how many Valid Claims cover such Product, and regardless of whether Tandem provides an update or upgrade to such Product with updated Technology. For the avoidance of doubt, and notwithstanding anything in this Agreement to the contrary, the parties mutually acknowledge and agree that Tandem shall have no obligation to pay royalties under this Agreement for any Tandem products that (i) are [***], recognizing that such product is likely to undergo revisions or modifications to hardware or software from time to time, including changes needed for interoperability with alternative continuous glucose sensors and/or other blood glucose monitoring devices (a “Tandem PLGS System”), and (ii) are not intended for use with, or otherwise marketed by Tandem to be used as part of, a [***].</w:t>
      </w:r>
    </w:p>
    <w:p>
      <w:pPr>
        <w:spacing w:after="0" w:line="6" w:lineRule="exact"/>
        <w:rPr>
          <w:rFonts w:ascii="Arial" w:cs="Arial" w:eastAsia="Arial" w:hAnsi="Arial"/>
          <w:sz w:val="16"/>
          <w:szCs w:val="16"/>
          <w:color w:val="auto"/>
        </w:rPr>
      </w:pPr>
    </w:p>
    <w:p>
      <w:pPr>
        <w:ind w:right="40" w:firstLine="2600"/>
        <w:spacing w:after="0" w:line="226" w:lineRule="auto"/>
        <w:tabs>
          <w:tab w:leader="none" w:pos="3375" w:val="left"/>
        </w:tabs>
        <w:numPr>
          <w:ilvl w:val="0"/>
          <w:numId w:val="38"/>
        </w:numPr>
        <w:rPr>
          <w:rFonts w:ascii="Arial" w:cs="Arial" w:eastAsia="Arial" w:hAnsi="Arial"/>
          <w:sz w:val="17"/>
          <w:szCs w:val="17"/>
          <w:color w:val="auto"/>
        </w:rPr>
      </w:pPr>
      <w:r>
        <w:rPr>
          <w:rFonts w:ascii="Arial" w:cs="Arial" w:eastAsia="Arial" w:hAnsi="Arial"/>
          <w:sz w:val="20"/>
          <w:szCs w:val="20"/>
          <w:color w:val="auto"/>
        </w:rPr>
        <w:t>Commencing with aggregate Net Sales above [***], the applicable royalty rate set forth in Section 4.2.1(a) shall be reduced by [***] in each instance that (i) TypeZero grants a Tier 1 License after the first (1</w:t>
      </w:r>
      <w:r>
        <w:rPr>
          <w:rFonts w:ascii="Arial" w:cs="Arial" w:eastAsia="Arial" w:hAnsi="Arial"/>
          <w:sz w:val="13"/>
          <w:szCs w:val="13"/>
          <w:color w:val="auto"/>
        </w:rPr>
        <w:t>st</w:t>
      </w:r>
      <w:r>
        <w:rPr>
          <w:rFonts w:ascii="Arial" w:cs="Arial" w:eastAsia="Arial" w:hAnsi="Arial"/>
          <w:sz w:val="20"/>
          <w:szCs w:val="20"/>
          <w:color w:val="auto"/>
        </w:rPr>
        <w:t>) Tier 1 License is granted, and/or (ii) TypeZero grants a Tier 2 License after the second (2</w:t>
      </w:r>
      <w:r>
        <w:rPr>
          <w:rFonts w:ascii="Arial" w:cs="Arial" w:eastAsia="Arial" w:hAnsi="Arial"/>
          <w:sz w:val="13"/>
          <w:szCs w:val="13"/>
          <w:color w:val="auto"/>
        </w:rPr>
        <w:t>nd</w:t>
      </w:r>
      <w:r>
        <w:rPr>
          <w:rFonts w:ascii="Arial" w:cs="Arial" w:eastAsia="Arial" w:hAnsi="Arial"/>
          <w:sz w:val="20"/>
          <w:szCs w:val="20"/>
          <w:color w:val="auto"/>
        </w:rPr>
        <w:t xml:space="preserve">) Tier 2 License is granted, for so long as each such Tier 1 License or Tier 2 License continues in effect (provided that (i) if any such Tier 1 License or Tier 2 License is terminated, then the applicable reduction will no longer apply starting with the next calendar quarter after the date of termination, and (ii) if a Tier 1 License or Tier 2 License is terminated as a result of a change of control or merger of TypeZero with another licensee under a Tier 1 License or Tier 2 License, or as a result of a change of control or merger of a licensee under a Tier 1 License or Tier 2 License with another licensee under a Tier 1 License or Tier 2 License, then the reduction shall continue);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Tandem shall [***]. By way of example, if TypeZero grants [***], then the applicable royalty rate set forth in Section 4.2.1(a) shall be reduced by [***].</w:t>
      </w:r>
    </w:p>
    <w:p>
      <w:pPr>
        <w:spacing w:after="0" w:line="7" w:lineRule="exact"/>
        <w:rPr>
          <w:rFonts w:ascii="Arial" w:cs="Arial" w:eastAsia="Arial" w:hAnsi="Arial"/>
          <w:sz w:val="17"/>
          <w:szCs w:val="17"/>
          <w:color w:val="auto"/>
        </w:rPr>
      </w:pPr>
    </w:p>
    <w:p>
      <w:pPr>
        <w:ind w:right="20" w:firstLine="2600"/>
        <w:spacing w:after="0" w:line="206" w:lineRule="auto"/>
        <w:tabs>
          <w:tab w:leader="none" w:pos="3365" w:val="left"/>
        </w:tabs>
        <w:numPr>
          <w:ilvl w:val="0"/>
          <w:numId w:val="38"/>
        </w:numPr>
        <w:rPr>
          <w:rFonts w:ascii="Arial" w:cs="Arial" w:eastAsia="Arial" w:hAnsi="Arial"/>
          <w:sz w:val="18"/>
          <w:szCs w:val="18"/>
          <w:color w:val="auto"/>
        </w:rPr>
      </w:pPr>
      <w:r>
        <w:rPr>
          <w:rFonts w:ascii="Arial" w:cs="Arial" w:eastAsia="Arial" w:hAnsi="Arial"/>
          <w:sz w:val="22"/>
          <w:szCs w:val="22"/>
          <w:color w:val="auto"/>
        </w:rPr>
        <w:t>The royalty owing Section 4.2.1(a) is due on Products that at the time of sale are covered by a Valid Claim in the country of manufacture or sale during the applicable Royalty Term. If Tandem provides and update or upgrade to a product that was not previously subject to a royalty under Section 4.2.1(a), but after receiving the update or upgrade such product would constitute a Product that at the time of upgrade or update, as the case may be, is covered by a Valid Claim in the country of manufacture or sale, then Tandem shall pay to TypeZero a royalty equal to: (i) if Tandem [***] (subject to standard deductions as set forth in the Net Sales definition), or (ii) if Tandem [***] (subject to standard deductions as set forth in the Net Sales definition).</w:t>
      </w:r>
    </w:p>
    <w:p>
      <w:pPr>
        <w:spacing w:after="0" w:line="5" w:lineRule="exact"/>
        <w:rPr>
          <w:rFonts w:ascii="Arial" w:cs="Arial" w:eastAsia="Arial" w:hAnsi="Arial"/>
          <w:sz w:val="18"/>
          <w:szCs w:val="18"/>
          <w:color w:val="auto"/>
        </w:rPr>
      </w:pPr>
    </w:p>
    <w:p>
      <w:pPr>
        <w:jc w:val="both"/>
        <w:ind w:right="180" w:firstLine="2600"/>
        <w:spacing w:after="0"/>
        <w:tabs>
          <w:tab w:leader="none" w:pos="3375" w:val="left"/>
        </w:tabs>
        <w:numPr>
          <w:ilvl w:val="0"/>
          <w:numId w:val="38"/>
        </w:numPr>
        <w:rPr>
          <w:rFonts w:ascii="Arial" w:cs="Arial" w:eastAsia="Arial" w:hAnsi="Arial"/>
          <w:sz w:val="16"/>
          <w:szCs w:val="16"/>
          <w:color w:val="auto"/>
        </w:rPr>
      </w:pPr>
      <w:r>
        <w:rPr>
          <w:rFonts w:ascii="Arial" w:cs="Arial" w:eastAsia="Arial" w:hAnsi="Arial"/>
          <w:sz w:val="19"/>
          <w:szCs w:val="19"/>
          <w:color w:val="auto"/>
        </w:rPr>
        <w:t>If at any time TypeZero has granted more than [***] Tier 1 Licenses and Tier 2 Licenses in any combination, then-upon the date that TypeZero notifies Tandem of the [***] such license pursuant to Section 3.6 hereof-Tandem shall receive a credit against future royalties equal to [***]. Tandem shall not have the right to take the foregoing credit until Tandem shall have achieved [***] in aggregate Net Sales of Product and, thereafter, Tandem shall have the right to take</w:t>
      </w:r>
    </w:p>
    <w:p>
      <w:pPr>
        <w:spacing w:after="0" w:line="208" w:lineRule="auto"/>
        <w:rPr>
          <w:sz w:val="20"/>
          <w:szCs w:val="20"/>
          <w:color w:val="auto"/>
        </w:rPr>
      </w:pPr>
      <w:r>
        <w:rPr>
          <w:rFonts w:ascii="Arial" w:cs="Arial" w:eastAsia="Arial" w:hAnsi="Arial"/>
          <w:sz w:val="22"/>
          <w:szCs w:val="22"/>
          <w:color w:val="auto"/>
        </w:rPr>
        <w:t>such credit against any subsequent royalty payments until fully credited.</w:t>
      </w:r>
    </w:p>
    <w:p>
      <w:pPr>
        <w:ind w:left="1960"/>
        <w:spacing w:after="0"/>
        <w:tabs>
          <w:tab w:leader="none" w:pos="29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9"/>
          <w:szCs w:val="19"/>
          <w:u w:val="single" w:color="auto"/>
          <w:color w:val="auto"/>
        </w:rPr>
        <w:t>Third Party Royalties</w:t>
      </w:r>
      <w:r>
        <w:rPr>
          <w:rFonts w:ascii="Arial" w:cs="Arial" w:eastAsia="Arial" w:hAnsi="Arial"/>
          <w:sz w:val="19"/>
          <w:szCs w:val="19"/>
          <w:color w:val="auto"/>
        </w:rPr>
        <w:t>. If Tandem or its Affiliates are required to pay royalties to any Third</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Party in order to exercise its rights hereunder to make, have made, use, sell, offer to sale or import any Product, then Tandem</w:t>
      </w:r>
    </w:p>
    <w:p>
      <w:pPr>
        <w:spacing w:after="0" w:line="214" w:lineRule="auto"/>
        <w:rPr>
          <w:sz w:val="20"/>
          <w:szCs w:val="20"/>
          <w:color w:val="auto"/>
        </w:rPr>
      </w:pPr>
      <w:r>
        <w:rPr>
          <w:rFonts w:ascii="Arial" w:cs="Arial" w:eastAsia="Arial" w:hAnsi="Arial"/>
          <w:sz w:val="21"/>
          <w:szCs w:val="21"/>
          <w:color w:val="auto"/>
        </w:rPr>
        <w:t>shall have the right to credit [***] of such Third Party royalty payments against the royalties owing to TypeZero under</w:t>
      </w:r>
    </w:p>
    <w:p>
      <w:pPr>
        <w:spacing w:after="0" w:line="238" w:lineRule="auto"/>
        <w:rPr>
          <w:sz w:val="20"/>
          <w:szCs w:val="20"/>
          <w:color w:val="auto"/>
        </w:rPr>
      </w:pPr>
      <w:r>
        <w:rPr>
          <w:rFonts w:ascii="Arial" w:cs="Arial" w:eastAsia="Arial" w:hAnsi="Arial"/>
          <w:sz w:val="19"/>
          <w:szCs w:val="19"/>
          <w:color w:val="auto"/>
        </w:rPr>
        <w:t xml:space="preserve">Section 4.2.1 with respect to sales of such Product in such country;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Tandem shall not reduce the amount</w:t>
      </w:r>
    </w:p>
    <w:p>
      <w:pPr>
        <w:spacing w:after="0" w:line="237" w:lineRule="auto"/>
        <w:rPr>
          <w:sz w:val="20"/>
          <w:szCs w:val="20"/>
          <w:color w:val="auto"/>
        </w:rPr>
      </w:pPr>
      <w:r>
        <w:rPr>
          <w:rFonts w:ascii="Arial" w:cs="Arial" w:eastAsia="Arial" w:hAnsi="Arial"/>
          <w:sz w:val="19"/>
          <w:szCs w:val="19"/>
          <w:color w:val="auto"/>
        </w:rPr>
        <w:t>of the royalties paid to TypeZero under Section 4.2.1 by reason of this Section 4.2.2, with respect to sales of such Product in such</w:t>
      </w:r>
    </w:p>
    <w:p>
      <w:pPr>
        <w:spacing w:after="0"/>
        <w:rPr>
          <w:sz w:val="20"/>
          <w:szCs w:val="20"/>
          <w:color w:val="auto"/>
        </w:rPr>
      </w:pPr>
      <w:r>
        <w:rPr>
          <w:rFonts w:ascii="Arial" w:cs="Arial" w:eastAsia="Arial" w:hAnsi="Arial"/>
          <w:sz w:val="22"/>
          <w:szCs w:val="22"/>
          <w:color w:val="auto"/>
        </w:rPr>
        <w:t>country, to less than [***] of the royalties that would otherwise be due under Section 4.2.1.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75" w:name="page76"/>
    <w:bookmarkEnd w:id="7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1" w:lineRule="exact"/>
        <w:rPr>
          <w:sz w:val="20"/>
          <w:szCs w:val="20"/>
          <w:color w:val="auto"/>
        </w:rPr>
      </w:pPr>
    </w:p>
    <w:p>
      <w:pPr>
        <w:ind w:right="160" w:firstLine="1296"/>
        <w:spacing w:after="0" w:line="21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21"/>
          <w:szCs w:val="21"/>
          <w:u w:val="single" w:color="auto"/>
          <w:color w:val="auto"/>
        </w:rPr>
        <w:t>Combination Products</w:t>
      </w:r>
      <w:r>
        <w:rPr>
          <w:rFonts w:ascii="Arial" w:cs="Arial" w:eastAsia="Arial" w:hAnsi="Arial"/>
          <w:sz w:val="21"/>
          <w:szCs w:val="21"/>
          <w:color w:val="auto"/>
        </w:rPr>
        <w:t>. If a Product consists of components that are covered by a Valid Claim and</w:t>
      </w:r>
      <w:r>
        <w:rPr>
          <w:rFonts w:ascii="Arial" w:cs="Arial" w:eastAsia="Arial" w:hAnsi="Arial"/>
          <w:sz w:val="18"/>
          <w:szCs w:val="18"/>
          <w:color w:val="auto"/>
        </w:rPr>
        <w:t xml:space="preserve"> </w:t>
      </w:r>
      <w:r>
        <w:rPr>
          <w:rFonts w:ascii="Arial" w:cs="Arial" w:eastAsia="Arial" w:hAnsi="Arial"/>
          <w:sz w:val="21"/>
          <w:szCs w:val="21"/>
          <w:color w:val="auto"/>
        </w:rPr>
        <w:t>components that are not covered by a Valid Claim, then for purposes of the royalty payments under Section 4.2 for Net Sales of such Products, such Net Sales, prior to the royalty calculation set forth in Section 4.2, first shall be [***] as reasonably determined by Tandem, and such resulting amount shall be the “</w:t>
      </w:r>
      <w:r>
        <w:rPr>
          <w:rFonts w:ascii="Arial" w:cs="Arial" w:eastAsia="Arial" w:hAnsi="Arial"/>
          <w:sz w:val="21"/>
          <w:szCs w:val="21"/>
          <w:u w:val="single" w:color="auto"/>
          <w:color w:val="auto"/>
        </w:rPr>
        <w:t>Net Sales</w:t>
      </w:r>
      <w:r>
        <w:rPr>
          <w:rFonts w:ascii="Arial" w:cs="Arial" w:eastAsia="Arial" w:hAnsi="Arial"/>
          <w:sz w:val="21"/>
          <w:szCs w:val="21"/>
          <w:color w:val="auto"/>
        </w:rPr>
        <w:t>” for purposes of the royalty calculation in Section 4.2 for such Product. For clarity, no royalty is due on sales of accessories such as infusion sets, cartridges, CGM sensors, CGM transmitters or CGM receivers not integrated into a pump.</w:t>
      </w:r>
    </w:p>
    <w:p>
      <w:pPr>
        <w:spacing w:after="0" w:line="5" w:lineRule="exact"/>
        <w:rPr>
          <w:sz w:val="20"/>
          <w:szCs w:val="20"/>
          <w:color w:val="auto"/>
        </w:rPr>
      </w:pPr>
    </w:p>
    <w:p>
      <w:pPr>
        <w:ind w:right="240" w:firstLine="1296"/>
        <w:spacing w:after="0" w:line="24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u w:val="single" w:color="auto"/>
          <w:color w:val="auto"/>
        </w:rPr>
        <w:t>Milestones</w:t>
      </w:r>
      <w:r>
        <w:rPr>
          <w:rFonts w:ascii="Arial" w:cs="Arial" w:eastAsia="Arial" w:hAnsi="Arial"/>
          <w:sz w:val="21"/>
          <w:szCs w:val="21"/>
          <w:color w:val="auto"/>
        </w:rPr>
        <w:t>. Tandem shall pay to TypeZero the following [***] milestone payments within [***] days</w:t>
      </w:r>
      <w:r>
        <w:rPr>
          <w:rFonts w:ascii="Arial" w:cs="Arial" w:eastAsia="Arial" w:hAnsi="Arial"/>
          <w:sz w:val="18"/>
          <w:szCs w:val="18"/>
          <w:color w:val="auto"/>
        </w:rPr>
        <w:t xml:space="preserve"> </w:t>
      </w:r>
      <w:r>
        <w:rPr>
          <w:rFonts w:ascii="Arial" w:cs="Arial" w:eastAsia="Arial" w:hAnsi="Arial"/>
          <w:sz w:val="21"/>
          <w:szCs w:val="21"/>
          <w:color w:val="auto"/>
        </w:rPr>
        <w:t>following the first achievement of the applicable milestone by Tandem:</w:t>
      </w:r>
    </w:p>
    <w:p>
      <w:pPr>
        <w:spacing w:after="0" w:line="90"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1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Milestone #</w:t>
            </w:r>
          </w:p>
        </w:tc>
        <w:tc>
          <w:tcPr>
            <w:tcW w:w="6780" w:type="dxa"/>
            <w:vAlign w:val="bottom"/>
            <w:tcBorders>
              <w:top w:val="single" w:sz="8" w:color="auto"/>
              <w:right w:val="single" w:sz="8" w:color="auto"/>
            </w:tcBorders>
          </w:tcPr>
          <w:p>
            <w:pPr>
              <w:ind w:left="2760"/>
              <w:spacing w:after="0"/>
              <w:rPr>
                <w:sz w:val="20"/>
                <w:szCs w:val="20"/>
                <w:color w:val="auto"/>
              </w:rPr>
            </w:pPr>
            <w:r>
              <w:rPr>
                <w:rFonts w:ascii="Arial" w:cs="Arial" w:eastAsia="Arial" w:hAnsi="Arial"/>
                <w:sz w:val="18"/>
                <w:szCs w:val="18"/>
                <w:b w:val="1"/>
                <w:bCs w:val="1"/>
                <w:color w:val="auto"/>
              </w:rPr>
              <w:t>Milestone Event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Milestone Payment</w:t>
            </w: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67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w:t>
            </w: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Generation of data under the UC IV Trial sufficient for Tandem to initiate a Pivotal Clinical</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6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Trial for a Product, which shall be deemed to be data from [***]or approximately [***].</w:t>
            </w: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spacing w:after="0"/>
              <w:rPr>
                <w:sz w:val="9"/>
                <w:szCs w:val="9"/>
                <w:color w:val="auto"/>
              </w:rPr>
            </w:pPr>
          </w:p>
        </w:tc>
        <w:tc>
          <w:tcPr>
            <w:tcW w:w="67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67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left w:val="single" w:sz="8" w:color="auto"/>
              <w:right w:val="single" w:sz="8" w:color="auto"/>
            </w:tcBorders>
          </w:tcPr>
          <w:p>
            <w:pPr>
              <w:spacing w:after="0"/>
              <w:rPr>
                <w:sz w:val="19"/>
                <w:szCs w:val="19"/>
                <w:color w:val="auto"/>
              </w:rPr>
            </w:pP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Enrollment of first patient in a Pivotal Clinical Trial for the first Product (excluding</w:t>
            </w: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consumables such as cartridges, infusion sets and other accessories) that utilizes the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and is covered by a Valid Claim</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67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00" w:type="dxa"/>
            <w:vAlign w:val="bottom"/>
            <w:tcBorders>
              <w:left w:val="single" w:sz="8" w:color="auto"/>
              <w:right w:val="single" w:sz="8" w:color="auto"/>
            </w:tcBorders>
          </w:tcPr>
          <w:p>
            <w:pPr>
              <w:spacing w:after="0"/>
              <w:rPr>
                <w:sz w:val="19"/>
                <w:szCs w:val="19"/>
                <w:color w:val="auto"/>
              </w:rPr>
            </w:pP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Receipt of approval from the FDA for a PMA for the first Product (excluding consumables</w:t>
            </w:r>
          </w:p>
        </w:tc>
        <w:tc>
          <w:tcPr>
            <w:tcW w:w="2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such as cartridges, infusion sets and other accessories) that utilizes the Technology and is</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USD $[***]</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right w:val="single" w:sz="8" w:color="auto"/>
            </w:tcBorders>
          </w:tcPr>
          <w:p>
            <w:pPr>
              <w:spacing w:after="0"/>
              <w:rPr>
                <w:sz w:val="20"/>
                <w:szCs w:val="20"/>
                <w:color w:val="auto"/>
              </w:rPr>
            </w:pPr>
          </w:p>
        </w:tc>
        <w:tc>
          <w:tcPr>
            <w:tcW w:w="6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covered by a Valid Claim</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67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right="180" w:firstLine="8"/>
        <w:spacing w:after="0" w:line="256" w:lineRule="auto"/>
        <w:tabs>
          <w:tab w:leader="none" w:pos="162"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the event that TypeZero does not achieve Milestone #1 on or before [***] (the “</w:t>
      </w:r>
      <w:r>
        <w:rPr>
          <w:rFonts w:ascii="Arial" w:cs="Arial" w:eastAsia="Arial" w:hAnsi="Arial"/>
          <w:sz w:val="22"/>
          <w:szCs w:val="22"/>
          <w:u w:val="single" w:color="auto"/>
          <w:color w:val="auto"/>
        </w:rPr>
        <w:t>Milestone 1 Date</w:t>
      </w:r>
      <w:r>
        <w:rPr>
          <w:rFonts w:ascii="Arial" w:cs="Arial" w:eastAsia="Arial" w:hAnsi="Arial"/>
          <w:sz w:val="22"/>
          <w:szCs w:val="22"/>
          <w:color w:val="auto"/>
        </w:rPr>
        <w:t>”), the Milestone Payment for Milestone #1 shall be reduced by [***]; provided, however, that if [***].</w:t>
      </w:r>
    </w:p>
    <w:p>
      <w:pPr>
        <w:spacing w:after="0" w:line="135"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 xml:space="preserve">Supply </w:t>
      </w:r>
      <w:r>
        <w:rPr>
          <w:rFonts w:ascii="Arial" w:cs="Arial" w:eastAsia="Arial" w:hAnsi="Arial"/>
          <w:sz w:val="19"/>
          <w:szCs w:val="19"/>
          <w:u w:val="single" w:color="auto"/>
          <w:color w:val="auto"/>
        </w:rPr>
        <w:t>of Materials</w:t>
      </w:r>
      <w:r>
        <w:rPr>
          <w:rFonts w:ascii="Arial" w:cs="Arial" w:eastAsia="Arial" w:hAnsi="Arial"/>
          <w:sz w:val="19"/>
          <w:szCs w:val="19"/>
          <w:color w:val="auto"/>
        </w:rPr>
        <w:t>. Upon request, Tandem agrees to supply to TypeZero, or its designee, with up to</w:t>
      </w:r>
    </w:p>
    <w:p>
      <w:pPr>
        <w:ind w:right="120" w:firstLine="8"/>
        <w:spacing w:after="0" w:line="204" w:lineRule="auto"/>
        <w:tabs>
          <w:tab w:leader="none" w:pos="522"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and up to [***] for use in the performance of the UC IV Trial, subject to the terms of a material transfer agreement in a form reasonably acceptable to both parties with terms that are customary for the performance of a human clinical study of an unapproved product. Any such materials may not be used for any purpose other than the performance of the UC IV Trial. The materials supplied hereunder shall be deemed to have a fair market value of [***]. Any additional [***] shall be purchased from Tandem at a price of [***] and [***] and on such other terms that are consistent with the above referenced material transfer agreement.</w:t>
      </w:r>
    </w:p>
    <w:p>
      <w:pPr>
        <w:spacing w:after="0" w:line="5" w:lineRule="exact"/>
        <w:rPr>
          <w:rFonts w:ascii="Arial" w:cs="Arial" w:eastAsia="Arial" w:hAnsi="Arial"/>
          <w:sz w:val="22"/>
          <w:szCs w:val="22"/>
          <w:color w:val="auto"/>
        </w:rPr>
      </w:pPr>
    </w:p>
    <w:p>
      <w:pPr>
        <w:ind w:right="240" w:firstLine="1296"/>
        <w:spacing w:after="0" w:line="228" w:lineRule="auto"/>
        <w:rPr>
          <w:rFonts w:ascii="Arial" w:cs="Arial" w:eastAsia="Arial" w:hAnsi="Arial"/>
          <w:sz w:val="22"/>
          <w:szCs w:val="22"/>
          <w:color w:val="auto"/>
        </w:rPr>
      </w:pPr>
      <w:r>
        <w:rPr>
          <w:rFonts w:ascii="Arial" w:cs="Arial" w:eastAsia="Arial" w:hAnsi="Arial"/>
          <w:sz w:val="17"/>
          <w:szCs w:val="17"/>
          <w:color w:val="auto"/>
        </w:rPr>
        <w:t xml:space="preserve">4.6. </w:t>
      </w:r>
      <w:r>
        <w:rPr>
          <w:rFonts w:ascii="Arial" w:cs="Arial" w:eastAsia="Arial" w:hAnsi="Arial"/>
          <w:sz w:val="20"/>
          <w:szCs w:val="20"/>
          <w:color w:val="auto"/>
        </w:rPr>
        <w:t>[***]. If at any time during the term of this Agreement TypeZero [***], or any combination thereof</w:t>
      </w:r>
      <w:r>
        <w:rPr>
          <w:rFonts w:ascii="Arial" w:cs="Arial" w:eastAsia="Arial" w:hAnsi="Arial"/>
          <w:sz w:val="17"/>
          <w:szCs w:val="17"/>
          <w:color w:val="auto"/>
        </w:rPr>
        <w:t xml:space="preserve"> </w:t>
      </w:r>
      <w:r>
        <w:rPr>
          <w:rFonts w:ascii="Arial" w:cs="Arial" w:eastAsia="Arial" w:hAnsi="Arial"/>
          <w:sz w:val="20"/>
          <w:szCs w:val="20"/>
          <w:color w:val="auto"/>
        </w:rPr>
        <w:t>when viewed as whole-and in light of potential market opportunity) for a grant of a license under the Licensed IP Rights to any Third Party that are [***], TypeZero shall also [***] to Tandem, and if Tandem [***], the parties shall amend this Section 4 to reflect such terms, such amendment to be effective as of the date TypeZero and Tandem both sign the same.</w:t>
      </w:r>
    </w:p>
    <w:p>
      <w:pPr>
        <w:spacing w:after="0" w:line="3" w:lineRule="exact"/>
        <w:rPr>
          <w:rFonts w:ascii="Arial" w:cs="Arial" w:eastAsia="Arial" w:hAnsi="Arial"/>
          <w:sz w:val="22"/>
          <w:szCs w:val="22"/>
          <w:color w:val="auto"/>
        </w:rPr>
      </w:pPr>
    </w:p>
    <w:p>
      <w:pPr>
        <w:ind w:right="20" w:firstLine="1296"/>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4.7. </w:t>
      </w:r>
      <w:r>
        <w:rPr>
          <w:rFonts w:ascii="Arial" w:cs="Arial" w:eastAsia="Arial" w:hAnsi="Arial"/>
          <w:sz w:val="20"/>
          <w:szCs w:val="20"/>
          <w:u w:val="single" w:color="auto"/>
          <w:color w:val="auto"/>
        </w:rPr>
        <w:t>Sale of Company</w:t>
      </w:r>
      <w:r>
        <w:rPr>
          <w:rFonts w:ascii="Arial" w:cs="Arial" w:eastAsia="Arial" w:hAnsi="Arial"/>
          <w:sz w:val="20"/>
          <w:szCs w:val="20"/>
          <w:color w:val="auto"/>
        </w:rPr>
        <w:t>. During the term of this Agreement, and subject in all events to confidentiality</w:t>
      </w:r>
      <w:r>
        <w:rPr>
          <w:rFonts w:ascii="Arial" w:cs="Arial" w:eastAsia="Arial" w:hAnsi="Arial"/>
          <w:sz w:val="17"/>
          <w:szCs w:val="17"/>
          <w:color w:val="auto"/>
        </w:rPr>
        <w:t xml:space="preserve"> </w:t>
      </w:r>
      <w:r>
        <w:rPr>
          <w:rFonts w:ascii="Arial" w:cs="Arial" w:eastAsia="Arial" w:hAnsi="Arial"/>
          <w:sz w:val="20"/>
          <w:szCs w:val="20"/>
          <w:color w:val="auto"/>
        </w:rPr>
        <w:t>obligations and the attorney-client privilege (which TypeZero expressly reserves) and contractual obligations to the contrary (such as “no shop” provisions and the like), should TypeZero intend to accept an offer from any potential buyer for the sale of all or part of TypeZero’s business (whether by asset sale, merger, reorganization, change of control, operation of law or otherwise) (a “Third Party Offer”), TypeZero shall notify Tandem of such state of affairs; provided, however, that TypeZero need not identify the potential buyer or otherwise provide to Tandem the terms and conditions of such Third Party Offer. TypeZero will consider in good faith any proposed counter-offer from Tandem to the Third Party Offer and any modifications thereof; provided, however, that Tandem shall have no obligation to make any offer to acquire all or any part of TypeZero’s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w:t>
      </w:r>
    </w:p>
    <w:p>
      <w:pPr>
        <w:spacing w:after="0" w:line="203" w:lineRule="exact"/>
        <w:rPr>
          <w:sz w:val="20"/>
          <w:szCs w:val="20"/>
          <w:color w:val="auto"/>
        </w:rPr>
      </w:pPr>
    </w:p>
    <w:p>
      <w:pPr>
        <w:ind w:left="1440" w:hanging="784"/>
        <w:spacing w:after="0"/>
        <w:tabs>
          <w:tab w:leader="none" w:pos="1440" w:val="left"/>
        </w:tabs>
        <w:numPr>
          <w:ilvl w:val="0"/>
          <w:numId w:val="41"/>
        </w:numPr>
        <w:rPr>
          <w:rFonts w:ascii="Arial" w:cs="Arial" w:eastAsia="Arial" w:hAnsi="Arial"/>
          <w:sz w:val="18"/>
          <w:szCs w:val="18"/>
          <w:color w:val="auto"/>
        </w:rPr>
      </w:pPr>
      <w:r>
        <w:rPr>
          <w:rFonts w:ascii="Arial" w:cs="Arial" w:eastAsia="Arial" w:hAnsi="Arial"/>
          <w:sz w:val="22"/>
          <w:szCs w:val="22"/>
          <w:u w:val="single" w:color="auto"/>
          <w:color w:val="auto"/>
        </w:rPr>
        <w:t>ROYALTY REPORTS AND ACCOUNTING</w:t>
      </w:r>
    </w:p>
    <w:p>
      <w:pPr>
        <w:ind w:right="240" w:firstLine="1296"/>
        <w:spacing w:after="0" w:line="22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20"/>
          <w:szCs w:val="20"/>
          <w:u w:val="single" w:color="auto"/>
          <w:color w:val="auto"/>
        </w:rPr>
        <w:t>Royalty Reports</w:t>
      </w:r>
      <w:r>
        <w:rPr>
          <w:rFonts w:ascii="Arial" w:cs="Arial" w:eastAsia="Arial" w:hAnsi="Arial"/>
          <w:sz w:val="20"/>
          <w:szCs w:val="20"/>
          <w:color w:val="auto"/>
        </w:rPr>
        <w:t>. Within [***] after the end of each calendar [***] during the term of this Agreement</w:t>
      </w:r>
      <w:r>
        <w:rPr>
          <w:rFonts w:ascii="Arial" w:cs="Arial" w:eastAsia="Arial" w:hAnsi="Arial"/>
          <w:sz w:val="17"/>
          <w:szCs w:val="17"/>
          <w:color w:val="auto"/>
        </w:rPr>
        <w:t xml:space="preserve"> </w:t>
      </w:r>
      <w:r>
        <w:rPr>
          <w:rFonts w:ascii="Arial" w:cs="Arial" w:eastAsia="Arial" w:hAnsi="Arial"/>
          <w:sz w:val="20"/>
          <w:szCs w:val="20"/>
          <w:color w:val="auto"/>
        </w:rPr>
        <w:t xml:space="preserve">following first to occur of the First Commercial Sale of a Product, Tandem shall furnish to TypeZero a [***] written report showing in reasonably specific detail (a) the calculation of Net Sales during such calendar quarter; (b) the calculation of the royalties, if any, that shall have accrued based upon such Net Sales; (c) the withholding taxes, if any, required by law to be deducted with respect to such sales; and (d) the exchange rates, if any, used in determining the amount of United States dollars. With respect to sales of Products invoiced in United States dollars, the gross sales, Net Sales and royalties payable shall be expressed in United States dollars. With respect to Net Sales invoiced in a currency other than United States dollars, all such amounts shall be expressed both in the currency in which the distribution is invoiced and in the United States dollar equivalent. The United States dollar equivalent shall be calculated using the average of the exchange rate (local currency per US$1) published in </w:t>
      </w:r>
      <w:r>
        <w:rPr>
          <w:rFonts w:ascii="Arial" w:cs="Arial" w:eastAsia="Arial" w:hAnsi="Arial"/>
          <w:sz w:val="20"/>
          <w:szCs w:val="20"/>
          <w:u w:val="single" w:color="auto"/>
          <w:color w:val="auto"/>
        </w:rPr>
        <w:t>The Wall Street Journal</w:t>
      </w:r>
      <w:r>
        <w:rPr>
          <w:rFonts w:ascii="Arial" w:cs="Arial" w:eastAsia="Arial" w:hAnsi="Arial"/>
          <w:sz w:val="20"/>
          <w:szCs w:val="20"/>
          <w:color w:val="auto"/>
        </w:rPr>
        <w:t>, Western Edition, under the heading “Currency Trading” on the last business day of each month during the applicable calendar quarter.</w:t>
      </w:r>
    </w:p>
    <w:p>
      <w:pPr>
        <w:spacing w:after="0" w:line="7"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9"/>
          <w:szCs w:val="19"/>
          <w:u w:val="single" w:color="auto"/>
          <w:color w:val="auto"/>
        </w:rPr>
        <w:t>Audits</w:t>
      </w:r>
      <w:r>
        <w:rPr>
          <w:rFonts w:ascii="Arial" w:cs="Arial" w:eastAsia="Arial" w:hAnsi="Arial"/>
          <w:sz w:val="19"/>
          <w:szCs w:val="19"/>
          <w:color w:val="auto"/>
        </w:rPr>
        <w:t>.</w:t>
      </w:r>
    </w:p>
    <w:p>
      <w:pPr>
        <w:spacing w:after="0" w:line="11" w:lineRule="exact"/>
        <w:rPr>
          <w:sz w:val="20"/>
          <w:szCs w:val="20"/>
          <w:color w:val="auto"/>
        </w:rPr>
      </w:pPr>
    </w:p>
    <w:p>
      <w:pPr>
        <w:ind w:right="180" w:firstLine="1944"/>
        <w:spacing w:after="0" w:line="21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21"/>
          <w:szCs w:val="21"/>
          <w:color w:val="auto"/>
        </w:rPr>
        <w:t>Upon the written request of TypeZero and not more than [***], Tandem shall permit an</w:t>
      </w:r>
      <w:r>
        <w:rPr>
          <w:rFonts w:ascii="Arial" w:cs="Arial" w:eastAsia="Arial" w:hAnsi="Arial"/>
          <w:sz w:val="18"/>
          <w:szCs w:val="18"/>
          <w:color w:val="auto"/>
        </w:rPr>
        <w:t xml:space="preserve"> </w:t>
      </w:r>
      <w:r>
        <w:rPr>
          <w:rFonts w:ascii="Arial" w:cs="Arial" w:eastAsia="Arial" w:hAnsi="Arial"/>
          <w:sz w:val="21"/>
          <w:szCs w:val="21"/>
          <w:color w:val="auto"/>
        </w:rPr>
        <w:t>independent certified public accounting firm of nationally recognized standing selected by TypeZero and reasonably acceptable to Tandem, [***], to have access during normal business hours to such of the financial records of Tandem as may be reasonably necessary to verify the accuracy of the payment reports hereunder for the [***] immediately prior to the date of such request (other than records for which TypeZero has already conducted an audit under this Section.</w:t>
      </w:r>
    </w:p>
    <w:p>
      <w:pPr>
        <w:spacing w:after="0" w:line="2" w:lineRule="exact"/>
        <w:rPr>
          <w:sz w:val="20"/>
          <w:szCs w:val="20"/>
          <w:color w:val="auto"/>
        </w:rPr>
      </w:pPr>
    </w:p>
    <w:p>
      <w:pPr>
        <w:ind w:right="20" w:firstLine="1944"/>
        <w:spacing w:after="0" w:line="228"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20"/>
          <w:szCs w:val="20"/>
          <w:color w:val="auto"/>
        </w:rPr>
        <w:t>If such accounting firm concludes that additional amounts were owed during the audited</w:t>
      </w:r>
      <w:r>
        <w:rPr>
          <w:rFonts w:ascii="Arial" w:cs="Arial" w:eastAsia="Arial" w:hAnsi="Arial"/>
          <w:sz w:val="17"/>
          <w:szCs w:val="17"/>
          <w:color w:val="auto"/>
        </w:rPr>
        <w:t xml:space="preserve"> </w:t>
      </w:r>
      <w:r>
        <w:rPr>
          <w:rFonts w:ascii="Arial" w:cs="Arial" w:eastAsia="Arial" w:hAnsi="Arial"/>
          <w:sz w:val="20"/>
          <w:szCs w:val="20"/>
          <w:color w:val="auto"/>
        </w:rPr>
        <w:t>period, Tandem shall pay such additional amounts within [***] after the date TypeZero delivers to Tandem such accounting firm’s written report so concluding. The fees charged by such accounting firm shall be paid by TypeZero; provided, however, if the audit discloses that the royalties payable by Tandem for such period are more than [***] of the royalties actually paid for such period, then Tandem shall pay the reasonable fees and expenses charged by such accounting firm.</w:t>
      </w:r>
    </w:p>
    <w:p>
      <w:pPr>
        <w:spacing w:after="0" w:line="1" w:lineRule="exact"/>
        <w:rPr>
          <w:sz w:val="20"/>
          <w:szCs w:val="20"/>
          <w:color w:val="auto"/>
        </w:rPr>
      </w:pPr>
    </w:p>
    <w:p>
      <w:pPr>
        <w:jc w:val="both"/>
        <w:ind w:right="220" w:firstLine="1944"/>
        <w:spacing w:after="0" w:line="216"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21"/>
          <w:szCs w:val="21"/>
          <w:color w:val="auto"/>
        </w:rPr>
        <w:t>TypeZero shall cause its accounting firm to retain all financial information subject to review</w:t>
      </w:r>
      <w:r>
        <w:rPr>
          <w:rFonts w:ascii="Arial" w:cs="Arial" w:eastAsia="Arial" w:hAnsi="Arial"/>
          <w:sz w:val="18"/>
          <w:szCs w:val="18"/>
          <w:color w:val="auto"/>
        </w:rPr>
        <w:t xml:space="preserve"> </w:t>
      </w:r>
      <w:r>
        <w:rPr>
          <w:rFonts w:ascii="Arial" w:cs="Arial" w:eastAsia="Arial" w:hAnsi="Arial"/>
          <w:sz w:val="21"/>
          <w:szCs w:val="21"/>
          <w:color w:val="auto"/>
        </w:rPr>
        <w:t>under this Section 5.2 in strict confidence; provided, however, that Tandem shall have the right to require that such accounting firm, prior to conducting such audit, enter into an appropriate non-disclosure agreement with Tandem regarding such financial information. The accounting firm shall disclose to TypeZero only whether the reports are correct or not and the amount of any discrepancy. No other information shall be shared. TypeZero shall treat all such financial information as Tandem’s Confidential Information.</w:t>
      </w:r>
    </w:p>
    <w:p>
      <w:pPr>
        <w:ind w:left="1440" w:hanging="784"/>
        <w:spacing w:after="0" w:line="222"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22"/>
          <w:szCs w:val="22"/>
          <w:u w:val="single" w:color="auto"/>
          <w:color w:val="auto"/>
        </w:rPr>
        <w:t>PAYMENTS</w:t>
      </w:r>
    </w:p>
    <w:p>
      <w:pPr>
        <w:spacing w:after="0" w:line="1" w:lineRule="exact"/>
        <w:rPr>
          <w:sz w:val="20"/>
          <w:szCs w:val="20"/>
          <w:color w:val="auto"/>
        </w:rPr>
      </w:pPr>
    </w:p>
    <w:p>
      <w:pPr>
        <w:jc w:val="both"/>
        <w:ind w:right="160" w:firstLine="1296"/>
        <w:spacing w:after="0" w:line="21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21"/>
          <w:szCs w:val="21"/>
          <w:u w:val="single" w:color="auto"/>
          <w:color w:val="auto"/>
        </w:rPr>
        <w:t>Payment Terms</w:t>
      </w:r>
      <w:r>
        <w:rPr>
          <w:rFonts w:ascii="Arial" w:cs="Arial" w:eastAsia="Arial" w:hAnsi="Arial"/>
          <w:sz w:val="21"/>
          <w:szCs w:val="21"/>
          <w:color w:val="auto"/>
        </w:rPr>
        <w:t>. Royalties shown to have accrued by each royalty report provided for under Section 5</w:t>
      </w:r>
      <w:r>
        <w:rPr>
          <w:rFonts w:ascii="Arial" w:cs="Arial" w:eastAsia="Arial" w:hAnsi="Arial"/>
          <w:sz w:val="18"/>
          <w:szCs w:val="18"/>
          <w:color w:val="auto"/>
        </w:rPr>
        <w:t xml:space="preserve"> </w:t>
      </w:r>
      <w:r>
        <w:rPr>
          <w:rFonts w:ascii="Arial" w:cs="Arial" w:eastAsia="Arial" w:hAnsi="Arial"/>
          <w:sz w:val="21"/>
          <w:szCs w:val="21"/>
          <w:color w:val="auto"/>
        </w:rPr>
        <w:t>shall be due on the date such royalty report is due. Payment of royalties in whole or in part may be made in advance of such due date.</w:t>
      </w:r>
    </w:p>
    <w:p>
      <w:pPr>
        <w:jc w:val="both"/>
        <w:ind w:right="80" w:firstLine="1296"/>
        <w:spacing w:after="0" w:line="25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9"/>
          <w:szCs w:val="19"/>
          <w:u w:val="single" w:color="auto"/>
          <w:color w:val="auto"/>
        </w:rPr>
        <w:t>Exchange Control</w:t>
      </w:r>
      <w:r>
        <w:rPr>
          <w:rFonts w:ascii="Arial" w:cs="Arial" w:eastAsia="Arial" w:hAnsi="Arial"/>
          <w:sz w:val="19"/>
          <w:szCs w:val="19"/>
          <w:color w:val="auto"/>
        </w:rPr>
        <w:t>. If at any time legal restrictions prevent the prompt remittance of part or all royalties</w:t>
      </w:r>
      <w:r>
        <w:rPr>
          <w:rFonts w:ascii="Arial" w:cs="Arial" w:eastAsia="Arial" w:hAnsi="Arial"/>
          <w:sz w:val="16"/>
          <w:szCs w:val="16"/>
          <w:color w:val="auto"/>
        </w:rPr>
        <w:t xml:space="preserve"> </w:t>
      </w:r>
      <w:r>
        <w:rPr>
          <w:rFonts w:ascii="Arial" w:cs="Arial" w:eastAsia="Arial" w:hAnsi="Arial"/>
          <w:sz w:val="19"/>
          <w:szCs w:val="19"/>
          <w:color w:val="auto"/>
        </w:rPr>
        <w:t>with respect to any country in the Territory where the Product is sold, Tandem shall have the right, in its sole discretion, to make such payments by depositing the amount thereof in local currency to TypeZero’s account in a bank or other depository institution in such country. If the royalty rate specified in this Agreement should exceed the permissible rate established in any country, the royalty rate for sales in such country shall be adjusted to the highest legally permissible or government-approved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77" w:name="page78"/>
    <w:bookmarkEnd w:id="77"/>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1" w:lineRule="exact"/>
        <w:rPr>
          <w:sz w:val="20"/>
          <w:szCs w:val="20"/>
          <w:color w:val="auto"/>
        </w:rPr>
      </w:pPr>
    </w:p>
    <w:p>
      <w:pPr>
        <w:ind w:right="40" w:firstLine="1296"/>
        <w:spacing w:after="0" w:line="2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9"/>
          <w:szCs w:val="19"/>
          <w:u w:val="single" w:color="auto"/>
          <w:color w:val="auto"/>
        </w:rPr>
        <w:t>Withholding Taxes</w:t>
      </w:r>
      <w:r>
        <w:rPr>
          <w:rFonts w:ascii="Arial" w:cs="Arial" w:eastAsia="Arial" w:hAnsi="Arial"/>
          <w:sz w:val="19"/>
          <w:szCs w:val="19"/>
          <w:color w:val="auto"/>
        </w:rPr>
        <w:t>. Tandem shall be entitled to deduct the amount of any withholding taxes, value-added taxes or other taxes, levies or charges with respect to such amounts, other than United States taxes, payable by Tandem, its Affiliates or sublicensees, or any taxes required to be withheld by Tandem, its Affiliates or sublicensees, to the extent Tandem, its Affiliates or sublicensees pay to the appropriate governmental authority on behalf of TypeZero such taxes, levies or charges. Tandem shall use reasonable efforts to minimize any such taxes, levies or charges required to be withheld on behalf of TypeZero by Tandem, its Affiliates or sublicensees. Tandem promptly shall deliver to TypeZero proof of payment of all such taxes, levies and other charges, together with copies of all communications from or with such governmental authority with respect thereto.</w:t>
      </w:r>
    </w:p>
    <w:p>
      <w:pPr>
        <w:ind w:left="1440" w:hanging="784"/>
        <w:spacing w:after="0" w:line="219" w:lineRule="auto"/>
        <w:tabs>
          <w:tab w:leader="none" w:pos="1440" w:val="left"/>
        </w:tabs>
        <w:numPr>
          <w:ilvl w:val="0"/>
          <w:numId w:val="43"/>
        </w:numPr>
        <w:rPr>
          <w:rFonts w:ascii="Arial" w:cs="Arial" w:eastAsia="Arial" w:hAnsi="Arial"/>
          <w:sz w:val="18"/>
          <w:szCs w:val="18"/>
          <w:color w:val="auto"/>
        </w:rPr>
      </w:pPr>
      <w:r>
        <w:rPr>
          <w:rFonts w:ascii="Arial" w:cs="Arial" w:eastAsia="Arial" w:hAnsi="Arial"/>
          <w:sz w:val="22"/>
          <w:szCs w:val="22"/>
          <w:u w:val="single" w:color="auto"/>
          <w:color w:val="auto"/>
        </w:rPr>
        <w:t>CONFIDENTIALITY</w:t>
      </w:r>
    </w:p>
    <w:p>
      <w:pPr>
        <w:ind w:right="20" w:firstLine="1296"/>
        <w:spacing w:after="0" w:line="22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During the term of this Agreement, and for a period of [***] following the</w:t>
      </w:r>
      <w:r>
        <w:rPr>
          <w:rFonts w:ascii="Arial" w:cs="Arial" w:eastAsia="Arial" w:hAnsi="Arial"/>
          <w:sz w:val="17"/>
          <w:szCs w:val="17"/>
          <w:color w:val="auto"/>
        </w:rPr>
        <w:t xml:space="preserve"> </w:t>
      </w:r>
      <w:r>
        <w:rPr>
          <w:rFonts w:ascii="Arial" w:cs="Arial" w:eastAsia="Arial" w:hAnsi="Arial"/>
          <w:sz w:val="20"/>
          <w:szCs w:val="20"/>
          <w:color w:val="auto"/>
        </w:rPr>
        <w:t>expiration or earlier termination hereof, each party shall maintain in confidence all information of the other party that is disclosed by the other party and identified as, acknowledged to be, or reasonably should be considered confidential at the time of disclosure (the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and shall not use, disclose or grant the use of the Confidential Information except on a need-to-know basis to those directors, officers, affiliates, employees, permitted licensees, permitted assignees and agents, consultants, clinical investigators or contractors, to the extent such disclosure is reasonably necessary in connection with performing its obligations or exercising its rights under this Agreement. To the extent that disclosure is authorized by this Agreement, prior to disclosure, each party hereto shall obtain agreement of any such Person to hold in confidence and not make use of the Confidential Information for any purpose other than those permitted by this Agreement. Each party shall notify the other promptly upon discovery of any unauthorized use or disclosure of the other party’s Confidential Information.</w:t>
      </w:r>
    </w:p>
    <w:p>
      <w:pPr>
        <w:spacing w:after="0" w:line="8" w:lineRule="exact"/>
        <w:rPr>
          <w:sz w:val="20"/>
          <w:szCs w:val="20"/>
          <w:color w:val="auto"/>
        </w:rPr>
      </w:pPr>
    </w:p>
    <w:p>
      <w:pPr>
        <w:ind w:firstLine="1296"/>
        <w:spacing w:after="0" w:line="22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20"/>
          <w:szCs w:val="20"/>
          <w:u w:val="single" w:color="auto"/>
          <w:color w:val="auto"/>
        </w:rPr>
        <w:t>Permitted Disclosures</w:t>
      </w:r>
      <w:r>
        <w:rPr>
          <w:rFonts w:ascii="Arial" w:cs="Arial" w:eastAsia="Arial" w:hAnsi="Arial"/>
          <w:sz w:val="20"/>
          <w:szCs w:val="20"/>
          <w:color w:val="auto"/>
        </w:rPr>
        <w:t>. The confidentiality obligations contained in Section 7.1 shall not apply to the</w:t>
      </w:r>
      <w:r>
        <w:rPr>
          <w:rFonts w:ascii="Arial" w:cs="Arial" w:eastAsia="Arial" w:hAnsi="Arial"/>
          <w:sz w:val="17"/>
          <w:szCs w:val="17"/>
          <w:color w:val="auto"/>
        </w:rPr>
        <w:t xml:space="preserve"> </w:t>
      </w:r>
      <w:r>
        <w:rPr>
          <w:rFonts w:ascii="Arial" w:cs="Arial" w:eastAsia="Arial" w:hAnsi="Arial"/>
          <w:sz w:val="20"/>
          <w:szCs w:val="20"/>
          <w:color w:val="auto"/>
        </w:rPr>
        <w:t>extent that (a) any receiving party (the “</w:t>
      </w:r>
      <w:r>
        <w:rPr>
          <w:rFonts w:ascii="Arial" w:cs="Arial" w:eastAsia="Arial" w:hAnsi="Arial"/>
          <w:sz w:val="20"/>
          <w:szCs w:val="20"/>
          <w:u w:val="single" w:color="auto"/>
          <w:color w:val="auto"/>
        </w:rPr>
        <w:t>Recipient</w:t>
      </w:r>
      <w:r>
        <w:rPr>
          <w:rFonts w:ascii="Arial" w:cs="Arial" w:eastAsia="Arial" w:hAnsi="Arial"/>
          <w:sz w:val="20"/>
          <w:szCs w:val="20"/>
          <w:color w:val="auto"/>
        </w:rPr>
        <w:t>”) is required (i) to disclose information by law, regulation or order of a governmental agency or a court of competent jurisdiction, or (ii) to disclose information to any governmental agency for purposes of obtaining approval to test or market a product, provided in either case that the Recipient shall provide written notice thereof to the other party and sufficient opportunity to object to any such disclosure or to request confidential treatment thereof; or (b) the Recipient can demonstrate that (i) the disclosed information was public knowledge at the time of such disclosure to the Recipient, or thereafter became public knowledge, other than as a result of actions of the Recipient in violation hereof; (ii) the disclosed information was rightfully known by the Recipient (as shown by its written records) prior to the date of disclosure to the Recipient by the other party hereunder; (iii) the disclosed information was disclosed to the Recipient on an unrestricted basis from a source unrelated to any party to this Agreement and not under a duty of confidentiality to the other party; or (iv) the disclosed information was independently developed by the Recipient without use of the Confidential Information disclosed by the other party. Notwithstanding any other provision of this Agreement, Tandem may disclose Confidential Information of the TypeZero relating to information developed pursuant to this Agreement to any Person with whom Tandem has, or is proposing to enter into, a business relationship, as long as such Person has entered into a confidentiality agreement with Tandem. All Confidential Information of both parties shall be returned or, at the disclosing party’s option destroyed, by within a prompt and commercially reasonable time after this Agreement terminates for any reason; provided, however, that a Recipient (A) may retain one (1) copy for its legal archival purposes, (B) will not be required to remove electronic files, and (C) will not be required to return or destroy records that it is required to maintain under applicable laws, rules, or regulations, including, without limitation, records in a Party’s quality systems relating to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78" w:name="page79"/>
    <w:bookmarkEnd w:id="78"/>
    <w:p>
      <w:pPr>
        <w:ind w:left="10320"/>
        <w:spacing w:after="0"/>
        <w:rPr>
          <w:sz w:val="20"/>
          <w:szCs w:val="20"/>
          <w:color w:val="auto"/>
        </w:rPr>
      </w:pPr>
      <w:r>
        <w:rPr>
          <w:rFonts w:ascii="Arial" w:cs="Arial" w:eastAsia="Arial" w:hAnsi="Arial"/>
          <w:sz w:val="16"/>
          <w:szCs w:val="16"/>
          <w:b w:val="1"/>
          <w:bCs w:val="1"/>
          <w:color w:val="auto"/>
        </w:rPr>
        <w:t>Exhibit 10.1</w:t>
      </w:r>
    </w:p>
    <w:p>
      <w:pPr>
        <w:spacing w:after="0" w:line="231" w:lineRule="exact"/>
        <w:rPr>
          <w:sz w:val="20"/>
          <w:szCs w:val="20"/>
          <w:color w:val="auto"/>
        </w:rPr>
      </w:pPr>
    </w:p>
    <w:p>
      <w:pPr>
        <w:ind w:right="120" w:firstLine="1296"/>
        <w:spacing w:after="0" w:line="220" w:lineRule="auto"/>
        <w:rPr>
          <w:sz w:val="20"/>
          <w:szCs w:val="20"/>
          <w:color w:val="auto"/>
        </w:rPr>
      </w:pPr>
      <w:r>
        <w:rPr>
          <w:rFonts w:ascii="Arial" w:cs="Arial" w:eastAsia="Arial" w:hAnsi="Arial"/>
          <w:sz w:val="18"/>
          <w:szCs w:val="18"/>
          <w:color w:val="auto"/>
        </w:rPr>
        <w:t xml:space="preserve">7.3. </w:t>
      </w:r>
      <w:r>
        <w:rPr>
          <w:rFonts w:ascii="Arial" w:cs="Arial" w:eastAsia="Arial" w:hAnsi="Arial"/>
          <w:sz w:val="21"/>
          <w:szCs w:val="21"/>
          <w:u w:val="single" w:color="auto"/>
          <w:color w:val="auto"/>
        </w:rPr>
        <w:t>Terms of this Agreement</w:t>
      </w:r>
      <w:r>
        <w:rPr>
          <w:rFonts w:ascii="Arial" w:cs="Arial" w:eastAsia="Arial" w:hAnsi="Arial"/>
          <w:sz w:val="21"/>
          <w:szCs w:val="21"/>
          <w:color w:val="auto"/>
        </w:rPr>
        <w:t>. Except as otherwise provided in Section 7.2, TypeZero and Tandem shall not</w:t>
      </w:r>
      <w:r>
        <w:rPr>
          <w:rFonts w:ascii="Arial" w:cs="Arial" w:eastAsia="Arial" w:hAnsi="Arial"/>
          <w:sz w:val="18"/>
          <w:szCs w:val="18"/>
          <w:color w:val="auto"/>
        </w:rPr>
        <w:t xml:space="preserve"> </w:t>
      </w:r>
      <w:r>
        <w:rPr>
          <w:rFonts w:ascii="Arial" w:cs="Arial" w:eastAsia="Arial" w:hAnsi="Arial"/>
          <w:sz w:val="21"/>
          <w:szCs w:val="21"/>
          <w:color w:val="auto"/>
        </w:rPr>
        <w:t>disclose any terms or conditions of this Agreement to any Third Party without the prior consent of the other party. Notwithstanding the foregoing, prior to execution of this Agreement, Tandem and TypeZero have agreed upon the substance of information that can be used to describe the terms of this transaction, and Tandem and TypeZero may disclose such information, as modified by mutual agreement from time to time, without the other party’s consent.</w:t>
      </w:r>
    </w:p>
    <w:p>
      <w:pPr>
        <w:ind w:left="1440" w:hanging="784"/>
        <w:spacing w:after="0" w:line="222" w:lineRule="auto"/>
        <w:tabs>
          <w:tab w:leader="none" w:pos="1440" w:val="left"/>
        </w:tabs>
        <w:numPr>
          <w:ilvl w:val="0"/>
          <w:numId w:val="44"/>
        </w:numPr>
        <w:rPr>
          <w:rFonts w:ascii="Arial" w:cs="Arial" w:eastAsia="Arial" w:hAnsi="Arial"/>
          <w:sz w:val="18"/>
          <w:szCs w:val="18"/>
          <w:color w:val="auto"/>
        </w:rPr>
      </w:pPr>
      <w:r>
        <w:rPr>
          <w:rFonts w:ascii="Arial" w:cs="Arial" w:eastAsia="Arial" w:hAnsi="Arial"/>
          <w:sz w:val="22"/>
          <w:szCs w:val="22"/>
          <w:u w:val="single" w:color="auto"/>
          <w:color w:val="auto"/>
        </w:rPr>
        <w:t>TERMINATION</w:t>
      </w:r>
    </w:p>
    <w:p>
      <w:pPr>
        <w:ind w:right="100" w:firstLine="1296"/>
        <w:spacing w:after="0" w:line="21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21"/>
          <w:szCs w:val="21"/>
          <w:u w:val="single" w:color="auto"/>
          <w:color w:val="auto"/>
        </w:rPr>
        <w:t>Expiration</w:t>
      </w:r>
      <w:r>
        <w:rPr>
          <w:rFonts w:ascii="Arial" w:cs="Arial" w:eastAsia="Arial" w:hAnsi="Arial"/>
          <w:sz w:val="21"/>
          <w:szCs w:val="21"/>
          <w:color w:val="auto"/>
        </w:rPr>
        <w:t>. Subject to Sections 8.2 and 8.3 below, this Agreement shall expire on [***]. Upon such</w:t>
      </w:r>
      <w:r>
        <w:rPr>
          <w:rFonts w:ascii="Arial" w:cs="Arial" w:eastAsia="Arial" w:hAnsi="Arial"/>
          <w:sz w:val="18"/>
          <w:szCs w:val="18"/>
          <w:color w:val="auto"/>
        </w:rPr>
        <w:t xml:space="preserve"> </w:t>
      </w:r>
      <w:r>
        <w:rPr>
          <w:rFonts w:ascii="Arial" w:cs="Arial" w:eastAsia="Arial" w:hAnsi="Arial"/>
          <w:sz w:val="21"/>
          <w:szCs w:val="21"/>
          <w:color w:val="auto"/>
        </w:rPr>
        <w:t>expiration of this Agreement, Tandem shall have a fully paid-up, non-exclusive license under the Licensed Know-How Rights to conduct research and to develop, make, have made, use, sell, offer for sale and import Products in the Territory for use in the Field.</w:t>
      </w:r>
    </w:p>
    <w:p>
      <w:pPr>
        <w:ind w:right="100" w:firstLine="1296"/>
        <w:spacing w:after="0" w:line="21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21"/>
          <w:szCs w:val="21"/>
          <w:u w:val="single" w:color="auto"/>
          <w:color w:val="auto"/>
        </w:rPr>
        <w:t>Termination by Tandem</w:t>
      </w:r>
      <w:r>
        <w:rPr>
          <w:rFonts w:ascii="Arial" w:cs="Arial" w:eastAsia="Arial" w:hAnsi="Arial"/>
          <w:sz w:val="21"/>
          <w:szCs w:val="21"/>
          <w:color w:val="auto"/>
        </w:rPr>
        <w:t>. Tandem may terminate this Agreement, in its sole discretion, upon [***] prior</w:t>
      </w:r>
      <w:r>
        <w:rPr>
          <w:rFonts w:ascii="Arial" w:cs="Arial" w:eastAsia="Arial" w:hAnsi="Arial"/>
          <w:sz w:val="18"/>
          <w:szCs w:val="18"/>
          <w:color w:val="auto"/>
        </w:rPr>
        <w:t xml:space="preserve"> </w:t>
      </w:r>
      <w:r>
        <w:rPr>
          <w:rFonts w:ascii="Arial" w:cs="Arial" w:eastAsia="Arial" w:hAnsi="Arial"/>
          <w:sz w:val="21"/>
          <w:szCs w:val="21"/>
          <w:color w:val="auto"/>
        </w:rPr>
        <w:t>written notice to TypeZero; provided, however, that any amounts paid by Tandem to TypeZero pursuant to Section 4 of this Agreement or otherwise shall be nonrefundable.</w:t>
      </w:r>
    </w:p>
    <w:p>
      <w:pPr>
        <w:ind w:right="60" w:firstLine="1296"/>
        <w:spacing w:after="0" w:line="21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21"/>
          <w:szCs w:val="21"/>
          <w:u w:val="single" w:color="auto"/>
          <w:color w:val="auto"/>
        </w:rPr>
        <w:t>Termination for Cause</w:t>
      </w:r>
      <w:r>
        <w:rPr>
          <w:rFonts w:ascii="Arial" w:cs="Arial" w:eastAsia="Arial" w:hAnsi="Arial"/>
          <w:sz w:val="21"/>
          <w:szCs w:val="21"/>
          <w:color w:val="auto"/>
        </w:rPr>
        <w:t>. Except as otherwise provided in Section 9, TypeZero may terminate this</w:t>
      </w:r>
      <w:r>
        <w:rPr>
          <w:rFonts w:ascii="Arial" w:cs="Arial" w:eastAsia="Arial" w:hAnsi="Arial"/>
          <w:sz w:val="18"/>
          <w:szCs w:val="18"/>
          <w:color w:val="auto"/>
        </w:rPr>
        <w:t xml:space="preserve"> </w:t>
      </w:r>
      <w:r>
        <w:rPr>
          <w:rFonts w:ascii="Arial" w:cs="Arial" w:eastAsia="Arial" w:hAnsi="Arial"/>
          <w:sz w:val="21"/>
          <w:szCs w:val="21"/>
          <w:color w:val="auto"/>
        </w:rPr>
        <w:t>Agreement upon or after the breach of any material provision of this Agreement by Tandem if Tandem has not cured such breach within [***] after receipt of express written notice thereof by TypeZero; provided, however, if any default is not capable of being cured within such [***] period and Tandem is diligently undertaking to cure such default as soon as commercially feasible (but not more than [***] thereafter under the circumstances, TypeZero shall have no right to terminate this Agreement. If TypeZero terminates this Agreement, any amounts paid by Tandem to TypeZero pursuant to Section 4 of this Agreement or otherwise shall be nonrefundable.</w:t>
      </w:r>
    </w:p>
    <w:p>
      <w:pPr>
        <w:spacing w:after="0" w:line="4" w:lineRule="exact"/>
        <w:rPr>
          <w:sz w:val="20"/>
          <w:szCs w:val="20"/>
          <w:color w:val="auto"/>
        </w:rPr>
      </w:pPr>
    </w:p>
    <w:p>
      <w:pPr>
        <w:jc w:val="both"/>
        <w:ind w:right="280" w:firstLine="1296"/>
        <w:spacing w:after="0" w:line="21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21"/>
          <w:szCs w:val="21"/>
          <w:u w:val="single" w:color="auto"/>
          <w:color w:val="auto"/>
        </w:rPr>
        <w:t>Effect of Expiration or Termination</w:t>
      </w:r>
      <w:r>
        <w:rPr>
          <w:rFonts w:ascii="Arial" w:cs="Arial" w:eastAsia="Arial" w:hAnsi="Arial"/>
          <w:sz w:val="21"/>
          <w:szCs w:val="21"/>
          <w:color w:val="auto"/>
        </w:rPr>
        <w:t>. Expiration or termination of this Agreement shall not relieve the</w:t>
      </w:r>
      <w:r>
        <w:rPr>
          <w:rFonts w:ascii="Arial" w:cs="Arial" w:eastAsia="Arial" w:hAnsi="Arial"/>
          <w:sz w:val="18"/>
          <w:szCs w:val="18"/>
          <w:color w:val="auto"/>
        </w:rPr>
        <w:t xml:space="preserve"> </w:t>
      </w:r>
      <w:r>
        <w:rPr>
          <w:rFonts w:ascii="Arial" w:cs="Arial" w:eastAsia="Arial" w:hAnsi="Arial"/>
          <w:sz w:val="21"/>
          <w:szCs w:val="21"/>
          <w:color w:val="auto"/>
        </w:rPr>
        <w:t>parties of any obligation accruing prior to such expiration or termination, and the provisions of Sections [***] and [***] shall survive the expiration or termination of this Agreement.</w:t>
      </w:r>
    </w:p>
    <w:p>
      <w:pPr>
        <w:ind w:left="1440" w:hanging="78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FORCE MAJEURE</w:t>
      </w:r>
    </w:p>
    <w:p>
      <w:pPr>
        <w:spacing w:after="0" w:line="3" w:lineRule="exact"/>
        <w:rPr>
          <w:sz w:val="20"/>
          <w:szCs w:val="20"/>
          <w:color w:val="auto"/>
        </w:rPr>
      </w:pPr>
    </w:p>
    <w:p>
      <w:pPr>
        <w:ind w:right="60" w:firstLine="648"/>
        <w:spacing w:after="0" w:line="244" w:lineRule="auto"/>
        <w:rPr>
          <w:sz w:val="20"/>
          <w:szCs w:val="20"/>
          <w:color w:val="auto"/>
        </w:rPr>
      </w:pPr>
      <w:r>
        <w:rPr>
          <w:rFonts w:ascii="Arial" w:cs="Arial" w:eastAsia="Arial" w:hAnsi="Arial"/>
          <w:sz w:val="22"/>
          <w:szCs w:val="22"/>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spacing w:after="0" w:line="148" w:lineRule="exact"/>
        <w:rPr>
          <w:sz w:val="20"/>
          <w:szCs w:val="20"/>
          <w:color w:val="auto"/>
        </w:rPr>
      </w:pPr>
    </w:p>
    <w:p>
      <w:pPr>
        <w:ind w:left="1580" w:hanging="924"/>
        <w:spacing w:after="0"/>
        <w:tabs>
          <w:tab w:leader="none" w:pos="15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ind w:right="40" w:firstLine="1296"/>
        <w:spacing w:after="0" w:line="22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21"/>
          <w:szCs w:val="21"/>
          <w:u w:val="single" w:color="auto"/>
          <w:color w:val="auto"/>
        </w:rPr>
        <w:t>Notices</w:t>
      </w:r>
      <w:r>
        <w:rPr>
          <w:rFonts w:ascii="Arial" w:cs="Arial" w:eastAsia="Arial" w:hAnsi="Arial"/>
          <w:sz w:val="21"/>
          <w:szCs w:val="21"/>
          <w:color w:val="auto"/>
        </w:rPr>
        <w:t>. Any consent, notice or report required or permitted to be given or made under this Agreement</w:t>
      </w:r>
      <w:r>
        <w:rPr>
          <w:rFonts w:ascii="Arial" w:cs="Arial" w:eastAsia="Arial" w:hAnsi="Arial"/>
          <w:sz w:val="18"/>
          <w:szCs w:val="18"/>
          <w:color w:val="auto"/>
        </w:rPr>
        <w:t xml:space="preserve"> </w:t>
      </w:r>
      <w:r>
        <w:rPr>
          <w:rFonts w:ascii="Arial" w:cs="Arial" w:eastAsia="Arial" w:hAnsi="Arial"/>
          <w:sz w:val="21"/>
          <w:szCs w:val="21"/>
          <w:color w:val="auto"/>
        </w:rPr>
        <w:t>by one of the parties hereto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22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If to TypeZero:</w:t>
      </w:r>
      <w:r>
        <w:rPr>
          <w:sz w:val="20"/>
          <w:szCs w:val="20"/>
          <w:color w:val="auto"/>
        </w:rPr>
        <w:tab/>
      </w:r>
      <w:r>
        <w:rPr>
          <w:rFonts w:ascii="Arial" w:cs="Arial" w:eastAsia="Arial" w:hAnsi="Arial"/>
          <w:sz w:val="19"/>
          <w:szCs w:val="19"/>
          <w:color w:val="auto"/>
        </w:rPr>
        <w:t>TypeZero Technologies LLC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222222"/>
        </w:rPr>
        <w:t>212 East Main Street, Suite 202</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222222"/>
        </w:rPr>
        <w:t>Charlottesville, VA 22902</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Chad Rogers, President and CEO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w:t>
      </w:r>
    </w:p>
    <w:p>
      <w:pPr>
        <w:spacing w:after="0" w:line="23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Kevin L. Passarello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Buchanan Ingersoll &amp; Rooney, PC</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1700 K Street, NW, Suite 300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Washington, DC 20006</w:t>
      </w:r>
    </w:p>
    <w:p>
      <w:pPr>
        <w:spacing w:after="0" w:line="20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If to Tandem:</w:t>
      </w:r>
      <w:r>
        <w:rPr>
          <w:sz w:val="20"/>
          <w:szCs w:val="20"/>
          <w:color w:val="auto"/>
        </w:rPr>
        <w:tab/>
      </w:r>
      <w:r>
        <w:rPr>
          <w:rFonts w:ascii="Arial" w:cs="Arial" w:eastAsia="Arial" w:hAnsi="Arial"/>
          <w:sz w:val="19"/>
          <w:szCs w:val="19"/>
          <w:color w:val="auto"/>
        </w:rPr>
        <w:t>Tandem Diabetes Care, Inc.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11045 Roselle Street</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San Diego, California 92121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Chief Executive Officer</w:t>
      </w:r>
    </w:p>
    <w:p>
      <w:pPr>
        <w:spacing w:after="0" w:line="20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Tandem Diabetes Care, Inc.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11045 Roselle Street</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San Diego, California 92121</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175" w:lineRule="exact"/>
        <w:rPr>
          <w:sz w:val="20"/>
          <w:szCs w:val="20"/>
          <w:color w:val="auto"/>
        </w:rPr>
      </w:pPr>
    </w:p>
    <w:p>
      <w:pPr>
        <w:ind w:right="200" w:firstLine="1296"/>
        <w:spacing w:after="0" w:line="213" w:lineRule="auto"/>
        <w:rPr>
          <w:sz w:val="20"/>
          <w:szCs w:val="20"/>
          <w:color w:val="auto"/>
        </w:rPr>
      </w:pPr>
      <w:r>
        <w:rPr>
          <w:rFonts w:ascii="Arial" w:cs="Arial" w:eastAsia="Arial" w:hAnsi="Arial"/>
          <w:sz w:val="22"/>
          <w:szCs w:val="22"/>
          <w:u w:val="single" w:color="auto"/>
          <w:color w:val="auto"/>
        </w:rPr>
        <w:t>10.2. Governing Law</w:t>
      </w:r>
      <w:r>
        <w:rPr>
          <w:rFonts w:ascii="Arial" w:cs="Arial" w:eastAsia="Arial" w:hAnsi="Arial"/>
          <w:sz w:val="22"/>
          <w:szCs w:val="22"/>
          <w:color w:val="auto"/>
        </w:rPr>
        <w:t>. This Agreement shall be governed by and construed in accordance with the laws of the State of [***], without regard to the conflicts of law principles thereof.</w:t>
      </w:r>
    </w:p>
    <w:p>
      <w:pPr>
        <w:spacing w:after="0" w:line="1" w:lineRule="exact"/>
        <w:rPr>
          <w:sz w:val="20"/>
          <w:szCs w:val="20"/>
          <w:color w:val="auto"/>
        </w:rPr>
      </w:pPr>
    </w:p>
    <w:p>
      <w:pPr>
        <w:ind w:firstLine="1296"/>
        <w:spacing w:after="0" w:line="21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21"/>
          <w:szCs w:val="21"/>
          <w:u w:val="single" w:color="auto"/>
          <w:color w:val="auto"/>
        </w:rPr>
        <w:t>Assignment</w:t>
      </w:r>
      <w:r>
        <w:rPr>
          <w:rFonts w:ascii="Arial" w:cs="Arial" w:eastAsia="Arial" w:hAnsi="Arial"/>
          <w:sz w:val="21"/>
          <w:szCs w:val="21"/>
          <w:color w:val="auto"/>
        </w:rPr>
        <w:t>. Neither party shall assign its rights or obligations under this Agreement without the prior</w:t>
      </w:r>
      <w:r>
        <w:rPr>
          <w:rFonts w:ascii="Arial" w:cs="Arial" w:eastAsia="Arial" w:hAnsi="Arial"/>
          <w:sz w:val="18"/>
          <w:szCs w:val="18"/>
          <w:color w:val="auto"/>
        </w:rPr>
        <w:t xml:space="preserve"> </w:t>
      </w:r>
      <w:r>
        <w:rPr>
          <w:rFonts w:ascii="Arial" w:cs="Arial" w:eastAsia="Arial" w:hAnsi="Arial"/>
          <w:sz w:val="21"/>
          <w:szCs w:val="21"/>
          <w:color w:val="auto"/>
        </w:rPr>
        <w:t xml:space="preserve">written consent of the other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w:t>
      </w:r>
    </w:p>
    <w:p>
      <w:pPr>
        <w:spacing w:after="0" w:line="2" w:lineRule="exact"/>
        <w:rPr>
          <w:sz w:val="20"/>
          <w:szCs w:val="20"/>
          <w:color w:val="auto"/>
        </w:rPr>
      </w:pPr>
    </w:p>
    <w:p>
      <w:pPr>
        <w:ind w:right="700" w:firstLine="1296"/>
        <w:spacing w:after="0" w:line="21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21"/>
          <w:szCs w:val="21"/>
          <w:u w:val="single" w:color="auto"/>
          <w:color w:val="auto"/>
        </w:rPr>
        <w:t>Waivers and Amendments</w:t>
      </w:r>
      <w:r>
        <w:rPr>
          <w:rFonts w:ascii="Arial" w:cs="Arial" w:eastAsia="Arial" w:hAnsi="Arial"/>
          <w:sz w:val="21"/>
          <w:szCs w:val="21"/>
          <w:color w:val="auto"/>
        </w:rPr>
        <w:t>. No change, modification, extension, termination or waiver of this</w:t>
      </w:r>
      <w:r>
        <w:rPr>
          <w:rFonts w:ascii="Arial" w:cs="Arial" w:eastAsia="Arial" w:hAnsi="Arial"/>
          <w:sz w:val="18"/>
          <w:szCs w:val="18"/>
          <w:color w:val="auto"/>
        </w:rPr>
        <w:t xml:space="preserve"> </w:t>
      </w:r>
      <w:r>
        <w:rPr>
          <w:rFonts w:ascii="Arial" w:cs="Arial" w:eastAsia="Arial" w:hAnsi="Arial"/>
          <w:sz w:val="21"/>
          <w:szCs w:val="21"/>
          <w:color w:val="auto"/>
        </w:rPr>
        <w:t>Agreement, or any of the provisions herein contained, shall be valid unless made in writing and signed by duly authorized representatives of the parties hereto.</w:t>
      </w:r>
    </w:p>
    <w:p>
      <w:pPr>
        <w:ind w:right="20" w:firstLine="1296"/>
        <w:spacing w:after="0" w:line="21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embodies the entire agreement between the parties and supersedes</w:t>
      </w:r>
      <w:r>
        <w:rPr>
          <w:rFonts w:ascii="Arial" w:cs="Arial" w:eastAsia="Arial" w:hAnsi="Arial"/>
          <w:sz w:val="18"/>
          <w:szCs w:val="18"/>
          <w:color w:val="auto"/>
        </w:rPr>
        <w:t xml:space="preserve"> </w:t>
      </w:r>
      <w:r>
        <w:rPr>
          <w:rFonts w:ascii="Arial" w:cs="Arial" w:eastAsia="Arial" w:hAnsi="Arial"/>
          <w:sz w:val="21"/>
          <w:szCs w:val="21"/>
          <w:color w:val="auto"/>
        </w:rPr>
        <w:t>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ind w:right="100" w:firstLine="1296"/>
        <w:spacing w:after="0" w:line="21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21"/>
          <w:szCs w:val="21"/>
          <w:u w:val="single" w:color="auto"/>
          <w:color w:val="auto"/>
        </w:rPr>
        <w:t>Bankruptcy</w:t>
      </w:r>
      <w:r>
        <w:rPr>
          <w:rFonts w:ascii="Arial" w:cs="Arial" w:eastAsia="Arial" w:hAnsi="Arial"/>
          <w:sz w:val="21"/>
          <w:szCs w:val="21"/>
          <w:color w:val="auto"/>
        </w:rPr>
        <w:t>. The foregoing license is and shall be deemed to be, for purposes of 11 U.S.C. Section</w:t>
      </w:r>
      <w:r>
        <w:rPr>
          <w:rFonts w:ascii="Arial" w:cs="Arial" w:eastAsia="Arial" w:hAnsi="Arial"/>
          <w:sz w:val="18"/>
          <w:szCs w:val="18"/>
          <w:color w:val="auto"/>
        </w:rPr>
        <w:t xml:space="preserve"> </w:t>
      </w:r>
      <w:r>
        <w:rPr>
          <w:rFonts w:ascii="Arial" w:cs="Arial" w:eastAsia="Arial" w:hAnsi="Arial"/>
          <w:sz w:val="21"/>
          <w:szCs w:val="21"/>
          <w:color w:val="auto"/>
        </w:rPr>
        <w:t>365(n), a license of “Intellectual Property Rights” as defined thereunder, and if TypeZero is under any proceeding under the United States Bankruptcy Code and the trustee in bankruptcy of TypeZero, or TypeZero as a debtor in possession, elects to reject the foregoing license, Tandem may, pursuant to 11 U.S.C. Section 365(n)(1) and (2), retain any and all of Tandem’s rights under such license to the maximum extent permitted by law.</w:t>
      </w:r>
    </w:p>
    <w:p>
      <w:pPr>
        <w:spacing w:after="0" w:line="2" w:lineRule="exact"/>
        <w:rPr>
          <w:sz w:val="20"/>
          <w:szCs w:val="20"/>
          <w:color w:val="auto"/>
        </w:rPr>
      </w:pPr>
    </w:p>
    <w:p>
      <w:pPr>
        <w:ind w:right="60" w:firstLine="1296"/>
        <w:spacing w:after="0" w:line="21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21"/>
          <w:szCs w:val="21"/>
          <w:u w:val="single" w:color="auto"/>
          <w:color w:val="auto"/>
        </w:rPr>
        <w:t>Severability</w:t>
      </w:r>
      <w:r>
        <w:rPr>
          <w:rFonts w:ascii="Arial" w:cs="Arial" w:eastAsia="Arial" w:hAnsi="Arial"/>
          <w:sz w:val="21"/>
          <w:szCs w:val="21"/>
          <w:color w:val="auto"/>
        </w:rPr>
        <w:t>. Any of the provisions of this Agreement that are determined to be invalid or</w:t>
      </w:r>
      <w:r>
        <w:rPr>
          <w:rFonts w:ascii="Arial" w:cs="Arial" w:eastAsia="Arial" w:hAnsi="Arial"/>
          <w:sz w:val="18"/>
          <w:szCs w:val="18"/>
          <w:color w:val="auto"/>
        </w:rPr>
        <w:t xml:space="preserve"> </w:t>
      </w:r>
      <w:r>
        <w:rPr>
          <w:rFonts w:ascii="Arial" w:cs="Arial" w:eastAsia="Arial" w:hAnsi="Arial"/>
          <w:sz w:val="21"/>
          <w:szCs w:val="21"/>
          <w:color w:val="auto"/>
        </w:rPr>
        <w:t>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ind w:right="40" w:firstLine="1296"/>
        <w:spacing w:after="0" w:line="21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21"/>
          <w:szCs w:val="21"/>
          <w:u w:val="single" w:color="auto"/>
          <w:color w:val="auto"/>
        </w:rPr>
        <w:t>Waiver</w:t>
      </w:r>
      <w:r>
        <w:rPr>
          <w:rFonts w:ascii="Arial" w:cs="Arial" w:eastAsia="Arial" w:hAnsi="Arial"/>
          <w:sz w:val="21"/>
          <w:szCs w:val="21"/>
          <w:color w:val="auto"/>
        </w:rPr>
        <w:t>. The waiver by either party hereto of any right hereunder or the failure to perform or of a</w:t>
      </w:r>
      <w:r>
        <w:rPr>
          <w:rFonts w:ascii="Arial" w:cs="Arial" w:eastAsia="Arial" w:hAnsi="Arial"/>
          <w:sz w:val="18"/>
          <w:szCs w:val="18"/>
          <w:color w:val="auto"/>
        </w:rPr>
        <w:t xml:space="preserve"> </w:t>
      </w:r>
      <w:r>
        <w:rPr>
          <w:rFonts w:ascii="Arial" w:cs="Arial" w:eastAsia="Arial" w:hAnsi="Arial"/>
          <w:sz w:val="21"/>
          <w:szCs w:val="21"/>
          <w:color w:val="auto"/>
        </w:rPr>
        <w:t>breach by the other party shall not be deemed a waiver of any other right hereunder or of any other breach or failure by said other party whether of a similar nature or otherwise.</w:t>
      </w:r>
    </w:p>
    <w:p>
      <w:pPr>
        <w:ind w:right="300" w:firstLine="1296"/>
        <w:spacing w:after="0" w:line="242"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or more counterparts, each of which shall be</w:t>
      </w:r>
      <w:r>
        <w:rPr>
          <w:rFonts w:ascii="Arial" w:cs="Arial" w:eastAsia="Arial" w:hAnsi="Arial"/>
          <w:sz w:val="18"/>
          <w:szCs w:val="18"/>
          <w:color w:val="auto"/>
        </w:rPr>
        <w:t xml:space="preserve"> </w:t>
      </w:r>
      <w:r>
        <w:rPr>
          <w:rFonts w:ascii="Arial" w:cs="Arial" w:eastAsia="Arial" w:hAnsi="Arial"/>
          <w:sz w:val="21"/>
          <w:szCs w:val="21"/>
          <w:color w:val="auto"/>
        </w:rPr>
        <w:t>deemed an original, but all of which together shall constitute one and the same instrument.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effective as of the Effective Date.</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TYPEZERO TECHNOLOGIES, LLC</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Chad Rogers</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Chad Rogers</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CEO</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7/14/2016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TANDEM DIABETES CARE, INC.</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Kim D. Blickenstaff</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Kim D. Blickenstaff</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CEO</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7/14/2016</w:t>
      </w:r>
    </w:p>
    <w:p>
      <w:pPr>
        <w:spacing w:after="0" w:line="200" w:lineRule="exact"/>
        <w:rPr>
          <w:sz w:val="20"/>
          <w:szCs w:val="20"/>
          <w:color w:val="auto"/>
        </w:rPr>
      </w:pP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w:t>
      </w: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EXHIBIT A</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0"/>
          </w:cols>
          <w:pgMar w:left="144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3451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Tandem Diabetes Care, Inc.</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2020 Sr. Management Cash Bonus Plan</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Tandem Diabetes Care, Inc. 2020 Sr. Management Cash Bonus Plan (the “</w:t>
      </w:r>
      <w:r>
        <w:rPr>
          <w:rFonts w:ascii="Arial" w:cs="Arial" w:eastAsia="Arial" w:hAnsi="Arial"/>
          <w:sz w:val="17"/>
          <w:szCs w:val="17"/>
          <w:b w:val="1"/>
          <w:bCs w:val="1"/>
          <w:i w:val="1"/>
          <w:iCs w:val="1"/>
          <w:color w:val="auto"/>
        </w:rPr>
        <w:t>Bonus Plan</w:t>
      </w:r>
      <w:r>
        <w:rPr>
          <w:rFonts w:ascii="Arial" w:cs="Arial" w:eastAsia="Arial" w:hAnsi="Arial"/>
          <w:sz w:val="17"/>
          <w:szCs w:val="17"/>
          <w:color w:val="auto"/>
        </w:rPr>
        <w:t>”) has been designed to align plan participants with the business goals and strategies of Tandem Diabetes Care, Inc. (“</w:t>
      </w:r>
      <w:r>
        <w:rPr>
          <w:rFonts w:ascii="Arial" w:cs="Arial" w:eastAsia="Arial" w:hAnsi="Arial"/>
          <w:sz w:val="17"/>
          <w:szCs w:val="17"/>
          <w:b w:val="1"/>
          <w:bCs w:val="1"/>
          <w:i w:val="1"/>
          <w:iCs w:val="1"/>
          <w:color w:val="auto"/>
        </w:rPr>
        <w:t>Tandem</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to further the objectives of the Company’s executive compensation program. This Bonus Plan is an important part of the Company’s commitment to recognizing key employees who contribute to the achievement of important Company performance goals. Specifically, the objectives of the Bonus Plan are as follows:</w:t>
      </w:r>
    </w:p>
    <w:p>
      <w:pPr>
        <w:spacing w:after="0" w:line="171" w:lineRule="exact"/>
        <w:rPr>
          <w:sz w:val="20"/>
          <w:szCs w:val="20"/>
          <w:color w:val="auto"/>
        </w:rPr>
      </w:pPr>
    </w:p>
    <w:p>
      <w:pPr>
        <w:ind w:left="1300" w:right="260" w:hanging="320"/>
        <w:spacing w:after="0" w:line="263"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retain and reward highly skilled individuals, including executive officers, with the background and experience required for the Company’s future growth and success by providing meaningful cash incentive payments to plan participants who are in a position to contribute significantly to Company success.</w:t>
      </w:r>
    </w:p>
    <w:p>
      <w:pPr>
        <w:spacing w:after="0" w:line="183" w:lineRule="exact"/>
        <w:rPr>
          <w:rFonts w:ascii="Arial" w:cs="Arial" w:eastAsia="Arial" w:hAnsi="Arial"/>
          <w:sz w:val="18"/>
          <w:szCs w:val="18"/>
          <w:color w:val="auto"/>
        </w:rPr>
      </w:pPr>
    </w:p>
    <w:p>
      <w:pPr>
        <w:ind w:left="1300" w:right="920" w:hanging="320"/>
        <w:spacing w:after="0" w:line="34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Align the interests of plan participants with those of the Company’s stockholders by tying a meaningful portion of their total compensation opportunity to the achievement of specific Company performance objectives, such as an annual revenue target.</w:t>
      </w:r>
    </w:p>
    <w:p>
      <w:pPr>
        <w:spacing w:after="0" w:line="123" w:lineRule="exact"/>
        <w:rPr>
          <w:rFonts w:ascii="Arial" w:cs="Arial" w:eastAsia="Arial" w:hAnsi="Arial"/>
          <w:sz w:val="16"/>
          <w:szCs w:val="16"/>
          <w:color w:val="auto"/>
        </w:rPr>
      </w:pPr>
    </w:p>
    <w:p>
      <w:pPr>
        <w:ind w:left="1300" w:right="420" w:hanging="320"/>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Together with base salary, long-term equity incentives and other components of compensation, create an appropriate balance of cash versus non-cash, and guaranteed versus at risk compensation opportunities.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Bonus Plan is primarily intended to reward plan participants for their individual contributions to the Company’s achievement with respect to Company performance objectives for the 2020 fiscal year. However, the Company’s Board of Directors or the Compensation Committee of the Board of Directors (the “</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also has the discretion to consider individual or Company performance after December 31, 2020 and until the date of any actual bonus determination under the Bonus Plan in measuring performance and determining the amount of an award, if any, under the Bonus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Employees of the Company eligible for an award under this Bonus Plan will be limited to individuals serving as a Vice President or more senior management role within the Company, as determined by the Board of Directors or the Compensation Committee. If, following January 1, 2020, an individual is promoted or hired and becomes an eligible participant under the Bonus Plan at any time during the 2020 calendar year, then the individual will be eligible to participate under the Bonus Plan on a pro-rata basis, calculated in the reasonable discretion of the Compensation Committee, unless otherwise specifically provided by the Board of Directors or the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Opportunity</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 target cash incentive amount (a “</w:t>
      </w:r>
      <w:r>
        <w:rPr>
          <w:rFonts w:ascii="Arial" w:cs="Arial" w:eastAsia="Arial" w:hAnsi="Arial"/>
          <w:sz w:val="17"/>
          <w:szCs w:val="17"/>
          <w:b w:val="1"/>
          <w:bCs w:val="1"/>
          <w:i w:val="1"/>
          <w:iCs w:val="1"/>
          <w:color w:val="auto"/>
        </w:rPr>
        <w:t>Target Bonus Amount</w:t>
      </w:r>
      <w:r>
        <w:rPr>
          <w:rFonts w:ascii="Arial" w:cs="Arial" w:eastAsia="Arial" w:hAnsi="Arial"/>
          <w:sz w:val="17"/>
          <w:szCs w:val="17"/>
          <w:color w:val="auto"/>
        </w:rPr>
        <w:t>”) for each eligible plan participant will be set as a percentage of the participant’s base salary. Cash incentives may be earned under the Bonus Plan based on the achievement of financial performance objectives, product development milestones, and customer-related objectives. The financial performance objectives are comprised of two parts and will collectively represent 80% of the overall Target Bonus Amount. The product development milestones and customer-related objectives will each represent 10% of the overall Target Bonus Amount, which together with the financial performance objectives, represent 100% of the overall Target Bonus Amount.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Objectives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portion of the cash bonuses that relate to the Company financial objectives may be earned based on the Company’s actual revenue for fiscal year 2020 as compared to a pre-established 2020 revenue target (the “</w:t>
      </w:r>
      <w:r>
        <w:rPr>
          <w:rFonts w:ascii="Arial" w:cs="Arial" w:eastAsia="Arial" w:hAnsi="Arial"/>
          <w:sz w:val="17"/>
          <w:szCs w:val="17"/>
          <w:b w:val="1"/>
          <w:bCs w:val="1"/>
          <w:i w:val="1"/>
          <w:iCs w:val="1"/>
          <w:color w:val="auto"/>
        </w:rPr>
        <w:t>Revenue Target</w:t>
      </w:r>
      <w:r>
        <w:rPr>
          <w:rFonts w:ascii="Arial" w:cs="Arial" w:eastAsia="Arial" w:hAnsi="Arial"/>
          <w:sz w:val="17"/>
          <w:szCs w:val="17"/>
          <w:color w:val="auto"/>
        </w:rPr>
        <w:t>”), provided that the Company also achieves at least a minimum adjusted EBITDA (further adjusted for the change in fair value of common stock warrants and non-cash stock based compensation expense, as well as any accrued payment pursuant to the Bonus Plan) margin percentage (the “</w:t>
      </w:r>
      <w:r>
        <w:rPr>
          <w:rFonts w:ascii="Arial" w:cs="Arial" w:eastAsia="Arial" w:hAnsi="Arial"/>
          <w:sz w:val="17"/>
          <w:szCs w:val="17"/>
          <w:b w:val="1"/>
          <w:bCs w:val="1"/>
          <w:color w:val="auto"/>
        </w:rPr>
        <w:t>Minimum Operating Percentage Target</w:t>
      </w:r>
      <w:r>
        <w:rPr>
          <w:rFonts w:ascii="Arial" w:cs="Arial" w:eastAsia="Arial" w:hAnsi="Arial"/>
          <w:sz w:val="17"/>
          <w:szCs w:val="17"/>
          <w:color w:val="auto"/>
        </w:rPr>
        <w:t>”). Subject to the foregoing, the Company financial objective portion of the cash bonuses may be earned under the Bonus Plan as follows:</w:t>
      </w:r>
    </w:p>
    <w:p>
      <w:pPr>
        <w:spacing w:after="0" w:line="176" w:lineRule="exact"/>
        <w:rPr>
          <w:sz w:val="20"/>
          <w:szCs w:val="20"/>
          <w:color w:val="auto"/>
        </w:rPr>
      </w:pPr>
    </w:p>
    <w:p>
      <w:pPr>
        <w:jc w:val="both"/>
        <w:ind w:left="1300" w:hanging="644"/>
        <w:spacing w:after="0" w:line="26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 minimum percentage growth rate over the Company’s actual 2019 revenue, which places the Company’s revenue for 2020 at 75% of the Revenue Target (the </w:t>
      </w:r>
      <w:r>
        <w:rPr>
          <w:rFonts w:ascii="Arial" w:cs="Arial" w:eastAsia="Arial" w:hAnsi="Arial"/>
          <w:sz w:val="18"/>
          <w:szCs w:val="18"/>
          <w:b w:val="1"/>
          <w:bCs w:val="1"/>
          <w:i w:val="1"/>
          <w:iCs w:val="1"/>
          <w:color w:val="auto"/>
        </w:rPr>
        <w:t>“Minimum Revenue Target”</w:t>
      </w:r>
      <w:r>
        <w:rPr>
          <w:rFonts w:ascii="Arial" w:cs="Arial" w:eastAsia="Arial" w:hAnsi="Arial"/>
          <w:sz w:val="18"/>
          <w:szCs w:val="18"/>
          <w:color w:val="auto"/>
        </w:rPr>
        <w:t>), must be achieved for any bonus to be earned under the financial performance objectives portion of the Bonus Plan.</w:t>
      </w:r>
    </w:p>
    <w:p>
      <w:pPr>
        <w:spacing w:after="0" w:line="183"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Company’s actual revenues are between this Minimum Revenue Target and the Revenue Target, the goal achievement for the financial performance objectives will be calculated proportionately in a straight-line from 0% to 100%. If the Company’s actual revenues exceed the Revenue Target, the goal achievement for the financial performance objectives will be calculated proportionately as a percentage of the Revenue Target.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Objectives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portion of the cash bonuses that relates to our product development milestones generally requires that we submit certain products under development for regulatory clearance and the manufacturing readiness of those products. Subject to the Committee’s final discretion, an individual product development milestone must be achieved within a required time period for the applicable portion of the Bonus Plan to be achieved. Overall goal achievement of our product development milestones will be based on the portion of the product development milestones that we actually achieve during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Customer-Related Objectives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portion of the cash bonuses that relates to the Company key customer-related objectives generally requires the Company to achieve a minimum annual metric related to customer support and services, and achieve a minimum annual percentage of current domestic customers eligible for insurance reimbursement to purchase a new insulin pump. Overall goal achievement is subject to the Compensation Committee’s final discretion, and determination of the Company’s customer related objectives will be based on the level of achievement by the Company during fiscal year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Incremental Bonus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Company’s actual revenues are above 105% of the Revenue Target, and the Minimum Operating Percentage Target is achieved, then the Bonus Plan has two levels of potential incremental overall goal achievement:</w:t>
      </w:r>
    </w:p>
    <w:p>
      <w:pPr>
        <w:spacing w:after="0" w:line="170" w:lineRule="exact"/>
        <w:rPr>
          <w:sz w:val="20"/>
          <w:szCs w:val="20"/>
          <w:color w:val="auto"/>
        </w:rPr>
      </w:pPr>
    </w:p>
    <w:p>
      <w:pPr>
        <w:jc w:val="both"/>
        <w:ind w:left="1300" w:hanging="644"/>
        <w:spacing w:after="0" w:line="25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Company’s actual revenues are above 105% of the Revenue Target and up to 115% of the Revenue Target, the percentage of overall goal achievement with respect to the Company financial objectives under the Bonus Plan will first be calculated as described above, and then the overall goal achievement under the Bonus Plan will be multiplied by an amount equal to 100% plus one times each percent of revenue achievement above 105% of the Revenue Target and up to 115% of the Revenue Target, and the cash bonus will be calculated based on this modified level of goal achievement; or</w:t>
      </w:r>
    </w:p>
    <w:p>
      <w:pPr>
        <w:spacing w:after="0" w:line="187"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Company’s actual revenues are above 115% of the Revenue Target, the percentage of overall goal achievement with respect to the Company financial objectives under the Bonus Plan will first be calculated as described above, and then the overall goal achievement under the Bonus Plan will be multiplied by an amount equal to 100% plus two times each percent of revenue achievement above 105% of the Revenue Target, and the cash bonus will be calculated based on this modified level of goal achievement.</w:t>
      </w:r>
    </w:p>
    <w:p>
      <w:pPr>
        <w:spacing w:after="0" w:line="157"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revenue is greater than 105% but does not meet a secondary minimum adjusted EBITDA margin percentage target, then the financial achievement will be calculated as percent to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10.2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Determination</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Bonus payments under the Bonus Plan, if any, will be made at the discretion of the Board or the Committee. The financial performance components and product development components of the Bonus Plan may be earned independent of one another. If the Company does not achieve any portion of any of the financial performance components or the product development components of the Bonus Plan, no payouts will be made unless the Board or the Committee, in their sole discretion, determines that there are other factors that merit consideration in the determination of bonus awards, which may be determined on an individual basis. All determinations and decisions made by the Compensation Committee and the Board of Directors pursuant to the provisions of the Bonus Plan shall be final, conclusive and binding on all persons, and shall be given the maximum deference permitted by law.</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Payout and Administration</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Payment of bonuses will be made as soon as practical after the end of the plan year, but not later than March 15, 2021. Participants must be actively employed at the time of payout to be eligible for any bonus payment. The Board of Directors or the Compensation Committee may approve payments to any eligible plan participant. The Board of Directors or the Compensation Committee can modify the Bonus Plan, including timing and form of payments, at any time in their sole discretion. Amounts payable under the Bonus Plan are intended to comply with the “short-term deferral” rule set forth in Section 1.409A-1(b)(4) of the Treasury Regulations and thus be exempt from the provisions of Section 409A of the Internal Revenue Code of 1986, as amended. The Board of Directors and the Compensation Committee intend to administer the Bonus Plan in a manner consistent with this rule. Any amounts paid hereunder shall be subject to recoupment in accordance with The Dodd-Frank Wall Street Reform and Consumer Protection Act and any implementing regulations thereunder, any clawback policy adopted by the Company or as is otherwise required by applicable law.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20" w:hanging="654"/>
        <w:spacing w:after="0" w:line="311" w:lineRule="auto"/>
        <w:tabs>
          <w:tab w:leader="none" w:pos="2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286" w:lineRule="auto"/>
        <w:tabs>
          <w:tab w:leader="none" w:pos="21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140" w:hanging="654"/>
        <w:spacing w:after="0" w:line="263"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400" w:hanging="654"/>
        <w:spacing w:after="0" w:line="235"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20" w:right="780" w:hanging="654"/>
        <w:spacing w:after="0" w:line="246" w:lineRule="auto"/>
        <w:tabs>
          <w:tab w:leader="none" w:pos="2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30, 2020</w:t>
      </w:r>
    </w:p>
    <w:p>
      <w:pPr>
        <w:sectPr>
          <w:pgSz w:w="11900" w:h="16838" w:orient="portrait"/>
          <w:cols w:equalWidth="0" w:num="1">
            <w:col w:w="11240"/>
          </w:cols>
          <w:pgMar w:left="320" w:top="76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20" w:hanging="654"/>
        <w:spacing w:after="0" w:line="311" w:lineRule="auto"/>
        <w:tabs>
          <w:tab w:leader="none" w:pos="21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308" w:lineRule="auto"/>
        <w:tabs>
          <w:tab w:leader="none" w:pos="21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140" w:hanging="654"/>
        <w:spacing w:after="0" w:line="263" w:lineRule="auto"/>
        <w:tabs>
          <w:tab w:leader="none" w:pos="2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400" w:hanging="654"/>
        <w:spacing w:after="0" w:line="263" w:lineRule="auto"/>
        <w:tabs>
          <w:tab w:leader="none" w:pos="2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120" w:right="780" w:hanging="654"/>
        <w:spacing w:after="0" w:line="277" w:lineRule="auto"/>
        <w:tabs>
          <w:tab w:leader="none" w:pos="2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31750</wp:posOffset>
            </wp:positionV>
            <wp:extent cx="2562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Chief Financial Officer and</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30, 2020</w:t>
      </w:r>
    </w:p>
    <w:p>
      <w:pPr>
        <w:sectPr>
          <w:pgSz w:w="11900" w:h="16838" w:orient="portrait"/>
          <w:cols w:equalWidth="0" w:num="1">
            <w:col w:w="11240"/>
          </w:cols>
          <w:pgMar w:left="320" w:top="76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6"/>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March 31, 2020,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30, 2020</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Chief Executive Officer</w:t>
      </w:r>
    </w:p>
    <w:p>
      <w:pPr>
        <w:spacing w:after="0" w:line="25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76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March 31, 2020,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2"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18"/>
          <w:szCs w:val="18"/>
          <w:color w:val="auto"/>
        </w:rPr>
        <w:t>Dated: April 30, 2020</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842"/>
    </w:lvl>
  </w:abstractNum>
  <w:abstractNum w:abstractNumId="3">
    <w:nsid w:val="71F32454"/>
    <w:multiLevelType w:val="hybridMultilevel"/>
    <w:lvl w:ilvl="0">
      <w:lvlJc w:val="left"/>
      <w:lvlText w:val="•"/>
      <w:numFmt w:val="bullet"/>
      <w:start w:val="1"/>
    </w:lvl>
    <w:lvl w:ilvl="1">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lowerLetter"/>
      <w:start w:val="6"/>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decimal"/>
      <w:start w:val="4"/>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5"/>
    </w:lvl>
  </w:abstractNum>
  <w:abstractNum w:abstractNumId="41">
    <w:nsid w:val="542289EC"/>
    <w:multiLevelType w:val="hybridMultilevel"/>
    <w:lvl w:ilvl="0">
      <w:lvlJc w:val="left"/>
      <w:lvlText w:val="%1."/>
      <w:numFmt w:val="decimal"/>
      <w:start w:val="6"/>
    </w:lvl>
  </w:abstractNum>
  <w:abstractNum w:abstractNumId="42">
    <w:nsid w:val="6DE91B18"/>
    <w:multiLevelType w:val="hybridMultilevel"/>
    <w:lvl w:ilvl="0">
      <w:lvlJc w:val="left"/>
      <w:lvlText w:val="%1."/>
      <w:numFmt w:val="decimal"/>
      <w:start w:val="7"/>
    </w:lvl>
  </w:abstractNum>
  <w:abstractNum w:abstractNumId="43">
    <w:nsid w:val="38437FDB"/>
    <w:multiLevelType w:val="hybridMultilevel"/>
    <w:lvl w:ilvl="0">
      <w:lvlJc w:val="left"/>
      <w:lvlText w:val="%1."/>
      <w:numFmt w:val="decimal"/>
      <w:start w:val="8"/>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decimal"/>
      <w:start w:val="10"/>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2020-04-30T15:16:03Z</dcterms:created>
  <dcterms:modified xsi:type="dcterms:W3CDTF">2020-04-30T15:16:03Z</dcterms:modified>
</cp:coreProperties>
</file>