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McGroddy-Goetz Kathleen</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36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740" w:type="dxa"/>
            <w:vAlign w:val="bottom"/>
            <w:tcBorders>
              <w:top w:val="single" w:sz="8" w:color="0000EE"/>
              <w:bottom w:val="single" w:sz="8" w:color="9A9A9A"/>
            </w:tcBorders>
          </w:tcPr>
          <w:p>
            <w:pPr>
              <w:spacing w:after="0"/>
              <w:rPr>
                <w:sz w:val="12"/>
                <w:szCs w:val="12"/>
                <w:color w:val="auto"/>
              </w:rPr>
            </w:pPr>
          </w:p>
        </w:tc>
        <w:tc>
          <w:tcPr>
            <w:tcW w:w="1080" w:type="dxa"/>
            <w:vAlign w:val="bottom"/>
            <w:tcBorders>
              <w:top w:val="single" w:sz="8" w:color="0000EE"/>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0"/>
                <w:szCs w:val="10"/>
                <w:color w:val="auto"/>
              </w:rPr>
              <w:t>(Last)</w:t>
            </w:r>
          </w:p>
        </w:tc>
        <w:tc>
          <w:tcPr>
            <w:tcW w:w="1480" w:type="dxa"/>
            <w:vAlign w:val="bottom"/>
            <w:gridSpan w:val="2"/>
          </w:tcPr>
          <w:p>
            <w:pPr>
              <w:ind w:left="480"/>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60" w:type="dxa"/>
            <w:vAlign w:val="bottom"/>
          </w:tcPr>
          <w:p>
            <w:pPr>
              <w:spacing w:after="0"/>
              <w:rPr>
                <w:sz w:val="15"/>
                <w:szCs w:val="15"/>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05/20/2026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6"/>
          </w:tcPr>
          <w:p>
            <w:pPr>
              <w:jc w:val="right"/>
              <w:ind w:right="11"/>
              <w:spacing w:after="0"/>
              <w:rPr>
                <w:sz w:val="20"/>
                <w:szCs w:val="20"/>
                <w:color w:val="auto"/>
              </w:rPr>
            </w:pPr>
            <w:r>
              <w:rPr>
                <w:rFonts w:ascii="Arial" w:cs="Arial" w:eastAsia="Arial" w:hAnsi="Arial"/>
                <w:sz w:val="10"/>
                <w:szCs w:val="10"/>
                <w:color w:val="auto"/>
              </w:rPr>
              <w:t>4. If Amendment, Date of Original Filed (Month/Day/Year)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0000FF"/>
              </w:rPr>
              <w:t>92130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2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6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Date</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2"/>
          </w:tcPr>
          <w:p>
            <w:pPr>
              <w:ind w:left="16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96"/>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6"/>
                <w:szCs w:val="6"/>
                <w:color w:val="auto"/>
              </w:rPr>
            </w:pPr>
          </w:p>
        </w:tc>
        <w:tc>
          <w:tcPr>
            <w:tcW w:w="760" w:type="dxa"/>
            <w:vAlign w:val="bottom"/>
            <w:vMerge w:val="restart"/>
          </w:tcPr>
          <w:p>
            <w:pPr>
              <w:jc w:val="center"/>
              <w:ind w:left="186"/>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05/21/2026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8,759</w:t>
            </w:r>
          </w:p>
        </w:tc>
        <w:tc>
          <w:tcPr>
            <w:tcW w:w="760" w:type="dxa"/>
            <w:vAlign w:val="bottom"/>
          </w:tcPr>
          <w:p>
            <w:pPr>
              <w:jc w:val="center"/>
              <w:ind w:left="206"/>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26,612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ind w:left="8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540" w:type="dxa"/>
            <w:vAlign w:val="bottom"/>
          </w:tcPr>
          <w:p>
            <w:pPr>
              <w:jc w:val="right"/>
              <w:ind w:right="11"/>
              <w:spacing w:after="0"/>
              <w:rPr>
                <w:sz w:val="20"/>
                <w:szCs w:val="20"/>
                <w:color w:val="auto"/>
              </w:rPr>
            </w:pPr>
            <w:r>
              <w:rPr>
                <w:rFonts w:ascii="Arial" w:cs="Arial" w:eastAsia="Arial" w:hAnsi="Arial"/>
                <w:sz w:val="9"/>
                <w:szCs w:val="9"/>
                <w:b w:val="1"/>
                <w:bCs w:val="1"/>
                <w:color w:val="auto"/>
              </w:rPr>
              <w:t>Expiration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71"/>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05/20/2026</w:t>
            </w:r>
          </w:p>
        </w:tc>
        <w:tc>
          <w:tcPr>
            <w:tcW w:w="86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10,220</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(2)</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(2)</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10,220</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10,220</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05/21/2026</w:t>
            </w:r>
          </w:p>
        </w:tc>
        <w:tc>
          <w:tcPr>
            <w:tcW w:w="86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520" w:type="dxa"/>
            <w:vAlign w:val="bottom"/>
          </w:tcPr>
          <w:p>
            <w:pPr>
              <w:spacing w:after="0"/>
              <w:rPr>
                <w:sz w:val="17"/>
                <w:szCs w:val="17"/>
                <w:color w:val="auto"/>
              </w:rPr>
            </w:pPr>
          </w:p>
        </w:tc>
        <w:tc>
          <w:tcPr>
            <w:tcW w:w="4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0000FF"/>
              </w:rPr>
              <w:t>8,759</w:t>
            </w: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(3)</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(3)</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3"/>
                <w:szCs w:val="13"/>
                <w:color w:val="0000FF"/>
              </w:rPr>
              <w:t>8,759</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units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Such RSUs were granted to the Reporting Person on May 20, 2026, and will vest on the one-year anniversary thereof, subject to the terms of the 2023 Plan.</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21, 2025, the Reporting Person was granted 8,759 RSUs, all of which vested and converted into shares of the Issuers common stock on the one-year anniversary thereof in accordance with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05/22/2026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48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Kathleen McGroddy-Goetz</w:t>
            </w:r>
          </w:p>
        </w:tc>
        <w:tc>
          <w:tcPr>
            <w:tcW w:w="66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371"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2026-05-22T15:19:21Z</dcterms:created>
  <dcterms:modified xsi:type="dcterms:W3CDTF">2026-05-22T15:19:21Z</dcterms:modified>
</cp:coreProperties>
</file>